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83182" w:rsidRDefault="00983182" w:rsidP="00983182">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461363" w:history="1">
        <w:r w:rsidRPr="00585CD2">
          <w:rPr>
            <w:rStyle w:val="Hyperlink"/>
            <w:rFonts w:hint="eastAsia"/>
            <w:noProof/>
            <w:rtl/>
          </w:rPr>
          <w:t>نف</w:t>
        </w:r>
        <w:r w:rsidRPr="00585CD2">
          <w:rPr>
            <w:rStyle w:val="Hyperlink"/>
            <w:rFonts w:hint="cs"/>
            <w:noProof/>
            <w:rtl/>
          </w:rPr>
          <w:t>ی</w:t>
        </w:r>
        <w:r w:rsidRPr="00585CD2">
          <w:rPr>
            <w:rStyle w:val="Hyperlink"/>
            <w:noProof/>
            <w:rtl/>
          </w:rPr>
          <w:t xml:space="preserve"> </w:t>
        </w:r>
        <w:r w:rsidRPr="00585CD2">
          <w:rPr>
            <w:rStyle w:val="Hyperlink"/>
            <w:rFonts w:hint="eastAsia"/>
            <w:noProof/>
            <w:rtl/>
          </w:rPr>
          <w:t>اطلاق</w:t>
        </w:r>
        <w:r w:rsidRPr="00585CD2">
          <w:rPr>
            <w:rStyle w:val="Hyperlink"/>
            <w:noProof/>
            <w:rtl/>
          </w:rPr>
          <w:t xml:space="preserve"> </w:t>
        </w:r>
        <w:r w:rsidRPr="00585CD2">
          <w:rPr>
            <w:rStyle w:val="Hyperlink"/>
            <w:rFonts w:hint="eastAsia"/>
            <w:noProof/>
            <w:rtl/>
          </w:rPr>
          <w:t>شرط</w:t>
        </w:r>
        <w:r w:rsidRPr="00585CD2">
          <w:rPr>
            <w:rStyle w:val="Hyperlink"/>
            <w:rFonts w:hint="cs"/>
            <w:noProof/>
            <w:rtl/>
          </w:rPr>
          <w:t>ی</w:t>
        </w:r>
        <w:r w:rsidRPr="00585CD2">
          <w:rPr>
            <w:rStyle w:val="Hyperlink"/>
            <w:rFonts w:hint="eastAsia"/>
            <w:noProof/>
            <w:rtl/>
          </w:rPr>
          <w:t>ت</w:t>
        </w:r>
        <w:r w:rsidRPr="00585CD2">
          <w:rPr>
            <w:rStyle w:val="Hyperlink"/>
            <w:noProof/>
            <w:rtl/>
          </w:rPr>
          <w:t xml:space="preserve"> </w:t>
        </w:r>
        <w:r w:rsidRPr="00585CD2">
          <w:rPr>
            <w:rStyle w:val="Hyperlink"/>
            <w:rFonts w:hint="eastAsia"/>
            <w:noProof/>
            <w:rtl/>
          </w:rPr>
          <w:t>ذبح</w:t>
        </w:r>
        <w:r w:rsidRPr="00585CD2">
          <w:rPr>
            <w:rStyle w:val="Hyperlink"/>
            <w:noProof/>
            <w:rtl/>
          </w:rPr>
          <w:t xml:space="preserve"> </w:t>
        </w:r>
        <w:r w:rsidRPr="00585CD2">
          <w:rPr>
            <w:rStyle w:val="Hyperlink"/>
            <w:rFonts w:hint="eastAsia"/>
            <w:noProof/>
            <w:rtl/>
          </w:rPr>
          <w:t>در</w:t>
        </w:r>
        <w:r w:rsidRPr="00585CD2">
          <w:rPr>
            <w:rStyle w:val="Hyperlink"/>
            <w:noProof/>
            <w:rtl/>
          </w:rPr>
          <w:t xml:space="preserve"> </w:t>
        </w:r>
        <w:r w:rsidRPr="00585CD2">
          <w:rPr>
            <w:rStyle w:val="Hyperlink"/>
            <w:rFonts w:hint="eastAsia"/>
            <w:noProof/>
            <w:rtl/>
          </w:rPr>
          <w:t>من</w:t>
        </w:r>
        <w:r w:rsidRPr="00585CD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Toc489461363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83182" w:rsidRDefault="00983182" w:rsidP="00983182">
      <w:pPr>
        <w:pStyle w:val="TOC3"/>
        <w:tabs>
          <w:tab w:val="right" w:leader="dot" w:pos="10194"/>
        </w:tabs>
        <w:rPr>
          <w:rFonts w:asciiTheme="minorHAnsi" w:eastAsiaTheme="minorEastAsia" w:hAnsiTheme="minorHAnsi" w:cstheme="minorBidi"/>
          <w:bCs w:val="0"/>
          <w:iCs w:val="0"/>
          <w:noProof/>
          <w:color w:val="auto"/>
          <w:szCs w:val="22"/>
          <w:rtl/>
        </w:rPr>
      </w:pPr>
      <w:hyperlink w:anchor="_Toc489461364" w:history="1">
        <w:r w:rsidRPr="00585CD2">
          <w:rPr>
            <w:rStyle w:val="Hyperlink"/>
            <w:rFonts w:hint="eastAsia"/>
            <w:noProof/>
            <w:rtl/>
          </w:rPr>
          <w:t>ب</w:t>
        </w:r>
        <w:r w:rsidRPr="00585CD2">
          <w:rPr>
            <w:rStyle w:val="Hyperlink"/>
            <w:rFonts w:hint="cs"/>
            <w:noProof/>
            <w:rtl/>
          </w:rPr>
          <w:t>ی</w:t>
        </w:r>
        <w:r w:rsidRPr="00585CD2">
          <w:rPr>
            <w:rStyle w:val="Hyperlink"/>
            <w:rFonts w:hint="eastAsia"/>
            <w:noProof/>
            <w:rtl/>
          </w:rPr>
          <w:t>ان</w:t>
        </w:r>
        <w:r w:rsidRPr="00585CD2">
          <w:rPr>
            <w:rStyle w:val="Hyperlink"/>
            <w:noProof/>
            <w:rtl/>
          </w:rPr>
          <w:t xml:space="preserve"> </w:t>
        </w:r>
        <w:r w:rsidRPr="00585CD2">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Toc489461364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83182" w:rsidRDefault="00983182" w:rsidP="00983182">
      <w:pPr>
        <w:pStyle w:val="TOC3"/>
        <w:tabs>
          <w:tab w:val="right" w:leader="dot" w:pos="10194"/>
        </w:tabs>
        <w:rPr>
          <w:rFonts w:asciiTheme="minorHAnsi" w:eastAsiaTheme="minorEastAsia" w:hAnsiTheme="minorHAnsi" w:cstheme="minorBidi"/>
          <w:bCs w:val="0"/>
          <w:iCs w:val="0"/>
          <w:noProof/>
          <w:color w:val="auto"/>
          <w:szCs w:val="22"/>
          <w:rtl/>
        </w:rPr>
      </w:pPr>
      <w:hyperlink w:anchor="_Toc489461365" w:history="1">
        <w:r w:rsidRPr="00585CD2">
          <w:rPr>
            <w:rStyle w:val="Hyperlink"/>
            <w:rFonts w:hint="eastAsia"/>
            <w:noProof/>
            <w:rtl/>
          </w:rPr>
          <w:t>ب</w:t>
        </w:r>
        <w:r w:rsidRPr="00585CD2">
          <w:rPr>
            <w:rStyle w:val="Hyperlink"/>
            <w:rFonts w:hint="cs"/>
            <w:noProof/>
            <w:rtl/>
          </w:rPr>
          <w:t>ی</w:t>
        </w:r>
        <w:r w:rsidRPr="00585CD2">
          <w:rPr>
            <w:rStyle w:val="Hyperlink"/>
            <w:rFonts w:hint="eastAsia"/>
            <w:noProof/>
            <w:rtl/>
          </w:rPr>
          <w:t>ان</w:t>
        </w:r>
        <w:r w:rsidRPr="00585CD2">
          <w:rPr>
            <w:rStyle w:val="Hyperlink"/>
            <w:noProof/>
            <w:rtl/>
          </w:rPr>
          <w:t xml:space="preserve"> </w:t>
        </w:r>
        <w:r w:rsidRPr="00585CD2">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Toc489461365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83182" w:rsidRDefault="00983182" w:rsidP="00983182">
      <w:pPr>
        <w:pStyle w:val="TOC4"/>
        <w:tabs>
          <w:tab w:val="right" w:leader="dot" w:pos="10194"/>
        </w:tabs>
        <w:rPr>
          <w:rFonts w:asciiTheme="minorHAnsi" w:eastAsiaTheme="minorEastAsia" w:hAnsiTheme="minorHAnsi" w:cstheme="minorBidi"/>
          <w:bCs w:val="0"/>
          <w:noProof/>
          <w:color w:val="auto"/>
          <w:szCs w:val="22"/>
          <w:rtl/>
        </w:rPr>
      </w:pPr>
      <w:hyperlink w:anchor="_Toc489461366" w:history="1">
        <w:r w:rsidRPr="00585CD2">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Toc489461366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83182" w:rsidRDefault="00983182" w:rsidP="00983182">
      <w:pPr>
        <w:pStyle w:val="TOC3"/>
        <w:tabs>
          <w:tab w:val="right" w:leader="dot" w:pos="10194"/>
        </w:tabs>
        <w:rPr>
          <w:rFonts w:asciiTheme="minorHAnsi" w:eastAsiaTheme="minorEastAsia" w:hAnsiTheme="minorHAnsi" w:cstheme="minorBidi"/>
          <w:bCs w:val="0"/>
          <w:iCs w:val="0"/>
          <w:noProof/>
          <w:color w:val="auto"/>
          <w:szCs w:val="22"/>
          <w:rtl/>
        </w:rPr>
      </w:pPr>
      <w:hyperlink w:anchor="_Toc489461367" w:history="1">
        <w:r w:rsidRPr="00585CD2">
          <w:rPr>
            <w:rStyle w:val="Hyperlink"/>
            <w:rFonts w:hint="eastAsia"/>
            <w:noProof/>
            <w:rtl/>
          </w:rPr>
          <w:t>رد</w:t>
        </w:r>
        <w:r w:rsidRPr="00585CD2">
          <w:rPr>
            <w:rStyle w:val="Hyperlink"/>
            <w:noProof/>
            <w:rtl/>
          </w:rPr>
          <w:t xml:space="preserve"> </w:t>
        </w:r>
        <w:r w:rsidRPr="00585CD2">
          <w:rPr>
            <w:rStyle w:val="Hyperlink"/>
            <w:rFonts w:hint="eastAsia"/>
            <w:noProof/>
            <w:rtl/>
          </w:rPr>
          <w:t>علم</w:t>
        </w:r>
        <w:r w:rsidRPr="00585CD2">
          <w:rPr>
            <w:rStyle w:val="Hyperlink"/>
            <w:noProof/>
            <w:rtl/>
          </w:rPr>
          <w:t xml:space="preserve"> </w:t>
        </w:r>
        <w:r w:rsidRPr="00585CD2">
          <w:rPr>
            <w:rStyle w:val="Hyperlink"/>
            <w:rFonts w:hint="eastAsia"/>
            <w:noProof/>
            <w:rtl/>
          </w:rPr>
          <w:t>اجمال</w:t>
        </w:r>
        <w:r w:rsidRPr="00585CD2">
          <w:rPr>
            <w:rStyle w:val="Hyperlink"/>
            <w:rFonts w:hint="cs"/>
            <w:noProof/>
            <w:rtl/>
          </w:rPr>
          <w:t>ی</w:t>
        </w:r>
        <w:r w:rsidRPr="00585CD2">
          <w:rPr>
            <w:rStyle w:val="Hyperlink"/>
            <w:noProof/>
            <w:rtl/>
          </w:rPr>
          <w:t xml:space="preserve"> </w:t>
        </w:r>
        <w:r w:rsidRPr="00585CD2">
          <w:rPr>
            <w:rStyle w:val="Hyperlink"/>
            <w:rFonts w:hint="eastAsia"/>
            <w:noProof/>
            <w:rtl/>
          </w:rPr>
          <w:t>در</w:t>
        </w:r>
        <w:r w:rsidRPr="00585CD2">
          <w:rPr>
            <w:rStyle w:val="Hyperlink"/>
            <w:noProof/>
            <w:rtl/>
          </w:rPr>
          <w:t xml:space="preserve"> </w:t>
        </w:r>
        <w:r w:rsidRPr="00585CD2">
          <w:rPr>
            <w:rStyle w:val="Hyperlink"/>
            <w:rFonts w:hint="eastAsia"/>
            <w:noProof/>
            <w:rtl/>
          </w:rPr>
          <w:t>فرض</w:t>
        </w:r>
        <w:r w:rsidRPr="00585CD2">
          <w:rPr>
            <w:rStyle w:val="Hyperlink"/>
            <w:noProof/>
            <w:rtl/>
          </w:rPr>
          <w:t xml:space="preserve"> </w:t>
        </w:r>
        <w:r w:rsidRPr="00585CD2">
          <w:rPr>
            <w:rStyle w:val="Hyperlink"/>
            <w:rFonts w:hint="eastAsia"/>
            <w:noProof/>
            <w:rtl/>
          </w:rPr>
          <w:t>اطلاق</w:t>
        </w:r>
        <w:r w:rsidRPr="00585CD2">
          <w:rPr>
            <w:rStyle w:val="Hyperlink"/>
            <w:noProof/>
            <w:rtl/>
          </w:rPr>
          <w:t xml:space="preserve"> </w:t>
        </w:r>
        <w:r w:rsidRPr="00585CD2">
          <w:rPr>
            <w:rStyle w:val="Hyperlink"/>
            <w:rFonts w:hint="eastAsia"/>
            <w:noProof/>
            <w:rtl/>
          </w:rPr>
          <w:t>دل</w:t>
        </w:r>
        <w:r w:rsidRPr="00585CD2">
          <w:rPr>
            <w:rStyle w:val="Hyperlink"/>
            <w:rFonts w:hint="cs"/>
            <w:noProof/>
            <w:rtl/>
          </w:rPr>
          <w:t>ی</w:t>
        </w:r>
        <w:r w:rsidRPr="00585CD2">
          <w:rPr>
            <w:rStyle w:val="Hyperlink"/>
            <w:rFonts w:hint="eastAsia"/>
            <w:noProof/>
            <w:rtl/>
          </w:rPr>
          <w:t>ل</w:t>
        </w:r>
        <w:r w:rsidRPr="00585CD2">
          <w:rPr>
            <w:rStyle w:val="Hyperlink"/>
            <w:noProof/>
            <w:rtl/>
          </w:rPr>
          <w:t xml:space="preserve"> </w:t>
        </w:r>
        <w:r w:rsidRPr="00585CD2">
          <w:rPr>
            <w:rStyle w:val="Hyperlink"/>
            <w:rFonts w:hint="eastAsia"/>
            <w:noProof/>
            <w:rtl/>
          </w:rPr>
          <w:t>ذبح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Toc489461367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983182"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4B33F6">
        <w:rPr>
          <w:rFonts w:hint="cs"/>
          <w:rtl/>
        </w:rPr>
        <w:t>ذبح</w:t>
      </w:r>
      <w:r w:rsidR="00025B70">
        <w:rPr>
          <w:rFonts w:hint="cs"/>
          <w:rtl/>
        </w:rPr>
        <w:t xml:space="preserve"> </w:t>
      </w:r>
      <w:r w:rsidR="00386C11" w:rsidRPr="00A6366F">
        <w:rPr>
          <w:rFonts w:hint="cs"/>
          <w:rtl/>
        </w:rPr>
        <w:t>/</w:t>
      </w:r>
      <w:bookmarkStart w:id="2" w:name="BokSabj_d"/>
      <w:bookmarkEnd w:id="2"/>
      <w:r w:rsidR="004B33F6">
        <w:rPr>
          <w:rFonts w:hint="cs"/>
          <w:rtl/>
        </w:rPr>
        <w:t>اعمال</w:t>
      </w:r>
      <w:r w:rsidR="004B33F6">
        <w:rPr>
          <w:rtl/>
        </w:rPr>
        <w:t xml:space="preserve"> </w:t>
      </w:r>
      <w:r w:rsidR="004B33F6">
        <w:rPr>
          <w:rFonts w:hint="cs"/>
          <w:rtl/>
        </w:rPr>
        <w:t>منا</w:t>
      </w:r>
      <w:r w:rsidR="00386C11" w:rsidRPr="00A6366F">
        <w:rPr>
          <w:rFonts w:hint="cs"/>
          <w:rtl/>
        </w:rPr>
        <w:t xml:space="preserve"> /</w:t>
      </w:r>
      <w:bookmarkStart w:id="3" w:name="Bokkolli"/>
      <w:bookmarkEnd w:id="3"/>
      <w:r w:rsidR="004B33F6">
        <w:rPr>
          <w:rFonts w:hint="cs"/>
          <w:rtl/>
        </w:rPr>
        <w:t>واجبات</w:t>
      </w:r>
      <w:r w:rsidR="004B33F6">
        <w:rPr>
          <w:rtl/>
        </w:rPr>
        <w:t xml:space="preserve"> </w:t>
      </w:r>
      <w:r w:rsidR="004B33F6">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509BD" w:rsidRDefault="008509BD" w:rsidP="008509BD">
      <w:pPr>
        <w:pStyle w:val="Heading2"/>
        <w:rPr>
          <w:rFonts w:hint="cs"/>
          <w:rtl/>
        </w:rPr>
      </w:pPr>
      <w:bookmarkStart w:id="4" w:name="_Toc489461363"/>
      <w:r>
        <w:rPr>
          <w:rFonts w:hint="cs"/>
          <w:rtl/>
        </w:rPr>
        <w:t xml:space="preserve">نفی اطلاق </w:t>
      </w:r>
      <w:r w:rsidRPr="00AF725E">
        <w:rPr>
          <w:rtl/>
        </w:rPr>
        <w:t>شرطیت ذبح در منی</w:t>
      </w:r>
      <w:bookmarkEnd w:id="4"/>
    </w:p>
    <w:p w:rsidR="008509BD" w:rsidRPr="00AF725E" w:rsidRDefault="008509BD" w:rsidP="008509BD">
      <w:pPr>
        <w:ind w:firstLine="720"/>
        <w:jc w:val="both"/>
        <w:rPr>
          <w:sz w:val="36"/>
          <w:szCs w:val="36"/>
          <w:rtl/>
        </w:rPr>
      </w:pPr>
      <w:r w:rsidRPr="00AF725E">
        <w:rPr>
          <w:sz w:val="36"/>
          <w:szCs w:val="36"/>
          <w:rtl/>
        </w:rPr>
        <w:t>بحث در این بود که دلیلی بر شرطیت مطلقه ذبح در منی پیدا نکردیم که شامل موارد عجز یا حرج نوعی از ذبح در منی بشود، و لکن این به تنهایی برای حکم به وجوب ذبح در خارج منی کافی نیست، چون باید اطلاقی بیابیم که بر اساس آن بگوییم ذبح در حج تمتع واجب است حتی در صورت عجز و حرج نوعی از ذبح در منی و گفته شده که چنین اطلاقی وجود ندارد، به دو بیان؛</w:t>
      </w:r>
    </w:p>
    <w:p w:rsidR="008509BD" w:rsidRPr="00AF725E" w:rsidRDefault="008509BD" w:rsidP="008509BD">
      <w:pPr>
        <w:pStyle w:val="Heading3"/>
        <w:rPr>
          <w:rtl/>
        </w:rPr>
      </w:pPr>
      <w:bookmarkStart w:id="5" w:name="_Toc489461364"/>
      <w:r w:rsidRPr="00AF725E">
        <w:rPr>
          <w:rtl/>
        </w:rPr>
        <w:t>بیان اول</w:t>
      </w:r>
      <w:bookmarkEnd w:id="5"/>
    </w:p>
    <w:p w:rsidR="008509BD" w:rsidRPr="00AF725E" w:rsidRDefault="008509BD" w:rsidP="008509BD">
      <w:pPr>
        <w:ind w:firstLine="720"/>
        <w:jc w:val="both"/>
        <w:rPr>
          <w:sz w:val="36"/>
          <w:szCs w:val="36"/>
          <w:rtl/>
        </w:rPr>
      </w:pPr>
      <w:r w:rsidRPr="00AF725E">
        <w:rPr>
          <w:sz w:val="36"/>
          <w:szCs w:val="36"/>
          <w:rtl/>
        </w:rPr>
        <w:t>آیه</w:t>
      </w:r>
      <w:r w:rsidRPr="008509BD">
        <w:rPr>
          <w:color w:val="008000"/>
          <w:sz w:val="36"/>
          <w:szCs w:val="36"/>
          <w:rtl/>
        </w:rPr>
        <w:t xml:space="preserve"> </w:t>
      </w:r>
      <w:r w:rsidRPr="008509BD">
        <w:rPr>
          <w:color w:val="008000"/>
          <w:sz w:val="36"/>
          <w:szCs w:val="36"/>
        </w:rPr>
        <w:sym w:font="Alaem" w:char="F047"/>
      </w:r>
      <w:r w:rsidRPr="008509BD">
        <w:rPr>
          <w:color w:val="008000"/>
          <w:sz w:val="36"/>
          <w:szCs w:val="36"/>
          <w:rtl/>
        </w:rPr>
        <w:t>فما استیسر من الهدی</w:t>
      </w:r>
      <w:r w:rsidRPr="008509BD">
        <w:rPr>
          <w:color w:val="008000"/>
          <w:sz w:val="36"/>
          <w:szCs w:val="36"/>
        </w:rPr>
        <w:sym w:font="Alaem" w:char="F046"/>
      </w:r>
      <w:r w:rsidRPr="008509BD">
        <w:rPr>
          <w:color w:val="008000"/>
          <w:sz w:val="36"/>
          <w:szCs w:val="36"/>
          <w:rtl/>
        </w:rPr>
        <w:t xml:space="preserve">، </w:t>
      </w:r>
      <w:r w:rsidRPr="00AF725E">
        <w:rPr>
          <w:sz w:val="36"/>
          <w:szCs w:val="36"/>
          <w:rtl/>
        </w:rPr>
        <w:t>در مقام بیان از حیث شرایط ذبح هدی نیست و شاهدش این که در روایات کثیره، قیود و شرایطی برای مکان و زمان ذبح و مذبوح ذکر کرده اند و کشف می کند که آیه شریفه در مقام بیان اصل وجوب حج است.</w:t>
      </w:r>
    </w:p>
    <w:p w:rsidR="008509BD" w:rsidRPr="00AF725E" w:rsidRDefault="008509BD" w:rsidP="008509BD">
      <w:pPr>
        <w:ind w:firstLine="720"/>
        <w:jc w:val="both"/>
        <w:rPr>
          <w:sz w:val="36"/>
          <w:szCs w:val="36"/>
          <w:rtl/>
        </w:rPr>
      </w:pPr>
      <w:r w:rsidRPr="00AF725E">
        <w:rPr>
          <w:sz w:val="36"/>
          <w:szCs w:val="36"/>
          <w:rtl/>
        </w:rPr>
        <w:lastRenderedPageBreak/>
        <w:t xml:space="preserve">علاوه بر این که </w:t>
      </w:r>
      <w:r w:rsidRPr="008509BD">
        <w:rPr>
          <w:color w:val="008000"/>
          <w:sz w:val="36"/>
          <w:szCs w:val="36"/>
        </w:rPr>
        <w:sym w:font="Alaem" w:char="F047"/>
      </w:r>
      <w:r w:rsidRPr="008509BD">
        <w:rPr>
          <w:color w:val="008000"/>
          <w:sz w:val="36"/>
          <w:szCs w:val="36"/>
          <w:rtl/>
        </w:rPr>
        <w:t>و لاتحلقووا رووسکم حتی یبلغ الهدی محله</w:t>
      </w:r>
      <w:r w:rsidRPr="008509BD">
        <w:rPr>
          <w:color w:val="008000"/>
          <w:sz w:val="36"/>
          <w:szCs w:val="36"/>
        </w:rPr>
        <w:sym w:font="Alaem" w:char="F046"/>
      </w:r>
      <w:r w:rsidRPr="00AF725E">
        <w:rPr>
          <w:sz w:val="36"/>
          <w:szCs w:val="36"/>
          <w:rtl/>
        </w:rPr>
        <w:t xml:space="preserve"> نشان می دهد که هدی مکان شرعی دارد که باید در آن جا ذبح شود و این ما یصلح للقرینیة است.</w:t>
      </w:r>
    </w:p>
    <w:p w:rsidR="008509BD" w:rsidRPr="00AF725E" w:rsidRDefault="008509BD" w:rsidP="008509BD">
      <w:pPr>
        <w:ind w:firstLine="720"/>
        <w:jc w:val="both"/>
        <w:rPr>
          <w:sz w:val="36"/>
          <w:szCs w:val="36"/>
        </w:rPr>
      </w:pPr>
      <w:r w:rsidRPr="00AF725E">
        <w:rPr>
          <w:sz w:val="36"/>
          <w:szCs w:val="36"/>
          <w:rtl/>
        </w:rPr>
        <w:t>اما در روایات نیز فقط یک روایت شبهه اطلاق دارد و آن صحیحه زرارة است:</w:t>
      </w:r>
      <w:r w:rsidRPr="008509BD">
        <w:rPr>
          <w:color w:val="008000"/>
          <w:sz w:val="36"/>
          <w:szCs w:val="36"/>
          <w:rtl/>
        </w:rPr>
        <w:t xml:space="preserve"> وَ عَنْهُ عَنْ مُوسَى بْنِ الْقَاسِمِ عَنْ صَفْوَانَ بْنِ يَحْيَى عَنْ حَمَّادِ بْنِ عِيسَى وَ ابْنِ أَبِي عُمَيْرٍ عَنْ عُمَرَ بْنِ أُذَيْنَةَ عَنْ زُرَارَةَ بْنِ أَعْيَنَ عَنْ أَبِي جَعْفَرٍ ع فِي الْمُتَمَتِّعِ قَالَ وَ عَلَيْهِ الْهَدْيُ قُلْتُ وَ مَا الْهَدْيُ- فَقَالَ أَفْضَلُهُ بَدَنَةٌ وَ أَوْسَطُهُ بَقَرَةٌ وَ آخِرُهُ شَاةٌ.</w:t>
      </w:r>
      <w:r w:rsidRPr="008509BD">
        <w:rPr>
          <w:color w:val="008000"/>
          <w:sz w:val="36"/>
          <w:szCs w:val="36"/>
          <w:vertAlign w:val="superscript"/>
          <w:rtl/>
        </w:rPr>
        <w:footnoteReference w:id="1"/>
      </w:r>
    </w:p>
    <w:p w:rsidR="008509BD" w:rsidRPr="00AF725E" w:rsidRDefault="008509BD" w:rsidP="008509BD">
      <w:pPr>
        <w:ind w:firstLine="720"/>
        <w:jc w:val="both"/>
        <w:rPr>
          <w:sz w:val="36"/>
          <w:szCs w:val="36"/>
          <w:rtl/>
        </w:rPr>
      </w:pPr>
      <w:r w:rsidRPr="00AF725E">
        <w:rPr>
          <w:sz w:val="36"/>
          <w:szCs w:val="36"/>
          <w:rtl/>
        </w:rPr>
        <w:t>گفته می شود علیه الهدی، اطلاق دارد و به مکان خاصی تقیید نخورده، در جایی که امکان ذبح در منی باشد، اطلاق را قید می زنیم و در ما بقی، به اطلاق اخذ می کنیم.</w:t>
      </w:r>
    </w:p>
    <w:p w:rsidR="008509BD" w:rsidRPr="00AF725E" w:rsidRDefault="008509BD" w:rsidP="008509BD">
      <w:pPr>
        <w:ind w:firstLine="720"/>
        <w:jc w:val="both"/>
        <w:rPr>
          <w:sz w:val="36"/>
          <w:szCs w:val="36"/>
          <w:rtl/>
        </w:rPr>
      </w:pPr>
      <w:r w:rsidRPr="00AF725E">
        <w:rPr>
          <w:sz w:val="36"/>
          <w:szCs w:val="36"/>
          <w:rtl/>
        </w:rPr>
        <w:t>اما به نظر می رسد که عرف از این گونه تعابیر بیش از اصل وجوب هدی را استفاده نمی کند، چرا که معلوم بوده که ذبح، شرایطی دارد، مثل این که گفته شود یجب التقلید علی العامی که در مقام بیان از جهات مختلف و شرایط تقلید نیست.</w:t>
      </w:r>
    </w:p>
    <w:p w:rsidR="008509BD" w:rsidRPr="00AF725E" w:rsidRDefault="008509BD" w:rsidP="008509BD">
      <w:pPr>
        <w:ind w:firstLine="720"/>
        <w:jc w:val="both"/>
        <w:rPr>
          <w:sz w:val="36"/>
          <w:szCs w:val="36"/>
          <w:rtl/>
        </w:rPr>
      </w:pPr>
      <w:r w:rsidRPr="00AF725E">
        <w:rPr>
          <w:sz w:val="36"/>
          <w:szCs w:val="36"/>
          <w:rtl/>
        </w:rPr>
        <w:t>علاوه بر این که احتمال قوی می رود ارتکاز متشرعه بر اشتراط ذبح به منی، مثل قرینه متصله بوده که مانع از تمسک به اطلاق خطاب شود.</w:t>
      </w:r>
    </w:p>
    <w:p w:rsidR="008509BD" w:rsidRPr="00AF725E" w:rsidRDefault="008509BD" w:rsidP="008509BD">
      <w:pPr>
        <w:jc w:val="both"/>
        <w:rPr>
          <w:sz w:val="36"/>
          <w:szCs w:val="36"/>
          <w:rtl/>
        </w:rPr>
      </w:pPr>
      <w:r w:rsidRPr="00AF725E">
        <w:rPr>
          <w:sz w:val="36"/>
          <w:szCs w:val="36"/>
          <w:rtl/>
        </w:rPr>
        <w:t xml:space="preserve">ان قلت: ممکن است که آیه یا روایت، به لحاظ ماده و متعلق مطلق نباشد، اما به لحاظ هیئت و وجوب، اطلاق دارد، وجوب المتمتع علیه الهدی مطلق است و در هر شرایطی این وجوب وجود دارد، بیان گذشته، اطلاق ماده را زیر سوال برد، اما اطلاق هیئت باقی است، اطلاق هیئت می گوید </w:t>
      </w:r>
      <w:r w:rsidRPr="00AF725E">
        <w:rPr>
          <w:sz w:val="36"/>
          <w:szCs w:val="36"/>
          <w:rtl/>
        </w:rPr>
        <w:lastRenderedPageBreak/>
        <w:t>حتی امروزه نیز ذبح واجب است و به ملازمه کشف می کنیم که ذبح در منی امروزه شرط نیست و اگر هم عجز شخصی داشته باشیم، از شرطیت آن برائت جاری می کنیم.</w:t>
      </w:r>
    </w:p>
    <w:p w:rsidR="008509BD" w:rsidRPr="00AF725E" w:rsidRDefault="008509BD" w:rsidP="008509BD">
      <w:pPr>
        <w:ind w:firstLine="720"/>
        <w:jc w:val="both"/>
        <w:rPr>
          <w:sz w:val="36"/>
          <w:szCs w:val="36"/>
          <w:rtl/>
        </w:rPr>
      </w:pPr>
      <w:r w:rsidRPr="00AF725E">
        <w:rPr>
          <w:sz w:val="36"/>
          <w:szCs w:val="36"/>
          <w:rtl/>
        </w:rPr>
        <w:t>قلت: اگر متعلق اهمال داشته باشد، مثلا صلاة در اقیموا الصلاة اهمال دارد، در این جا دیگر نمی توان به اطلاق هیئت تمسک نمود و اثبات وجوب در موارد مشکوک الجزئیة یا شرطیة در مثل فاقد الطهورین نمود، و به ملازمه کشف کرئ که نماز بدون طهارت بر او واجب است، زیرا وقتی متعلق بین مقدور و غیر مقدور مردد شود، و فرض این است که دلیل لفظی و لبی همه وجوب ها را تقیید زده به لزوم مقدور بودن متعلق، چون شاید متعلق وجوب، نماز با طهارت باشد، مقید لبی و لفظی گفته تکلیف، مشروط به قدرت است و تمسک به عام در شبهه مصداقیه لبی متصل یا لفظی منفصل می شود که در هیچ کدام جایز نیست، خصوصا در مخصص لبی متصل که کسی قائل به جواز تمسک به عام نشده است.</w:t>
      </w:r>
    </w:p>
    <w:p w:rsidR="008509BD" w:rsidRPr="00AF725E" w:rsidRDefault="008509BD" w:rsidP="008509BD">
      <w:pPr>
        <w:ind w:firstLine="720"/>
        <w:jc w:val="both"/>
        <w:rPr>
          <w:sz w:val="36"/>
          <w:szCs w:val="36"/>
          <w:rtl/>
        </w:rPr>
      </w:pPr>
      <w:r w:rsidRPr="00AF725E">
        <w:rPr>
          <w:sz w:val="36"/>
          <w:szCs w:val="36"/>
          <w:rtl/>
        </w:rPr>
        <w:t>در ما نحن فیه نیز نمی دانیم بر متمتع ذبح در منی واجب است یا ذبح ولو در خارج از منی و فرض این است که متعلق اطلاق ندارد، اگر متعلق وجوب، ذبح هدی در منی باشد، تکلیف به قدرت مشروط خواهد بود و شبهه مصداقیه خطاب تکلیف می شود.</w:t>
      </w:r>
    </w:p>
    <w:p w:rsidR="008509BD" w:rsidRPr="00AF725E" w:rsidRDefault="008509BD" w:rsidP="008509BD">
      <w:pPr>
        <w:ind w:firstLine="720"/>
        <w:jc w:val="both"/>
        <w:rPr>
          <w:sz w:val="36"/>
          <w:szCs w:val="36"/>
          <w:rtl/>
        </w:rPr>
      </w:pPr>
      <w:r w:rsidRPr="00AF725E">
        <w:rPr>
          <w:sz w:val="36"/>
          <w:szCs w:val="36"/>
          <w:rtl/>
        </w:rPr>
        <w:t>لذا این که محقق خوئی فرموده چون خطابات ذبح در منی، شرطیت مطلقه را بیان نمی کند، به اطلاقات وجوب ذبح ولو خارج از منی رجوع می کنیم، ناتمام است، زیرا چنین اطلاقی ثابت نیست.</w:t>
      </w:r>
    </w:p>
    <w:p w:rsidR="008509BD" w:rsidRPr="00AF725E" w:rsidRDefault="008509BD" w:rsidP="008509BD">
      <w:pPr>
        <w:pStyle w:val="Heading3"/>
        <w:rPr>
          <w:rtl/>
        </w:rPr>
      </w:pPr>
      <w:bookmarkStart w:id="6" w:name="_Toc489461365"/>
      <w:r w:rsidRPr="00AF725E">
        <w:rPr>
          <w:rtl/>
        </w:rPr>
        <w:lastRenderedPageBreak/>
        <w:t>بیان دوم</w:t>
      </w:r>
      <w:bookmarkEnd w:id="6"/>
    </w:p>
    <w:p w:rsidR="008509BD" w:rsidRPr="00AF725E" w:rsidRDefault="008509BD" w:rsidP="008509BD">
      <w:pPr>
        <w:ind w:firstLine="720"/>
        <w:jc w:val="both"/>
        <w:rPr>
          <w:sz w:val="36"/>
          <w:szCs w:val="36"/>
          <w:rtl/>
        </w:rPr>
      </w:pPr>
      <w:r w:rsidRPr="00AF725E">
        <w:rPr>
          <w:sz w:val="36"/>
          <w:szCs w:val="36"/>
          <w:rtl/>
        </w:rPr>
        <w:t>عرفا امکان تقیید به قیود مستحدثه وجود ندارد، در زمان شارع عرفی نیست که تقیید به قیودی بزنند که در عصر غیبت به وجود خواهد آمد و چون امکان تقیید نیست، اطلاق هم منعقد نمی شود.</w:t>
      </w:r>
    </w:p>
    <w:p w:rsidR="008509BD" w:rsidRDefault="008509BD" w:rsidP="008509BD">
      <w:pPr>
        <w:ind w:firstLine="720"/>
        <w:jc w:val="both"/>
        <w:rPr>
          <w:rFonts w:hint="cs"/>
          <w:sz w:val="36"/>
          <w:szCs w:val="36"/>
          <w:rtl/>
        </w:rPr>
      </w:pPr>
      <w:r w:rsidRPr="00AF725E">
        <w:rPr>
          <w:sz w:val="36"/>
          <w:szCs w:val="36"/>
          <w:rtl/>
        </w:rPr>
        <w:t>در ما نحن فیه هم المتمتع علیه الهدی، قابل تقیید به قیود مستحدث در غیبت نیست که حجاج از ذبح در منی منع می شوند و لذا اطلاق هم منعقد نمی شود.</w:t>
      </w:r>
    </w:p>
    <w:p w:rsidR="008509BD" w:rsidRPr="00AF725E" w:rsidRDefault="008509BD" w:rsidP="008509BD">
      <w:pPr>
        <w:pStyle w:val="Heading4"/>
        <w:rPr>
          <w:rFonts w:cs="B Badr"/>
          <w:rtl/>
        </w:rPr>
      </w:pPr>
      <w:bookmarkStart w:id="7" w:name="_Toc489461366"/>
      <w:r>
        <w:rPr>
          <w:rFonts w:hint="cs"/>
          <w:rtl/>
        </w:rPr>
        <w:t>مناقشه</w:t>
      </w:r>
      <w:bookmarkEnd w:id="7"/>
    </w:p>
    <w:p w:rsidR="008509BD" w:rsidRPr="00AF725E" w:rsidRDefault="008509BD" w:rsidP="008509BD">
      <w:pPr>
        <w:ind w:firstLine="720"/>
        <w:jc w:val="both"/>
        <w:rPr>
          <w:sz w:val="36"/>
          <w:szCs w:val="36"/>
          <w:rtl/>
        </w:rPr>
      </w:pPr>
      <w:r w:rsidRPr="00AF725E">
        <w:rPr>
          <w:sz w:val="36"/>
          <w:szCs w:val="36"/>
          <w:rtl/>
        </w:rPr>
        <w:t>ولی این بیان به نظر ما ناتمام است، چون برای این که ببینیم اطلاق ممکن است یا نه، باید تقییدی که در مقابل اوست را ببینیم و تقییدی که این جا در مقابل اطلاقات ذبح است، تقیید به ذبح در منی است و چون این تقیید اثباتی ممکن است، پس اطلاق اثباتی هم ممکن است.</w:t>
      </w:r>
    </w:p>
    <w:p w:rsidR="008509BD" w:rsidRPr="00AF725E" w:rsidRDefault="008509BD" w:rsidP="008509BD">
      <w:pPr>
        <w:ind w:firstLine="720"/>
        <w:jc w:val="both"/>
        <w:rPr>
          <w:sz w:val="36"/>
          <w:szCs w:val="36"/>
          <w:rtl/>
        </w:rPr>
      </w:pPr>
      <w:r w:rsidRPr="00AF725E">
        <w:rPr>
          <w:sz w:val="36"/>
          <w:szCs w:val="36"/>
          <w:rtl/>
        </w:rPr>
        <w:t>(این غیر از بحث گذشته است که می گفتیم لا ذبح الا بمنی، چون قابل تقیید به فرض عجز نوعی از ذبح در منی نیست، پس اطلاق هم ندارد، زیرا در آن جا تقابل بین اطلاق شرطیت ذبح در منی نسبت به فرض عجز نوعی با تقیید شرطیت ذبح در منی به فرض عجز عام بود و گفته می شد که عجز عام که در آن زمان نبوده است.)</w:t>
      </w:r>
    </w:p>
    <w:p w:rsidR="008509BD" w:rsidRPr="00AF725E" w:rsidRDefault="008509BD" w:rsidP="008509BD">
      <w:pPr>
        <w:ind w:firstLine="720"/>
        <w:jc w:val="both"/>
        <w:rPr>
          <w:sz w:val="36"/>
          <w:szCs w:val="36"/>
          <w:rtl/>
        </w:rPr>
      </w:pPr>
      <w:r w:rsidRPr="00AF725E">
        <w:rPr>
          <w:sz w:val="36"/>
          <w:szCs w:val="36"/>
          <w:rtl/>
        </w:rPr>
        <w:t>لذا بیان دوم برای منع از اطلاق قابل پذیرش نیست، اما اگر نتوانیم از بیان اول جواب بدهیم، علم اجمالی منجز، مقتضی احتیاط و جمع بین ذبح در خارج منی و صوم است.</w:t>
      </w:r>
    </w:p>
    <w:p w:rsidR="008509BD" w:rsidRPr="00AF725E" w:rsidRDefault="008509BD" w:rsidP="008509BD">
      <w:pPr>
        <w:ind w:firstLine="720"/>
        <w:jc w:val="both"/>
        <w:rPr>
          <w:sz w:val="36"/>
          <w:szCs w:val="36"/>
          <w:rtl/>
        </w:rPr>
      </w:pPr>
      <w:r w:rsidRPr="00AF725E">
        <w:rPr>
          <w:sz w:val="36"/>
          <w:szCs w:val="36"/>
          <w:rtl/>
        </w:rPr>
        <w:t xml:space="preserve">البته اشکال گسترده تر است، مرحوم خوئی چون قائل به اطلاق در دلیل امر به ذبح است، فرموده دلیل شرطیت ذبح در منی نسبت به حال عجز از ذبح در منی اطلاق ندارد و لذا به اطلاقات </w:t>
      </w:r>
      <w:r w:rsidRPr="00AF725E">
        <w:rPr>
          <w:sz w:val="36"/>
          <w:szCs w:val="36"/>
          <w:rtl/>
        </w:rPr>
        <w:lastRenderedPageBreak/>
        <w:t xml:space="preserve">اصل ذبح رجوع می کنیم، اما ما می گوییم حتی اگر دلیل شرطیت ذبح در منی مطلق باشد که محقق خوئی فرمود در آن صورت، نوبت به صوم می رسد، باز هم نوبت به رجوع به اصل عملی می رسد، زیرا ظاهر </w:t>
      </w:r>
      <w:r w:rsidRPr="008509BD">
        <w:rPr>
          <w:color w:val="008000"/>
          <w:sz w:val="36"/>
          <w:szCs w:val="36"/>
        </w:rPr>
        <w:sym w:font="Alaem" w:char="F047"/>
      </w:r>
      <w:r w:rsidRPr="008509BD">
        <w:rPr>
          <w:color w:val="008000"/>
          <w:sz w:val="36"/>
          <w:szCs w:val="36"/>
          <w:rtl/>
        </w:rPr>
        <w:t>فمن لم یجد فصیام ثلاثة ایام فی الحج</w:t>
      </w:r>
      <w:r w:rsidRPr="008509BD">
        <w:rPr>
          <w:color w:val="008000"/>
          <w:sz w:val="36"/>
          <w:szCs w:val="36"/>
        </w:rPr>
        <w:sym w:font="Alaem" w:char="F046"/>
      </w:r>
      <w:r w:rsidRPr="008509BD">
        <w:rPr>
          <w:color w:val="008000"/>
          <w:sz w:val="36"/>
          <w:szCs w:val="36"/>
          <w:rtl/>
        </w:rPr>
        <w:t xml:space="preserve"> ...</w:t>
      </w:r>
      <w:r w:rsidRPr="00AF725E">
        <w:rPr>
          <w:sz w:val="36"/>
          <w:szCs w:val="36"/>
          <w:rtl/>
        </w:rPr>
        <w:t xml:space="preserve"> این است که واجد الهدی نباشد و کسی که هدی دارد و به او اجازه ذبح در منی نمی دهند، عرفا مصداق فاقد الهدی نیست، عرفا فاقد الهدی به کسی می گویند که پول قربانی ندارد یا قربانی پیدا نمی کند.</w:t>
      </w:r>
    </w:p>
    <w:p w:rsidR="008509BD" w:rsidRDefault="008509BD" w:rsidP="008509BD">
      <w:pPr>
        <w:ind w:firstLine="720"/>
        <w:jc w:val="both"/>
        <w:rPr>
          <w:rFonts w:hint="cs"/>
          <w:sz w:val="36"/>
          <w:szCs w:val="36"/>
          <w:rtl/>
        </w:rPr>
      </w:pPr>
      <w:r w:rsidRPr="00AF725E">
        <w:rPr>
          <w:sz w:val="36"/>
          <w:szCs w:val="36"/>
          <w:rtl/>
        </w:rPr>
        <w:t>لذا این که ایشان مفروغ گرفته که اگر اطلاق در اصل دلیل ذبح ثابت شود، نوبت به صوم می رسد، نادرست است، بلکه نوبت به اصل عملی و علم اجمالی منجز می رسد.</w:t>
      </w:r>
    </w:p>
    <w:p w:rsidR="00983182" w:rsidRPr="00AF725E" w:rsidRDefault="00983182" w:rsidP="00983182">
      <w:pPr>
        <w:pStyle w:val="Heading3"/>
        <w:rPr>
          <w:rFonts w:cs="B Badr"/>
          <w:rtl/>
        </w:rPr>
      </w:pPr>
      <w:bookmarkStart w:id="8" w:name="_Toc489461367"/>
      <w:r>
        <w:rPr>
          <w:rFonts w:hint="cs"/>
          <w:rtl/>
        </w:rPr>
        <w:t>رد علم اجمالی در فرض اطلاق دلیل ذبح</w:t>
      </w:r>
      <w:bookmarkEnd w:id="8"/>
    </w:p>
    <w:p w:rsidR="008509BD" w:rsidRPr="00AF725E" w:rsidRDefault="008509BD" w:rsidP="008509BD">
      <w:pPr>
        <w:ind w:firstLine="720"/>
        <w:jc w:val="both"/>
        <w:rPr>
          <w:sz w:val="36"/>
          <w:szCs w:val="36"/>
          <w:rtl/>
        </w:rPr>
      </w:pPr>
      <w:r w:rsidRPr="00AF725E">
        <w:rPr>
          <w:sz w:val="36"/>
          <w:szCs w:val="36"/>
          <w:rtl/>
        </w:rPr>
        <w:t>ما برای گرفتار نشدن به علم اجمالی، سه راه بیان می کنیم:</w:t>
      </w:r>
    </w:p>
    <w:p w:rsidR="008509BD" w:rsidRPr="00AF725E" w:rsidRDefault="008509BD" w:rsidP="008509BD">
      <w:pPr>
        <w:ind w:firstLine="720"/>
        <w:jc w:val="both"/>
        <w:rPr>
          <w:sz w:val="36"/>
          <w:szCs w:val="36"/>
          <w:rtl/>
        </w:rPr>
      </w:pPr>
      <w:r w:rsidRPr="00AF725E">
        <w:rPr>
          <w:sz w:val="36"/>
          <w:szCs w:val="36"/>
          <w:rtl/>
        </w:rPr>
        <w:t>راه اول</w:t>
      </w:r>
    </w:p>
    <w:p w:rsidR="008509BD" w:rsidRPr="00AF725E" w:rsidRDefault="008509BD" w:rsidP="008509BD">
      <w:pPr>
        <w:ind w:firstLine="720"/>
        <w:jc w:val="both"/>
        <w:rPr>
          <w:sz w:val="36"/>
          <w:szCs w:val="36"/>
          <w:rtl/>
        </w:rPr>
      </w:pPr>
      <w:r w:rsidRPr="00AF725E">
        <w:rPr>
          <w:sz w:val="36"/>
          <w:szCs w:val="36"/>
          <w:rtl/>
        </w:rPr>
        <w:t xml:space="preserve">به اطلاق </w:t>
      </w:r>
      <w:r w:rsidR="00983182" w:rsidRPr="00983182">
        <w:rPr>
          <w:color w:val="008000"/>
          <w:sz w:val="36"/>
          <w:szCs w:val="36"/>
        </w:rPr>
        <w:sym w:font="Alaem" w:char="F047"/>
      </w:r>
      <w:r w:rsidRPr="00983182">
        <w:rPr>
          <w:color w:val="008000"/>
          <w:sz w:val="36"/>
          <w:szCs w:val="36"/>
          <w:rtl/>
        </w:rPr>
        <w:t>و اذن فی الناس بالحج</w:t>
      </w:r>
      <w:r w:rsidR="00983182" w:rsidRPr="00983182">
        <w:rPr>
          <w:color w:val="008000"/>
          <w:sz w:val="36"/>
          <w:szCs w:val="36"/>
        </w:rPr>
        <w:sym w:font="Alaem" w:char="F046"/>
      </w:r>
      <w:r w:rsidR="00983182">
        <w:rPr>
          <w:rStyle w:val="FootnoteReference"/>
          <w:sz w:val="36"/>
          <w:szCs w:val="36"/>
          <w:rtl/>
        </w:rPr>
        <w:footnoteReference w:id="2"/>
      </w:r>
      <w:r w:rsidRPr="00AF725E">
        <w:rPr>
          <w:sz w:val="36"/>
          <w:szCs w:val="36"/>
          <w:rtl/>
        </w:rPr>
        <w:t xml:space="preserve"> ... </w:t>
      </w:r>
      <w:r w:rsidR="00983182" w:rsidRPr="00983182">
        <w:rPr>
          <w:color w:val="008000"/>
          <w:sz w:val="36"/>
          <w:szCs w:val="36"/>
        </w:rPr>
        <w:sym w:font="Alaem" w:char="F047"/>
      </w:r>
      <w:r w:rsidRPr="00983182">
        <w:rPr>
          <w:color w:val="008000"/>
          <w:sz w:val="36"/>
          <w:szCs w:val="36"/>
          <w:rtl/>
        </w:rPr>
        <w:t>لَكُمْ فِيهَا مَنَافِعُ إِلَى أَجَلٍ مُسَمًّى ثُمَّ مَحِلُّهَا إِلَى الْبَيْتِ الْعَتِيقِ</w:t>
      </w:r>
      <w:r w:rsidR="00983182">
        <w:rPr>
          <w:rStyle w:val="FootnoteReference"/>
          <w:color w:val="008000"/>
          <w:sz w:val="36"/>
          <w:szCs w:val="36"/>
        </w:rPr>
        <w:footnoteReference w:id="3"/>
      </w:r>
      <w:r w:rsidR="00983182">
        <w:rPr>
          <w:color w:val="008000"/>
          <w:sz w:val="36"/>
          <w:szCs w:val="36"/>
        </w:rPr>
        <w:sym w:font="Alaem" w:char="F046"/>
      </w:r>
      <w:r w:rsidRPr="00AF725E">
        <w:rPr>
          <w:sz w:val="36"/>
          <w:szCs w:val="36"/>
          <w:rtl/>
        </w:rPr>
        <w:t xml:space="preserve"> رجوع می</w:t>
      </w:r>
      <w:r w:rsidRPr="00AF725E">
        <w:rPr>
          <w:sz w:val="36"/>
          <w:szCs w:val="36"/>
          <w:rtl/>
        </w:rPr>
        <w:softHyphen/>
        <w:t>کنیم، اطلاق محلها الی البیت العتیق می گوید باید ذبح قریب به بیت عتیق انجام شود و نهایتا در موارد تمکن، به ذبح در منی تقیید می خورد.</w:t>
      </w:r>
    </w:p>
    <w:p w:rsidR="008509BD" w:rsidRPr="00AF725E" w:rsidRDefault="008509BD" w:rsidP="008509BD">
      <w:pPr>
        <w:ind w:firstLine="720"/>
        <w:jc w:val="both"/>
        <w:rPr>
          <w:sz w:val="36"/>
          <w:szCs w:val="36"/>
          <w:rtl/>
        </w:rPr>
      </w:pPr>
      <w:r w:rsidRPr="00AF725E">
        <w:rPr>
          <w:sz w:val="36"/>
          <w:szCs w:val="36"/>
          <w:rtl/>
        </w:rPr>
        <w:t>این آیه در مقام بیان است، زیرا جزئیات بسیاری از ذبح و احکام آن را بیان کرده است.</w:t>
      </w:r>
    </w:p>
    <w:p w:rsidR="008509BD" w:rsidRPr="00AF725E" w:rsidRDefault="008509BD" w:rsidP="008509BD">
      <w:pPr>
        <w:ind w:firstLine="720"/>
        <w:jc w:val="both"/>
        <w:rPr>
          <w:sz w:val="36"/>
          <w:szCs w:val="36"/>
          <w:rtl/>
        </w:rPr>
      </w:pPr>
      <w:r w:rsidRPr="00AF725E">
        <w:rPr>
          <w:sz w:val="36"/>
          <w:szCs w:val="36"/>
          <w:rtl/>
        </w:rPr>
        <w:lastRenderedPageBreak/>
        <w:t>لذا ما می گوییم وقتی دلیل شرطیت ذبح در منی اطلاق ندارد، این آیه می گوید ذبح قربانی در حرم که قریب به بیت عتیق است، واجب می باشد و از این آیه استفاده می شود که ذبح در غیر حرم نیز مجزی نیست.</w:t>
      </w:r>
    </w:p>
    <w:p w:rsidR="008509BD" w:rsidRPr="00AF725E" w:rsidRDefault="008509BD" w:rsidP="008509BD">
      <w:pPr>
        <w:ind w:firstLine="720"/>
        <w:jc w:val="both"/>
        <w:rPr>
          <w:sz w:val="36"/>
          <w:szCs w:val="36"/>
          <w:rtl/>
        </w:rPr>
      </w:pPr>
      <w:r w:rsidRPr="00AF725E">
        <w:rPr>
          <w:sz w:val="36"/>
          <w:szCs w:val="36"/>
          <w:rtl/>
        </w:rPr>
        <w:t>راه دوم</w:t>
      </w:r>
    </w:p>
    <w:p w:rsidR="008509BD" w:rsidRPr="00983182" w:rsidRDefault="008509BD" w:rsidP="008509BD">
      <w:pPr>
        <w:ind w:firstLine="720"/>
        <w:jc w:val="both"/>
        <w:rPr>
          <w:color w:val="008000"/>
          <w:sz w:val="36"/>
          <w:szCs w:val="36"/>
        </w:rPr>
      </w:pPr>
      <w:r w:rsidRPr="00AF725E">
        <w:rPr>
          <w:sz w:val="36"/>
          <w:szCs w:val="36"/>
          <w:rtl/>
        </w:rPr>
        <w:t xml:space="preserve">از روایات استفاده می شود که به مجرد عجز از ذبح در منی، قربانی ساقط نمی شود، بدل صوم برای کسی است که پول قربانی ندارد یا قربانی پیدا نمی کند، مثل روایت نضر بن قرواش: </w:t>
      </w:r>
      <w:r w:rsidRPr="00983182">
        <w:rPr>
          <w:color w:val="008000"/>
          <w:sz w:val="36"/>
          <w:szCs w:val="36"/>
          <w:rtl/>
        </w:rPr>
        <w:t>وَ بِإِسْنَادِهِ عَنْ أَحْمَدَ بْنِ مُحَمَّدِ بْنِ عِيسَى عَنْ أَحْمَدَ بْنِ مُحَمَّدِ بْنِ أَبِي نَصْرٍ عَنِ النَّضْرِ بْنِ قِرْوَاشٍ قَالَ: سَأَلْتُ أَبَا عَبْدِ اللَّهِ ع عَنْ رَجُلٍ تَمَتَّعَ بِالْعُمْرَةِ إِلَى الْحَجِّ- فَوَجَبَ عَلَيْهِ النُّسُكُ فَطَلَبَهُ فَلَمْ يَجِدْهُ- وَ هُوَ مُوسِرٌ حَسَنُ الْحَالِ وَ هُوَ يَضْعُفُ عَنِ الصِّيَامِ- فَمَا يَنْبَغِي لَهُ أَنْ يَصْنَعَ قَالَ- يَدْفَعُ ثَمَنَ النُّسُكِ إِلَى مَنْ يَذْبَحُهُ بِمَكَّةَ- إِنْ كَانَ يُرِيدُ الْمُضِيَّ إِلَى أَهْلِهِ- وَ لْيَذْبَحْ عَنْهُ فِي ذِي الْحِجَّةِ- فَقُلْتُ فَإِنَّهُ دَفَعَهُ إِلَى مَنْ يَذْبَحُ عَنْهُ- فَلَمْ يُصِبْ فِي ذِي الْحِجَّةِ نُسُكاً وَ أَصَابَهُ بَعْدَ ذَلِكَ- قَالَ لَا يَذْبَحُ عَنْهُ إِلَّا فِي</w:t>
      </w:r>
      <w:r w:rsidRPr="00983182">
        <w:rPr>
          <w:color w:val="008000"/>
          <w:sz w:val="36"/>
          <w:szCs w:val="36"/>
        </w:rPr>
        <w:t>‌</w:t>
      </w:r>
      <w:r w:rsidRPr="00983182">
        <w:rPr>
          <w:color w:val="008000"/>
          <w:sz w:val="36"/>
          <w:szCs w:val="36"/>
          <w:rtl/>
        </w:rPr>
        <w:t xml:space="preserve"> ذِي الْحِجَّةِ وَ لَوْ أَخَّرَهُ إِلَى قَابِلٍ.</w:t>
      </w:r>
      <w:r w:rsidRPr="00983182">
        <w:rPr>
          <w:color w:val="008000"/>
          <w:sz w:val="36"/>
          <w:szCs w:val="36"/>
          <w:vertAlign w:val="superscript"/>
          <w:rtl/>
        </w:rPr>
        <w:footnoteReference w:id="4"/>
      </w:r>
    </w:p>
    <w:p w:rsidR="008509BD" w:rsidRPr="00AF725E" w:rsidRDefault="008509BD" w:rsidP="008509BD">
      <w:pPr>
        <w:ind w:firstLine="720"/>
        <w:jc w:val="both"/>
        <w:rPr>
          <w:sz w:val="36"/>
          <w:szCs w:val="36"/>
        </w:rPr>
      </w:pPr>
      <w:r w:rsidRPr="00AF725E">
        <w:rPr>
          <w:sz w:val="36"/>
          <w:szCs w:val="36"/>
          <w:rtl/>
        </w:rPr>
        <w:t>حضرت درباره کسی که قادر بر قربانی و روزه نیست، فرموده پول به کسی بدهد که هرگاه هدی پیدا شد، در مکه ذبح کند و معلوم می شود که شرطیت ذبح به منی، مطلقه نیست، اما چنین نیست که در هر جا بتواند ذبح کند، بلکه باید در خود مکه ذبح کند.</w:t>
      </w:r>
    </w:p>
    <w:p w:rsidR="008509BD" w:rsidRPr="00AF725E" w:rsidRDefault="008509BD" w:rsidP="008509BD">
      <w:pPr>
        <w:ind w:firstLine="720"/>
        <w:jc w:val="both"/>
        <w:rPr>
          <w:sz w:val="36"/>
          <w:szCs w:val="36"/>
          <w:rtl/>
        </w:rPr>
      </w:pPr>
      <w:r w:rsidRPr="00AF725E">
        <w:rPr>
          <w:sz w:val="36"/>
          <w:szCs w:val="36"/>
          <w:rtl/>
        </w:rPr>
        <w:t>نذر بن قرواش مروی عنه صفوان است و در کتب مختلفی این نقل شده و لذا به شهادت شیخ طوسی ثقه است.</w:t>
      </w:r>
    </w:p>
    <w:p w:rsidR="008509BD" w:rsidRPr="00AF725E" w:rsidRDefault="008509BD" w:rsidP="008509BD">
      <w:pPr>
        <w:ind w:firstLine="720"/>
        <w:jc w:val="both"/>
        <w:rPr>
          <w:sz w:val="36"/>
          <w:szCs w:val="36"/>
        </w:rPr>
      </w:pPr>
      <w:r w:rsidRPr="00AF725E">
        <w:rPr>
          <w:sz w:val="36"/>
          <w:szCs w:val="36"/>
          <w:rtl/>
        </w:rPr>
        <w:lastRenderedPageBreak/>
        <w:t>صحیحه معاویة بن عمار</w:t>
      </w:r>
      <w:r w:rsidRPr="00983182">
        <w:rPr>
          <w:color w:val="008000"/>
          <w:sz w:val="36"/>
          <w:szCs w:val="36"/>
          <w:rtl/>
        </w:rPr>
        <w:t>: وَ عَنْ أَبِي عَلِيٍّ الْأَشْعَرِيِّ عَنْ مُحَمَّدِ بْنِ عَبْدِ الْجَبَّارِ عَنْ صَفْوَانَ بْنِ يَحْيَى عَنْ مُعَاوِيَةَ بْنِ عَمَّارٍ عَنْ أَبِي عَبْدِ اللَّهِ ع فِي رَجُلٍ نَسِيَ أَنْ يَذْبَحَ بِمِنًى حَتَّى زَارَ الْبَيْتَ- فَاشْتَرَى بِمَكَّةَ ثُمَّ ذَبَحَ قَالَ لَا بَأْسَ قَدْ أَجْزَأَ عَنْهُ.</w:t>
      </w:r>
      <w:r w:rsidRPr="00983182">
        <w:rPr>
          <w:color w:val="008000"/>
          <w:sz w:val="36"/>
          <w:szCs w:val="36"/>
          <w:vertAlign w:val="superscript"/>
          <w:rtl/>
        </w:rPr>
        <w:footnoteReference w:id="5"/>
      </w:r>
    </w:p>
    <w:p w:rsidR="008509BD" w:rsidRPr="00AF725E" w:rsidRDefault="008509BD" w:rsidP="008509BD">
      <w:pPr>
        <w:ind w:firstLine="720"/>
        <w:jc w:val="both"/>
        <w:rPr>
          <w:sz w:val="36"/>
          <w:szCs w:val="36"/>
          <w:rtl/>
        </w:rPr>
      </w:pPr>
      <w:r w:rsidRPr="00AF725E">
        <w:rPr>
          <w:sz w:val="36"/>
          <w:szCs w:val="36"/>
          <w:rtl/>
        </w:rPr>
        <w:t>ظاهر روایت این است که در مکه ذبح کرده است و مفاد این روایت با شرطیت مطلقه ذبح در منی نمی</w:t>
      </w:r>
      <w:r w:rsidRPr="00AF725E">
        <w:rPr>
          <w:sz w:val="36"/>
          <w:szCs w:val="36"/>
          <w:rtl/>
        </w:rPr>
        <w:softHyphen/>
        <w:t>سازد.</w:t>
      </w:r>
    </w:p>
    <w:p w:rsidR="008509BD" w:rsidRPr="00AF725E" w:rsidRDefault="008509BD" w:rsidP="008509BD">
      <w:pPr>
        <w:ind w:firstLine="720"/>
        <w:jc w:val="both"/>
        <w:rPr>
          <w:sz w:val="36"/>
          <w:szCs w:val="36"/>
        </w:rPr>
      </w:pPr>
      <w:r w:rsidRPr="00AF725E">
        <w:rPr>
          <w:sz w:val="36"/>
          <w:szCs w:val="36"/>
          <w:rtl/>
        </w:rPr>
        <w:t xml:space="preserve">صحیحه حریز: </w:t>
      </w:r>
      <w:r w:rsidRPr="00983182">
        <w:rPr>
          <w:color w:val="008000"/>
          <w:sz w:val="36"/>
          <w:szCs w:val="36"/>
          <w:rtl/>
        </w:rPr>
        <w:t>مُحَمَّدُ بْنُ يَعْقُوبَ عَنْ عَلِيِّ بْنِ إِبْرَاهِيمَ عَنْ أَبِيهِ عَنْ حَمَّادِ بْنِ عِيسَى عَنْ حَرِيزٍ عَنْ أَبِي عَبْدِ اللَّهِ ع فِي مُتَمَتِّعٍ يَجِدُ الثَّمَنَ وَ لَا يَجِدُ الْغَنَمَ- قَالَ يُخَلِّفُ الثَّمَنَ عِنْدَ بَعْضِ أَهْلِ مَكَّةَ- وَ يَأْمُرُ مَنْ يَشْتَرِي لَهُ وَ يَذْبَحُ عَنْهُ وَ هُوَ يُجْزِئُ عَنْهُ- فَإِنْ مَضَى ذُو الْحِجَّةِ أَخَّرَ ذَلِكَ إِلَى قَابِلٍ مِنْ ذِي الْحِجَّةِ.</w:t>
      </w:r>
      <w:r w:rsidRPr="00983182">
        <w:rPr>
          <w:color w:val="008000"/>
          <w:sz w:val="36"/>
          <w:szCs w:val="36"/>
          <w:vertAlign w:val="superscript"/>
          <w:rtl/>
        </w:rPr>
        <w:footnoteReference w:id="6"/>
      </w:r>
    </w:p>
    <w:p w:rsidR="008509BD" w:rsidRPr="00AF725E" w:rsidRDefault="008509BD" w:rsidP="008509BD">
      <w:pPr>
        <w:ind w:firstLine="720"/>
        <w:jc w:val="both"/>
        <w:rPr>
          <w:sz w:val="36"/>
          <w:szCs w:val="36"/>
          <w:rtl/>
        </w:rPr>
      </w:pPr>
      <w:r w:rsidRPr="00AF725E">
        <w:rPr>
          <w:sz w:val="36"/>
          <w:szCs w:val="36"/>
          <w:rtl/>
        </w:rPr>
        <w:t>راه سوم</w:t>
      </w:r>
    </w:p>
    <w:p w:rsidR="008509BD" w:rsidRPr="00AF725E" w:rsidRDefault="008509BD" w:rsidP="008509BD">
      <w:pPr>
        <w:ind w:firstLine="720"/>
        <w:jc w:val="both"/>
        <w:rPr>
          <w:sz w:val="36"/>
          <w:szCs w:val="36"/>
          <w:rtl/>
        </w:rPr>
      </w:pPr>
      <w:r w:rsidRPr="00AF725E">
        <w:rPr>
          <w:sz w:val="36"/>
          <w:szCs w:val="36"/>
          <w:rtl/>
        </w:rPr>
        <w:t>ملاک هدی حج، اطعام فقیر و تاسی به حضرت ابراهیم علیه السلام است و قطعا این ملاک در صورت عجز عام ساقط نمی شود، قطع از مذاق شارع حاصل می شود که به سقوط وجوب ذبح و این که همه مردم روزه بگیرند، راضی نیست.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1C" w:rsidRDefault="0082701C" w:rsidP="008B750B">
      <w:pPr>
        <w:spacing w:line="240" w:lineRule="auto"/>
      </w:pPr>
      <w:r>
        <w:separator/>
      </w:r>
    </w:p>
  </w:endnote>
  <w:endnote w:type="continuationSeparator" w:id="0">
    <w:p w:rsidR="0082701C" w:rsidRDefault="0082701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83182" w:rsidRPr="0098318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4B33F6" w:rsidP="001B6799">
          <w:pPr>
            <w:pStyle w:val="Footer"/>
            <w:bidi w:val="0"/>
            <w:rPr>
              <w:color w:val="808080" w:themeColor="background1" w:themeShade="80"/>
              <w:rtl/>
            </w:rPr>
          </w:pPr>
          <w:bookmarkStart w:id="16" w:name="BokAdres"/>
          <w:bookmarkEnd w:id="16"/>
          <w:r>
            <w:rPr>
              <w:color w:val="808080" w:themeColor="background1" w:themeShade="80"/>
            </w:rPr>
            <w:t>F1ms1_13940311-144_mf1_mfeb.ir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1C" w:rsidRDefault="0082701C" w:rsidP="008B750B">
      <w:pPr>
        <w:spacing w:line="240" w:lineRule="auto"/>
      </w:pPr>
      <w:r>
        <w:separator/>
      </w:r>
    </w:p>
  </w:footnote>
  <w:footnote w:type="continuationSeparator" w:id="0">
    <w:p w:rsidR="0082701C" w:rsidRDefault="0082701C" w:rsidP="008B750B">
      <w:pPr>
        <w:spacing w:line="240" w:lineRule="auto"/>
      </w:pPr>
      <w:r>
        <w:continuationSeparator/>
      </w:r>
    </w:p>
  </w:footnote>
  <w:footnote w:id="1">
    <w:p w:rsidR="008509BD" w:rsidRDefault="008509BD" w:rsidP="008509BD">
      <w:pPr>
        <w:pStyle w:val="FootnoteText"/>
      </w:pPr>
      <w:hyperlink r:id="rId1" w:history="1">
        <w:r w:rsidRPr="008509BD">
          <w:rPr>
            <w:rStyle w:val="Hyperlink"/>
            <w:vertAlign w:val="superscript"/>
          </w:rPr>
          <w:footnoteRef/>
        </w:r>
        <w:r w:rsidRPr="008509BD">
          <w:rPr>
            <w:rStyle w:val="Hyperlink"/>
            <w:rtl/>
          </w:rPr>
          <w:t xml:space="preserve"> وسائل الشيعة؛ ج‌14؛ 101؛ 10 باب أنه يجزئ المتمتع شاة و يستحب الزيادة و التعدد و كذا الأضحية ؛ ج 14، ص : 100</w:t>
        </w:r>
      </w:hyperlink>
    </w:p>
  </w:footnote>
  <w:footnote w:id="2">
    <w:p w:rsidR="00983182" w:rsidRPr="00983182" w:rsidRDefault="00983182" w:rsidP="00983182">
      <w:pPr>
        <w:pStyle w:val="FootnoteText"/>
        <w:rPr>
          <w:rFonts w:hint="cs"/>
          <w:rtl/>
        </w:rPr>
      </w:pPr>
      <w:hyperlink r:id="rId2" w:history="1">
        <w:r w:rsidRPr="00983182">
          <w:rPr>
            <w:rStyle w:val="Hyperlink"/>
          </w:rPr>
          <w:footnoteRef/>
        </w:r>
        <w:r w:rsidRPr="00983182">
          <w:rPr>
            <w:rStyle w:val="Hyperlink"/>
            <w:rtl/>
          </w:rPr>
          <w:t xml:space="preserve"> </w:t>
        </w:r>
        <w:r w:rsidRPr="00983182">
          <w:rPr>
            <w:rStyle w:val="Hyperlink"/>
            <w:rFonts w:hint="cs"/>
            <w:rtl/>
          </w:rPr>
          <w:t>سوره</w:t>
        </w:r>
        <w:r w:rsidRPr="00983182">
          <w:rPr>
            <w:rStyle w:val="Hyperlink"/>
            <w:rtl/>
          </w:rPr>
          <w:t xml:space="preserve"> </w:t>
        </w:r>
        <w:r w:rsidRPr="00983182">
          <w:rPr>
            <w:rStyle w:val="Hyperlink"/>
            <w:rFonts w:hint="cs"/>
            <w:rtl/>
          </w:rPr>
          <w:t>الحج،</w:t>
        </w:r>
        <w:r w:rsidRPr="00983182">
          <w:rPr>
            <w:rStyle w:val="Hyperlink"/>
            <w:rtl/>
          </w:rPr>
          <w:t xml:space="preserve"> </w:t>
        </w:r>
        <w:r w:rsidRPr="00983182">
          <w:rPr>
            <w:rStyle w:val="Hyperlink"/>
            <w:rFonts w:hint="cs"/>
            <w:rtl/>
          </w:rPr>
          <w:t>آيه</w:t>
        </w:r>
        <w:r w:rsidRPr="00983182">
          <w:rPr>
            <w:rStyle w:val="Hyperlink"/>
            <w:rtl/>
          </w:rPr>
          <w:t xml:space="preserve"> </w:t>
        </w:r>
        <w:r>
          <w:rPr>
            <w:rStyle w:val="Hyperlink"/>
            <w:rFonts w:hint="cs"/>
            <w:rtl/>
          </w:rPr>
          <w:t>27</w:t>
        </w:r>
      </w:hyperlink>
    </w:p>
  </w:footnote>
  <w:footnote w:id="3">
    <w:p w:rsidR="00983182" w:rsidRPr="00983182" w:rsidRDefault="00983182" w:rsidP="00983182">
      <w:pPr>
        <w:pStyle w:val="FootnoteText"/>
        <w:rPr>
          <w:rFonts w:hint="cs"/>
          <w:rtl/>
        </w:rPr>
      </w:pPr>
      <w:hyperlink r:id="rId3" w:history="1">
        <w:r w:rsidRPr="00983182">
          <w:rPr>
            <w:rStyle w:val="Hyperlink"/>
          </w:rPr>
          <w:footnoteRef/>
        </w:r>
        <w:r w:rsidRPr="00983182">
          <w:rPr>
            <w:rStyle w:val="Hyperlink"/>
            <w:rtl/>
          </w:rPr>
          <w:t xml:space="preserve"> </w:t>
        </w:r>
        <w:r w:rsidRPr="00983182">
          <w:rPr>
            <w:rStyle w:val="Hyperlink"/>
            <w:rFonts w:hint="cs"/>
            <w:rtl/>
          </w:rPr>
          <w:t>سوره</w:t>
        </w:r>
        <w:r w:rsidRPr="00983182">
          <w:rPr>
            <w:rStyle w:val="Hyperlink"/>
            <w:rtl/>
          </w:rPr>
          <w:t xml:space="preserve"> </w:t>
        </w:r>
        <w:r w:rsidRPr="00983182">
          <w:rPr>
            <w:rStyle w:val="Hyperlink"/>
            <w:rFonts w:hint="cs"/>
            <w:rtl/>
          </w:rPr>
          <w:t>الحج،</w:t>
        </w:r>
        <w:r w:rsidRPr="00983182">
          <w:rPr>
            <w:rStyle w:val="Hyperlink"/>
            <w:rtl/>
          </w:rPr>
          <w:t xml:space="preserve"> </w:t>
        </w:r>
        <w:r w:rsidRPr="00983182">
          <w:rPr>
            <w:rStyle w:val="Hyperlink"/>
            <w:rFonts w:hint="cs"/>
            <w:rtl/>
          </w:rPr>
          <w:t>آيه</w:t>
        </w:r>
        <w:r w:rsidRPr="00983182">
          <w:rPr>
            <w:rStyle w:val="Hyperlink"/>
            <w:rtl/>
          </w:rPr>
          <w:t xml:space="preserve"> 33.</w:t>
        </w:r>
      </w:hyperlink>
    </w:p>
  </w:footnote>
  <w:footnote w:id="4">
    <w:p w:rsidR="008509BD" w:rsidRDefault="00983182" w:rsidP="008509BD">
      <w:pPr>
        <w:pStyle w:val="FootnoteText"/>
      </w:pPr>
      <w:hyperlink r:id="rId4" w:history="1">
        <w:r w:rsidR="008509BD" w:rsidRPr="00983182">
          <w:rPr>
            <w:rStyle w:val="Hyperlink"/>
            <w:vertAlign w:val="superscript"/>
          </w:rPr>
          <w:footnoteRef/>
        </w:r>
        <w:r w:rsidR="008509BD" w:rsidRPr="00983182">
          <w:rPr>
            <w:rStyle w:val="Hyperlink"/>
            <w:rtl/>
          </w:rPr>
          <w:t xml:space="preserve"> </w:t>
        </w:r>
        <w:r w:rsidR="008509BD" w:rsidRPr="00983182">
          <w:rPr>
            <w:rStyle w:val="Hyperlink"/>
            <w:rtl/>
          </w:rPr>
          <w:t>وسائل الشيعة؛ ج‌14؛ 176؛ 44 باب أن من عدم الهدي و وجد الثمن وجب أن يخلفه عند ثقة يشتريه و يذبحه في ذي الحجة و إلا فمن قابل فيه و من وجد الثمن بعد أيام الذبح صام ؛ ج 14، ص : 176</w:t>
        </w:r>
      </w:hyperlink>
    </w:p>
  </w:footnote>
  <w:footnote w:id="5">
    <w:p w:rsidR="008509BD" w:rsidRDefault="008509BD" w:rsidP="008509BD">
      <w:pPr>
        <w:pStyle w:val="FootnoteText"/>
      </w:pPr>
      <w:r>
        <w:rPr>
          <w:rStyle w:val="FootnoteReference"/>
        </w:rPr>
        <w:footnoteRef/>
      </w:r>
      <w:r>
        <w:rPr>
          <w:rtl/>
        </w:rPr>
        <w:t xml:space="preserve"> </w:t>
      </w:r>
      <w:r>
        <w:rPr>
          <w:rtl/>
        </w:rPr>
        <w:t xml:space="preserve">وَ </w:t>
      </w:r>
      <w:r>
        <w:rPr>
          <w:rtl/>
        </w:rPr>
        <w:t>عَنْ أَبِي عَلِيٍّ الْأَشْعَرِيِّ عَنْ مُحَمَّدِ بْنِ عَبْدِ الْجَبَّارِ عَنْ صَفْوَانَ بْنِ يَحْيَى عَنْ مُعَاوِيَةَ بْنِ عَمَّارٍ عَنْ أَبِي عَبْدِ اللَّهِ ع فِي رَجُلٍ نَسِيَ أَنْ يَذْبَحَ بِمِنًى حَتَّى زَارَ الْبَيْتَ- فَاشْتَرَى بِمَكَّةَ ثُمَّ ذَبَحَ قَالَ لَا بَأْسَ قَدْ أَجْزَأَ عَنْهُ.</w:t>
      </w:r>
    </w:p>
  </w:footnote>
  <w:footnote w:id="6">
    <w:p w:rsidR="008509BD" w:rsidRDefault="00983182" w:rsidP="008509BD">
      <w:pPr>
        <w:pStyle w:val="FootnoteText"/>
      </w:pPr>
      <w:hyperlink r:id="rId5" w:history="1">
        <w:r w:rsidR="008509BD" w:rsidRPr="00983182">
          <w:rPr>
            <w:rStyle w:val="Hyperlink"/>
            <w:vertAlign w:val="superscript"/>
          </w:rPr>
          <w:footnoteRef/>
        </w:r>
        <w:r w:rsidR="008509BD" w:rsidRPr="00983182">
          <w:rPr>
            <w:rStyle w:val="Hyperlink"/>
            <w:rtl/>
          </w:rPr>
          <w:t xml:space="preserve"> </w:t>
        </w:r>
        <w:r w:rsidR="008509BD" w:rsidRPr="00983182">
          <w:rPr>
            <w:rStyle w:val="Hyperlink"/>
            <w:rtl/>
          </w:rPr>
          <w:t>وسائل الشيعة؛ ج‌14؛ 176؛ 44 باب أن من عدم الهدي و وجد الثمن وجب أن يخلفه عند ثقة يشتريه و يذبحه في ذي الحجة و إلا فمن قابل فيه و من وجد الثمن بعد أيام الذبح صام ؛ ج 14، ص : 176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4B33F6">
      <w:rPr>
        <w:b/>
        <w:bCs/>
        <w:sz w:val="20"/>
        <w:szCs w:val="24"/>
        <w:rtl/>
      </w:rPr>
      <w:t>144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4B33F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4B33F6">
      <w:rPr>
        <w:rFonts w:hint="cs"/>
        <w:b/>
        <w:bCs/>
        <w:color w:val="632423" w:themeColor="accent2" w:themeShade="80"/>
        <w:sz w:val="20"/>
        <w:szCs w:val="24"/>
        <w:rtl/>
      </w:rPr>
      <w:t>آيت</w:t>
    </w:r>
    <w:r w:rsidR="004B33F6">
      <w:rPr>
        <w:b/>
        <w:bCs/>
        <w:color w:val="632423" w:themeColor="accent2" w:themeShade="80"/>
        <w:sz w:val="20"/>
        <w:szCs w:val="24"/>
        <w:rtl/>
      </w:rPr>
      <w:t xml:space="preserve"> </w:t>
    </w:r>
    <w:r w:rsidR="004B33F6">
      <w:rPr>
        <w:rFonts w:hint="cs"/>
        <w:b/>
        <w:bCs/>
        <w:color w:val="632423" w:themeColor="accent2" w:themeShade="80"/>
        <w:sz w:val="20"/>
        <w:szCs w:val="24"/>
        <w:rtl/>
      </w:rPr>
      <w:t>الله</w:t>
    </w:r>
    <w:r w:rsidR="004B33F6">
      <w:rPr>
        <w:b/>
        <w:bCs/>
        <w:color w:val="632423" w:themeColor="accent2" w:themeShade="80"/>
        <w:sz w:val="20"/>
        <w:szCs w:val="24"/>
        <w:rtl/>
      </w:rPr>
      <w:t xml:space="preserve"> </w:t>
    </w:r>
    <w:r w:rsidR="004B33F6">
      <w:rPr>
        <w:rFonts w:hint="cs"/>
        <w:b/>
        <w:bCs/>
        <w:color w:val="632423" w:themeColor="accent2" w:themeShade="80"/>
        <w:sz w:val="20"/>
        <w:szCs w:val="24"/>
        <w:rtl/>
      </w:rPr>
      <w:t>العظمي</w:t>
    </w:r>
    <w:r w:rsidR="004B33F6">
      <w:rPr>
        <w:b/>
        <w:bCs/>
        <w:color w:val="632423" w:themeColor="accent2" w:themeShade="80"/>
        <w:sz w:val="20"/>
        <w:szCs w:val="24"/>
        <w:rtl/>
      </w:rPr>
      <w:t xml:space="preserve"> </w:t>
    </w:r>
    <w:r w:rsidR="004B33F6">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4B33F6">
      <w:rPr>
        <w:sz w:val="24"/>
        <w:szCs w:val="24"/>
        <w:rtl/>
      </w:rPr>
      <w:t>11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4B33F6">
      <w:rPr>
        <w:rFonts w:hint="cs"/>
        <w:sz w:val="24"/>
        <w:szCs w:val="24"/>
        <w:rtl/>
      </w:rPr>
      <w:t>اعمال</w:t>
    </w:r>
    <w:r w:rsidR="004B33F6">
      <w:rPr>
        <w:sz w:val="24"/>
        <w:szCs w:val="24"/>
        <w:rtl/>
      </w:rPr>
      <w:t xml:space="preserve"> </w:t>
    </w:r>
    <w:r w:rsidR="004B33F6">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4B33F6">
      <w:rPr>
        <w:rFonts w:hint="cs"/>
        <w:sz w:val="24"/>
        <w:szCs w:val="24"/>
        <w:rtl/>
      </w:rPr>
      <w:t>مرکز</w:t>
    </w:r>
    <w:r w:rsidR="004B33F6">
      <w:rPr>
        <w:sz w:val="24"/>
        <w:szCs w:val="24"/>
        <w:rtl/>
      </w:rPr>
      <w:t xml:space="preserve"> </w:t>
    </w:r>
    <w:r w:rsidR="004B33F6">
      <w:rPr>
        <w:rFonts w:hint="cs"/>
        <w:sz w:val="24"/>
        <w:szCs w:val="24"/>
        <w:rtl/>
      </w:rPr>
      <w:t>فقهي</w:t>
    </w:r>
    <w:r w:rsidR="004B33F6">
      <w:rPr>
        <w:sz w:val="24"/>
        <w:szCs w:val="24"/>
        <w:rtl/>
      </w:rPr>
      <w:t xml:space="preserve"> </w:t>
    </w:r>
    <w:r w:rsidR="004B33F6">
      <w:rPr>
        <w:rFonts w:hint="cs"/>
        <w:sz w:val="24"/>
        <w:szCs w:val="24"/>
        <w:rtl/>
      </w:rPr>
      <w:t>امام</w:t>
    </w:r>
    <w:r w:rsidR="004B33F6">
      <w:rPr>
        <w:sz w:val="24"/>
        <w:szCs w:val="24"/>
        <w:rtl/>
      </w:rPr>
      <w:t xml:space="preserve"> </w:t>
    </w:r>
    <w:r w:rsidR="004B33F6">
      <w:rPr>
        <w:rFonts w:hint="cs"/>
        <w:sz w:val="24"/>
        <w:szCs w:val="24"/>
        <w:rtl/>
      </w:rPr>
      <w:t>محمد</w:t>
    </w:r>
    <w:r w:rsidR="004B33F6">
      <w:rPr>
        <w:sz w:val="24"/>
        <w:szCs w:val="24"/>
        <w:rtl/>
      </w:rPr>
      <w:t xml:space="preserve"> </w:t>
    </w:r>
    <w:r w:rsidR="004B33F6">
      <w:rPr>
        <w:rFonts w:hint="cs"/>
        <w:sz w:val="24"/>
        <w:szCs w:val="24"/>
        <w:rtl/>
      </w:rPr>
      <w:t>باقر</w:t>
    </w:r>
    <w:r w:rsidR="004B33F6">
      <w:rPr>
        <w:sz w:val="24"/>
        <w:szCs w:val="24"/>
        <w:rtl/>
      </w:rPr>
      <w:t xml:space="preserve"> </w:t>
    </w:r>
    <w:r w:rsidR="004B33F6">
      <w:rPr>
        <w:rFonts w:hint="cs"/>
        <w:sz w:val="24"/>
        <w:szCs w:val="24"/>
        <w:rtl/>
      </w:rPr>
      <w:t>عليه</w:t>
    </w:r>
    <w:r w:rsidR="004B33F6">
      <w:rPr>
        <w:sz w:val="24"/>
        <w:szCs w:val="24"/>
        <w:rtl/>
      </w:rPr>
      <w:t xml:space="preserve"> </w:t>
    </w:r>
    <w:r w:rsidR="004B33F6">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4B33F6">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B33F6"/>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701C"/>
    <w:rsid w:val="00830C53"/>
    <w:rsid w:val="00837FAA"/>
    <w:rsid w:val="00841F77"/>
    <w:rsid w:val="008509B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3182"/>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8509BD"/>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983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8509BD"/>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983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7001/1/336/%D9%85%D9%8E%D8%AD%D9%90%D9%84%D9%91%D9%8F%D9%87%D9%8E%D8%A7_%D8%A5%D9%90%D9%84%D9%8E%D9%89_%D8%A7%D9%84%D9%92%D8%A8%D9%8E%D9%8A%D9%92%D8%AA%D9%90" TargetMode="External"/><Relationship Id="rId2" Type="http://schemas.openxmlformats.org/officeDocument/2006/relationships/hyperlink" Target="http://lib.eshia.ir/17001/1/335/%D9%81%DB%8C_%D8%A7%D9%84%D9%86%D8%A7%D8%B3_%D8%A8%D8%A7%D9%84%D8%AD%D8%AC" TargetMode="External"/><Relationship Id="rId1" Type="http://schemas.openxmlformats.org/officeDocument/2006/relationships/hyperlink" Target="http://lib.eshia.ir/11025/14/101" TargetMode="External"/><Relationship Id="rId5" Type="http://schemas.openxmlformats.org/officeDocument/2006/relationships/hyperlink" Target="http://lib.eshia.ir/11025/14/176" TargetMode="External"/><Relationship Id="rId4" Type="http://schemas.openxmlformats.org/officeDocument/2006/relationships/hyperlink" Target="http://lib.eshia.ir/11025/14/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8320-757F-460E-9F54-BEBD37BB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TotalTime>
  <Pages>7</Pages>
  <Words>1226</Words>
  <Characters>6994</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8204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2017-08-02T13:33:00Z</dcterms:created>
  <dcterms:modified xsi:type="dcterms:W3CDTF">2017-08-02T13:50:00Z</dcterms:modified>
  <cp:contentStatus>ویرایش 2.3</cp:contentStatus>
  <cp:version>2.3</cp:version>
</cp:coreProperties>
</file>