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43B35613" w:rsidR="008B750B" w:rsidRDefault="009923B8" w:rsidP="002374B3">
      <w:pPr>
        <w:jc w:val="both"/>
        <w:rPr>
          <w:rFonts w:hint="cs"/>
          <w:noProof/>
          <w:rtl/>
        </w:rPr>
      </w:pPr>
      <w:r>
        <w:rPr>
          <w:rFonts w:hint="cs"/>
          <w:noProof/>
          <w:rtl/>
        </w:rPr>
        <w:t>بسمه تعالی</w:t>
      </w:r>
    </w:p>
    <w:p w14:paraId="5FE3C0A1" w14:textId="77777777" w:rsidR="009923B8" w:rsidRPr="00A6366F" w:rsidRDefault="009923B8" w:rsidP="009923B8">
      <w:pPr>
        <w:jc w:val="both"/>
      </w:pPr>
      <w:bookmarkStart w:id="0" w:name="_GoBack"/>
      <w:r w:rsidRPr="009923B8">
        <w:rPr>
          <w:rStyle w:val="Emphasis"/>
          <w:rFonts w:hint="cs"/>
          <w:b/>
          <w:bCs w:val="0"/>
          <w:color w:val="FF0000"/>
          <w:rtl/>
        </w:rPr>
        <w:t>موضوع</w:t>
      </w:r>
      <w:r w:rsidRPr="009923B8">
        <w:rPr>
          <w:rStyle w:val="Emphasis"/>
          <w:rFonts w:hint="cs"/>
          <w:color w:val="FF0000"/>
          <w:rtl/>
        </w:rPr>
        <w:t>:</w:t>
      </w:r>
      <w:r w:rsidRPr="009923B8">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764EAF98" w14:textId="41AE89A8" w:rsidR="009923B8" w:rsidRDefault="009923B8" w:rsidP="002374B3">
      <w:pPr>
        <w:jc w:val="both"/>
        <w:rPr>
          <w:rFonts w:hint="cs"/>
          <w:noProof/>
          <w:rtl/>
        </w:rPr>
      </w:pPr>
    </w:p>
    <w:p w14:paraId="51F9FA7B" w14:textId="357E19BF" w:rsidR="009923B8" w:rsidRPr="008A522A" w:rsidRDefault="009923B8" w:rsidP="002374B3">
      <w:pPr>
        <w:jc w:val="both"/>
        <w:rPr>
          <w:rtl/>
        </w:rPr>
      </w:pPr>
      <w:r>
        <w:rPr>
          <w:rFonts w:hint="cs"/>
          <w:noProof/>
          <w:rtl/>
        </w:rPr>
        <w:t>فهرست مطالب:</w:t>
      </w:r>
    </w:p>
    <w:sdt>
      <w:sdtPr>
        <w:rPr>
          <w:rFonts w:ascii="Calibri" w:eastAsia="Calibri" w:hAnsi="Calibri" w:cs="B Badr"/>
          <w:color w:val="auto"/>
          <w:sz w:val="22"/>
          <w:szCs w:val="28"/>
          <w:lang w:bidi="fa-IR"/>
        </w:rPr>
        <w:id w:val="-136035489"/>
        <w:docPartObj>
          <w:docPartGallery w:val="Table of Contents"/>
          <w:docPartUnique/>
        </w:docPartObj>
      </w:sdtPr>
      <w:sdtEndPr>
        <w:rPr>
          <w:b/>
          <w:bCs/>
          <w:noProof/>
          <w:rtl/>
        </w:rPr>
      </w:sdtEndPr>
      <w:sdtContent>
        <w:p w14:paraId="58F01A50" w14:textId="49C0BBBC" w:rsidR="002374B3" w:rsidRDefault="002374B3">
          <w:pPr>
            <w:pStyle w:val="TOCHeading"/>
          </w:pPr>
        </w:p>
        <w:p w14:paraId="2CA49202" w14:textId="629E8D10" w:rsidR="002374B3" w:rsidRDefault="002374B3">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8867892" w:history="1">
            <w:r w:rsidRPr="00F0700C">
              <w:rPr>
                <w:rStyle w:val="Hyperlink"/>
                <w:noProof/>
                <w:rtl/>
              </w:rPr>
              <w:t>حد شرع</w:t>
            </w:r>
            <w:r w:rsidRPr="00F0700C">
              <w:rPr>
                <w:rStyle w:val="Hyperlink"/>
                <w:rFonts w:hint="cs"/>
                <w:noProof/>
                <w:rtl/>
              </w:rPr>
              <w:t>ی</w:t>
            </w:r>
            <w:r w:rsidRPr="00F0700C">
              <w:rPr>
                <w:rStyle w:val="Hyperlink"/>
                <w:noProof/>
                <w:rtl/>
              </w:rPr>
              <w:t xml:space="preserve">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Toc128867892 \h</w:instrText>
            </w:r>
            <w:r>
              <w:rPr>
                <w:noProof/>
                <w:webHidden/>
                <w:rtl/>
              </w:rPr>
              <w:instrText xml:space="preserve"> </w:instrText>
            </w:r>
            <w:r>
              <w:rPr>
                <w:noProof/>
                <w:webHidden/>
                <w:rtl/>
              </w:rPr>
            </w:r>
            <w:r>
              <w:rPr>
                <w:noProof/>
                <w:webHidden/>
                <w:rtl/>
              </w:rPr>
              <w:fldChar w:fldCharType="separate"/>
            </w:r>
            <w:r w:rsidR="006C4668">
              <w:rPr>
                <w:noProof/>
                <w:webHidden/>
                <w:rtl/>
              </w:rPr>
              <w:t>1</w:t>
            </w:r>
            <w:r>
              <w:rPr>
                <w:noProof/>
                <w:webHidden/>
                <w:rtl/>
              </w:rPr>
              <w:fldChar w:fldCharType="end"/>
            </w:r>
          </w:hyperlink>
        </w:p>
        <w:p w14:paraId="40822121" w14:textId="7C563553" w:rsidR="002374B3" w:rsidRDefault="009923B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867893" w:history="1">
            <w:r w:rsidR="002374B3" w:rsidRPr="00F0700C">
              <w:rPr>
                <w:rStyle w:val="Hyperlink"/>
                <w:noProof/>
                <w:rtl/>
              </w:rPr>
              <w:t>اشکالات به کلام محقق بروجرد</w:t>
            </w:r>
            <w:r w:rsidR="002374B3" w:rsidRPr="00F0700C">
              <w:rPr>
                <w:rStyle w:val="Hyperlink"/>
                <w:rFonts w:hint="cs"/>
                <w:noProof/>
                <w:rtl/>
              </w:rPr>
              <w:t>ی</w:t>
            </w:r>
            <w:r w:rsidR="002374B3">
              <w:rPr>
                <w:noProof/>
                <w:webHidden/>
                <w:rtl/>
              </w:rPr>
              <w:tab/>
            </w:r>
            <w:r w:rsidR="002374B3">
              <w:rPr>
                <w:noProof/>
                <w:webHidden/>
                <w:rtl/>
              </w:rPr>
              <w:fldChar w:fldCharType="begin"/>
            </w:r>
            <w:r w:rsidR="002374B3">
              <w:rPr>
                <w:noProof/>
                <w:webHidden/>
                <w:rtl/>
              </w:rPr>
              <w:instrText xml:space="preserve"> </w:instrText>
            </w:r>
            <w:r w:rsidR="002374B3">
              <w:rPr>
                <w:noProof/>
                <w:webHidden/>
              </w:rPr>
              <w:instrText>PAGEREF</w:instrText>
            </w:r>
            <w:r w:rsidR="002374B3">
              <w:rPr>
                <w:noProof/>
                <w:webHidden/>
                <w:rtl/>
              </w:rPr>
              <w:instrText xml:space="preserve"> _</w:instrText>
            </w:r>
            <w:r w:rsidR="002374B3">
              <w:rPr>
                <w:noProof/>
                <w:webHidden/>
              </w:rPr>
              <w:instrText>Toc128867893 \h</w:instrText>
            </w:r>
            <w:r w:rsidR="002374B3">
              <w:rPr>
                <w:noProof/>
                <w:webHidden/>
                <w:rtl/>
              </w:rPr>
              <w:instrText xml:space="preserve"> </w:instrText>
            </w:r>
            <w:r w:rsidR="002374B3">
              <w:rPr>
                <w:noProof/>
                <w:webHidden/>
                <w:rtl/>
              </w:rPr>
            </w:r>
            <w:r w:rsidR="002374B3">
              <w:rPr>
                <w:noProof/>
                <w:webHidden/>
                <w:rtl/>
              </w:rPr>
              <w:fldChar w:fldCharType="separate"/>
            </w:r>
            <w:r w:rsidR="006C4668">
              <w:rPr>
                <w:noProof/>
                <w:webHidden/>
                <w:rtl/>
              </w:rPr>
              <w:t>2</w:t>
            </w:r>
            <w:r w:rsidR="002374B3">
              <w:rPr>
                <w:noProof/>
                <w:webHidden/>
                <w:rtl/>
              </w:rPr>
              <w:fldChar w:fldCharType="end"/>
            </w:r>
          </w:hyperlink>
        </w:p>
        <w:p w14:paraId="5B3DD6FD" w14:textId="0BC86ACA" w:rsidR="002374B3" w:rsidRDefault="009923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867894" w:history="1">
            <w:r w:rsidR="002374B3" w:rsidRPr="00F0700C">
              <w:rPr>
                <w:rStyle w:val="Hyperlink"/>
                <w:noProof/>
                <w:rtl/>
              </w:rPr>
              <w:t>اشکال اول</w:t>
            </w:r>
            <w:r w:rsidR="002374B3">
              <w:rPr>
                <w:noProof/>
                <w:webHidden/>
                <w:rtl/>
              </w:rPr>
              <w:tab/>
            </w:r>
            <w:r w:rsidR="002374B3">
              <w:rPr>
                <w:noProof/>
                <w:webHidden/>
                <w:rtl/>
              </w:rPr>
              <w:fldChar w:fldCharType="begin"/>
            </w:r>
            <w:r w:rsidR="002374B3">
              <w:rPr>
                <w:noProof/>
                <w:webHidden/>
                <w:rtl/>
              </w:rPr>
              <w:instrText xml:space="preserve"> </w:instrText>
            </w:r>
            <w:r w:rsidR="002374B3">
              <w:rPr>
                <w:noProof/>
                <w:webHidden/>
              </w:rPr>
              <w:instrText>PAGEREF</w:instrText>
            </w:r>
            <w:r w:rsidR="002374B3">
              <w:rPr>
                <w:noProof/>
                <w:webHidden/>
                <w:rtl/>
              </w:rPr>
              <w:instrText xml:space="preserve"> _</w:instrText>
            </w:r>
            <w:r w:rsidR="002374B3">
              <w:rPr>
                <w:noProof/>
                <w:webHidden/>
              </w:rPr>
              <w:instrText>Toc128867894 \h</w:instrText>
            </w:r>
            <w:r w:rsidR="002374B3">
              <w:rPr>
                <w:noProof/>
                <w:webHidden/>
                <w:rtl/>
              </w:rPr>
              <w:instrText xml:space="preserve"> </w:instrText>
            </w:r>
            <w:r w:rsidR="002374B3">
              <w:rPr>
                <w:noProof/>
                <w:webHidden/>
                <w:rtl/>
              </w:rPr>
            </w:r>
            <w:r w:rsidR="002374B3">
              <w:rPr>
                <w:noProof/>
                <w:webHidden/>
                <w:rtl/>
              </w:rPr>
              <w:fldChar w:fldCharType="separate"/>
            </w:r>
            <w:r w:rsidR="006C4668">
              <w:rPr>
                <w:noProof/>
                <w:webHidden/>
                <w:rtl/>
              </w:rPr>
              <w:t>2</w:t>
            </w:r>
            <w:r w:rsidR="002374B3">
              <w:rPr>
                <w:noProof/>
                <w:webHidden/>
                <w:rtl/>
              </w:rPr>
              <w:fldChar w:fldCharType="end"/>
            </w:r>
          </w:hyperlink>
        </w:p>
        <w:p w14:paraId="6E6D863E" w14:textId="277EF85D" w:rsidR="002374B3" w:rsidRDefault="009923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867895" w:history="1">
            <w:r w:rsidR="002374B3" w:rsidRPr="00F0700C">
              <w:rPr>
                <w:rStyle w:val="Hyperlink"/>
                <w:noProof/>
                <w:rtl/>
              </w:rPr>
              <w:t>اشکال دوم</w:t>
            </w:r>
            <w:r w:rsidR="002374B3">
              <w:rPr>
                <w:noProof/>
                <w:webHidden/>
                <w:rtl/>
              </w:rPr>
              <w:tab/>
            </w:r>
            <w:r w:rsidR="002374B3">
              <w:rPr>
                <w:noProof/>
                <w:webHidden/>
                <w:rtl/>
              </w:rPr>
              <w:fldChar w:fldCharType="begin"/>
            </w:r>
            <w:r w:rsidR="002374B3">
              <w:rPr>
                <w:noProof/>
                <w:webHidden/>
                <w:rtl/>
              </w:rPr>
              <w:instrText xml:space="preserve"> </w:instrText>
            </w:r>
            <w:r w:rsidR="002374B3">
              <w:rPr>
                <w:noProof/>
                <w:webHidden/>
              </w:rPr>
              <w:instrText>PAGEREF</w:instrText>
            </w:r>
            <w:r w:rsidR="002374B3">
              <w:rPr>
                <w:noProof/>
                <w:webHidden/>
                <w:rtl/>
              </w:rPr>
              <w:instrText xml:space="preserve"> _</w:instrText>
            </w:r>
            <w:r w:rsidR="002374B3">
              <w:rPr>
                <w:noProof/>
                <w:webHidden/>
              </w:rPr>
              <w:instrText>Toc128867895 \h</w:instrText>
            </w:r>
            <w:r w:rsidR="002374B3">
              <w:rPr>
                <w:noProof/>
                <w:webHidden/>
                <w:rtl/>
              </w:rPr>
              <w:instrText xml:space="preserve"> </w:instrText>
            </w:r>
            <w:r w:rsidR="002374B3">
              <w:rPr>
                <w:noProof/>
                <w:webHidden/>
                <w:rtl/>
              </w:rPr>
            </w:r>
            <w:r w:rsidR="002374B3">
              <w:rPr>
                <w:noProof/>
                <w:webHidden/>
                <w:rtl/>
              </w:rPr>
              <w:fldChar w:fldCharType="separate"/>
            </w:r>
            <w:r w:rsidR="006C4668">
              <w:rPr>
                <w:noProof/>
                <w:webHidden/>
                <w:rtl/>
              </w:rPr>
              <w:t>3</w:t>
            </w:r>
            <w:r w:rsidR="002374B3">
              <w:rPr>
                <w:noProof/>
                <w:webHidden/>
                <w:rtl/>
              </w:rPr>
              <w:fldChar w:fldCharType="end"/>
            </w:r>
          </w:hyperlink>
        </w:p>
        <w:p w14:paraId="7AC3ECA9" w14:textId="317C56F8" w:rsidR="002374B3" w:rsidRDefault="009923B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8867896" w:history="1">
            <w:r w:rsidR="002374B3" w:rsidRPr="00F0700C">
              <w:rPr>
                <w:rStyle w:val="Hyperlink"/>
                <w:noProof/>
                <w:rtl/>
              </w:rPr>
              <w:t>اشکال سوم</w:t>
            </w:r>
            <w:r w:rsidR="002374B3">
              <w:rPr>
                <w:noProof/>
                <w:webHidden/>
                <w:rtl/>
              </w:rPr>
              <w:tab/>
            </w:r>
            <w:r w:rsidR="002374B3">
              <w:rPr>
                <w:noProof/>
                <w:webHidden/>
                <w:rtl/>
              </w:rPr>
              <w:fldChar w:fldCharType="begin"/>
            </w:r>
            <w:r w:rsidR="002374B3">
              <w:rPr>
                <w:noProof/>
                <w:webHidden/>
                <w:rtl/>
              </w:rPr>
              <w:instrText xml:space="preserve"> </w:instrText>
            </w:r>
            <w:r w:rsidR="002374B3">
              <w:rPr>
                <w:noProof/>
                <w:webHidden/>
              </w:rPr>
              <w:instrText>PAGEREF</w:instrText>
            </w:r>
            <w:r w:rsidR="002374B3">
              <w:rPr>
                <w:noProof/>
                <w:webHidden/>
                <w:rtl/>
              </w:rPr>
              <w:instrText xml:space="preserve"> _</w:instrText>
            </w:r>
            <w:r w:rsidR="002374B3">
              <w:rPr>
                <w:noProof/>
                <w:webHidden/>
              </w:rPr>
              <w:instrText>Toc128867896 \h</w:instrText>
            </w:r>
            <w:r w:rsidR="002374B3">
              <w:rPr>
                <w:noProof/>
                <w:webHidden/>
                <w:rtl/>
              </w:rPr>
              <w:instrText xml:space="preserve"> </w:instrText>
            </w:r>
            <w:r w:rsidR="002374B3">
              <w:rPr>
                <w:noProof/>
                <w:webHidden/>
                <w:rtl/>
              </w:rPr>
            </w:r>
            <w:r w:rsidR="002374B3">
              <w:rPr>
                <w:noProof/>
                <w:webHidden/>
                <w:rtl/>
              </w:rPr>
              <w:fldChar w:fldCharType="separate"/>
            </w:r>
            <w:r w:rsidR="006C4668">
              <w:rPr>
                <w:noProof/>
                <w:webHidden/>
                <w:rtl/>
              </w:rPr>
              <w:t>5</w:t>
            </w:r>
            <w:r w:rsidR="002374B3">
              <w:rPr>
                <w:noProof/>
                <w:webHidden/>
                <w:rtl/>
              </w:rPr>
              <w:fldChar w:fldCharType="end"/>
            </w:r>
          </w:hyperlink>
        </w:p>
        <w:p w14:paraId="495AFE37" w14:textId="351CCB57" w:rsidR="002374B3" w:rsidRDefault="009923B8">
          <w:pPr>
            <w:pStyle w:val="TOC2"/>
            <w:tabs>
              <w:tab w:val="right" w:leader="dot" w:pos="10194"/>
            </w:tabs>
            <w:rPr>
              <w:rFonts w:asciiTheme="minorHAnsi" w:eastAsiaTheme="minorEastAsia" w:hAnsiTheme="minorHAnsi" w:cstheme="minorBidi"/>
              <w:bCs w:val="0"/>
              <w:noProof/>
              <w:color w:val="auto"/>
              <w:szCs w:val="22"/>
              <w:rtl/>
              <w:lang w:bidi="ar-SA"/>
            </w:rPr>
          </w:pPr>
          <w:hyperlink w:anchor="_Toc128867897" w:history="1">
            <w:r w:rsidR="002374B3" w:rsidRPr="00F0700C">
              <w:rPr>
                <w:rStyle w:val="Hyperlink"/>
                <w:noProof/>
                <w:rtl/>
              </w:rPr>
              <w:t>حد رکوع غ</w:t>
            </w:r>
            <w:r w:rsidR="002374B3" w:rsidRPr="00F0700C">
              <w:rPr>
                <w:rStyle w:val="Hyperlink"/>
                <w:rFonts w:hint="cs"/>
                <w:noProof/>
                <w:rtl/>
              </w:rPr>
              <w:t>ی</w:t>
            </w:r>
            <w:r w:rsidR="002374B3" w:rsidRPr="00F0700C">
              <w:rPr>
                <w:rStyle w:val="Hyperlink"/>
                <w:rFonts w:hint="eastAsia"/>
                <w:noProof/>
                <w:rtl/>
              </w:rPr>
              <w:t>ر</w:t>
            </w:r>
            <w:r w:rsidR="002374B3" w:rsidRPr="00F0700C">
              <w:rPr>
                <w:rStyle w:val="Hyperlink"/>
                <w:noProof/>
                <w:rtl/>
              </w:rPr>
              <w:t xml:space="preserve"> مستو</w:t>
            </w:r>
            <w:r w:rsidR="002374B3" w:rsidRPr="00F0700C">
              <w:rPr>
                <w:rStyle w:val="Hyperlink"/>
                <w:rFonts w:hint="cs"/>
                <w:noProof/>
                <w:rtl/>
              </w:rPr>
              <w:t>ی</w:t>
            </w:r>
            <w:r w:rsidR="002374B3" w:rsidRPr="00F0700C">
              <w:rPr>
                <w:rStyle w:val="Hyperlink"/>
                <w:noProof/>
                <w:rtl/>
              </w:rPr>
              <w:t xml:space="preserve"> الخلقه</w:t>
            </w:r>
            <w:r w:rsidR="002374B3">
              <w:rPr>
                <w:noProof/>
                <w:webHidden/>
                <w:rtl/>
              </w:rPr>
              <w:tab/>
            </w:r>
            <w:r w:rsidR="002374B3">
              <w:rPr>
                <w:noProof/>
                <w:webHidden/>
                <w:rtl/>
              </w:rPr>
              <w:fldChar w:fldCharType="begin"/>
            </w:r>
            <w:r w:rsidR="002374B3">
              <w:rPr>
                <w:noProof/>
                <w:webHidden/>
                <w:rtl/>
              </w:rPr>
              <w:instrText xml:space="preserve"> </w:instrText>
            </w:r>
            <w:r w:rsidR="002374B3">
              <w:rPr>
                <w:noProof/>
                <w:webHidden/>
              </w:rPr>
              <w:instrText>PAGEREF</w:instrText>
            </w:r>
            <w:r w:rsidR="002374B3">
              <w:rPr>
                <w:noProof/>
                <w:webHidden/>
                <w:rtl/>
              </w:rPr>
              <w:instrText xml:space="preserve"> _</w:instrText>
            </w:r>
            <w:r w:rsidR="002374B3">
              <w:rPr>
                <w:noProof/>
                <w:webHidden/>
              </w:rPr>
              <w:instrText>Toc128867897 \h</w:instrText>
            </w:r>
            <w:r w:rsidR="002374B3">
              <w:rPr>
                <w:noProof/>
                <w:webHidden/>
                <w:rtl/>
              </w:rPr>
              <w:instrText xml:space="preserve"> </w:instrText>
            </w:r>
            <w:r w:rsidR="002374B3">
              <w:rPr>
                <w:noProof/>
                <w:webHidden/>
                <w:rtl/>
              </w:rPr>
            </w:r>
            <w:r w:rsidR="002374B3">
              <w:rPr>
                <w:noProof/>
                <w:webHidden/>
                <w:rtl/>
              </w:rPr>
              <w:fldChar w:fldCharType="separate"/>
            </w:r>
            <w:r w:rsidR="006C4668">
              <w:rPr>
                <w:noProof/>
                <w:webHidden/>
                <w:rtl/>
              </w:rPr>
              <w:t>7</w:t>
            </w:r>
            <w:r w:rsidR="002374B3">
              <w:rPr>
                <w:noProof/>
                <w:webHidden/>
                <w:rtl/>
              </w:rPr>
              <w:fldChar w:fldCharType="end"/>
            </w:r>
          </w:hyperlink>
        </w:p>
        <w:p w14:paraId="0E2E50C6" w14:textId="42D75055" w:rsidR="002374B3" w:rsidRDefault="002374B3">
          <w:r>
            <w:rPr>
              <w:b/>
              <w:bCs/>
              <w:noProof/>
            </w:rPr>
            <w:fldChar w:fldCharType="end"/>
          </w:r>
        </w:p>
      </w:sdtContent>
    </w:sdt>
    <w:p w14:paraId="3F5F0231" w14:textId="3A7A064A" w:rsidR="00C91EB6" w:rsidRPr="00C91EB6" w:rsidRDefault="00C91EB6" w:rsidP="002374B3">
      <w:pPr>
        <w:jc w:val="both"/>
      </w:pPr>
    </w:p>
    <w:p w14:paraId="59CF6E84" w14:textId="42D85473" w:rsidR="000706ED" w:rsidRPr="009C66D5" w:rsidRDefault="008F5B4D" w:rsidP="002374B3">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45C260E2" w14:textId="3385DED8" w:rsidR="009013C5" w:rsidRPr="0060234E" w:rsidRDefault="004B2C0A" w:rsidP="00F96D51">
      <w:pPr>
        <w:pBdr>
          <w:bottom w:val="double" w:sz="6" w:space="1" w:color="auto"/>
        </w:pBdr>
        <w:jc w:val="both"/>
        <w:rPr>
          <w:rStyle w:val="SubtleEmphasis"/>
          <w:i w:val="0"/>
          <w:color w:val="auto"/>
          <w:rtl/>
        </w:rPr>
      </w:pPr>
      <w:r>
        <w:rPr>
          <w:rFonts w:hint="cs"/>
          <w:rtl/>
        </w:rPr>
        <w:t xml:space="preserve">در ادامه روایات دال بر نظر مشهور روایت دیگری در کلام محقق همدانی مطرح شده بود که بررسی شد و بعد کلام محقق سیستانی در بیان حد رکوع </w:t>
      </w:r>
      <w:r w:rsidR="00F96D51">
        <w:rPr>
          <w:rFonts w:hint="cs"/>
          <w:rtl/>
        </w:rPr>
        <w:t>مورد ارزیابی قرار گرفت در نهایت کلام محقق بروجردی و تمسک ایشان به روایت زراره مطرح شد که بررسی کلام ایشان به جلسه بعد موکول شده است.</w:t>
      </w:r>
      <w:r w:rsidR="000706ED">
        <w:rPr>
          <w:rStyle w:val="SubtleEmphasis"/>
          <w:rFonts w:hint="cs"/>
          <w:color w:val="auto"/>
          <w:rtl/>
        </w:rPr>
        <w:t xml:space="preserve"> </w:t>
      </w:r>
    </w:p>
    <w:p w14:paraId="078DDA52" w14:textId="77777777" w:rsidR="00323CCC" w:rsidRDefault="00323CCC" w:rsidP="002374B3">
      <w:pPr>
        <w:pStyle w:val="Heading1"/>
        <w:jc w:val="both"/>
        <w:rPr>
          <w:rtl/>
        </w:rPr>
      </w:pPr>
      <w:bookmarkStart w:id="4" w:name="_Toc128867892"/>
      <w:r>
        <w:rPr>
          <w:rFonts w:hint="cs"/>
          <w:rtl/>
        </w:rPr>
        <w:t>حد شرعی رکوع</w:t>
      </w:r>
      <w:bookmarkEnd w:id="4"/>
    </w:p>
    <w:p w14:paraId="78194937" w14:textId="0F75E291" w:rsidR="00323CCC" w:rsidRDefault="00323CCC" w:rsidP="002374B3">
      <w:pPr>
        <w:jc w:val="both"/>
        <w:rPr>
          <w:rtl/>
        </w:rPr>
      </w:pPr>
      <w:r>
        <w:rPr>
          <w:rFonts w:hint="cs"/>
          <w:rtl/>
        </w:rPr>
        <w:t>حد شرعی رکوع اخص از حد عرفی رکوع است، عرفا ممکن است مکلف به رکوع برود اما هنوز رکوع واجد شرط شرعی نیست.</w:t>
      </w:r>
    </w:p>
    <w:p w14:paraId="38818288" w14:textId="22001FD0" w:rsidR="00323CCC" w:rsidRDefault="00323CCC" w:rsidP="002374B3">
      <w:pPr>
        <w:jc w:val="both"/>
        <w:rPr>
          <w:rtl/>
        </w:rPr>
      </w:pPr>
      <w:r>
        <w:rPr>
          <w:rFonts w:hint="cs"/>
          <w:rtl/>
        </w:rPr>
        <w:t>در مهذب الاحکام محقق سبزواری منکر این مطلب شده اند و فرمودند: رکوع عرفی همان رکوع شرعی است، مطلق انحناء را عرف رکوع نمی داند.</w:t>
      </w:r>
    </w:p>
    <w:p w14:paraId="76321EE8" w14:textId="73697537" w:rsidR="00323CCC" w:rsidRDefault="00323CCC" w:rsidP="002374B3">
      <w:pPr>
        <w:jc w:val="both"/>
        <w:rPr>
          <w:rtl/>
        </w:rPr>
      </w:pPr>
      <w:r>
        <w:rPr>
          <w:rFonts w:hint="cs"/>
          <w:rtl/>
        </w:rPr>
        <w:t>به نظر ما این درست نیست، بله عرف مطلق انحناء را رکوع  نمی داند اما اینکه رکوع عرفی با رکوع شرعی یکی است، صحیح نیست؛ چون شیخ راکع، شجره راکعه لزوما به معنای این نیست که این شیخ راکع به حدی رکوع می کند که دستانش به زانوانش برسد، کمتر از این حد هم اگر رکوع کند، عرفا رکوع است.</w:t>
      </w:r>
    </w:p>
    <w:p w14:paraId="2FC2B345" w14:textId="46826D65" w:rsidR="00323CCC" w:rsidRDefault="00323CCC" w:rsidP="002374B3">
      <w:pPr>
        <w:jc w:val="both"/>
        <w:rPr>
          <w:rtl/>
        </w:rPr>
      </w:pPr>
      <w:r>
        <w:rPr>
          <w:rFonts w:hint="cs"/>
          <w:rtl/>
        </w:rPr>
        <w:t>بحث در این بود که آیا فرمایش بزرگانی که می گویند: باطن کف به کاسه زانو برسد، درست است یا فرمایش بزرگان دیگر که می گویند: انگشتان دست به بالای کاسه زانو هم برسد، کافی است؟</w:t>
      </w:r>
    </w:p>
    <w:p w14:paraId="14AB95FC" w14:textId="4FF40B16" w:rsidR="00323CCC" w:rsidRDefault="00323CCC" w:rsidP="002374B3">
      <w:pPr>
        <w:jc w:val="both"/>
        <w:rPr>
          <w:rtl/>
        </w:rPr>
      </w:pPr>
      <w:r>
        <w:rPr>
          <w:rFonts w:hint="cs"/>
          <w:rtl/>
        </w:rPr>
        <w:lastRenderedPageBreak/>
        <w:t>محقق بروجردی</w:t>
      </w:r>
      <w:r w:rsidR="00F35B14">
        <w:rPr>
          <w:rFonts w:hint="cs"/>
          <w:rtl/>
        </w:rPr>
        <w:t xml:space="preserve"> قول اول را ترجیح دادند و به صحیحه زراره اعتماد کردند و اینطور معنا کردند:</w:t>
      </w:r>
    </w:p>
    <w:p w14:paraId="7E3E61BB" w14:textId="26441DD0" w:rsidR="00F35B14" w:rsidRDefault="00F35B14" w:rsidP="002374B3">
      <w:pPr>
        <w:jc w:val="both"/>
        <w:rPr>
          <w:color w:val="008000"/>
          <w:rtl/>
        </w:rPr>
      </w:pPr>
      <w:r w:rsidRPr="00F75C45">
        <w:rPr>
          <w:color w:val="008000"/>
          <w:rtl/>
        </w:rPr>
        <w:t>تُمَكِّنُ رَاحَتَيْكَ مِنْ رُكْبَتَيْكَ</w:t>
      </w:r>
    </w:p>
    <w:p w14:paraId="1E388E41" w14:textId="05608138" w:rsidR="00F35B14" w:rsidRDefault="00F35B14" w:rsidP="002374B3">
      <w:pPr>
        <w:jc w:val="both"/>
        <w:rPr>
          <w:rtl/>
        </w:rPr>
      </w:pPr>
      <w:r w:rsidRPr="00F35B14">
        <w:rPr>
          <w:rFonts w:hint="cs"/>
          <w:rtl/>
        </w:rPr>
        <w:t>راحه خود را روی رکبه بگذار یعنی روی کاسه زانو بگذار و</w:t>
      </w:r>
      <w:r>
        <w:rPr>
          <w:rFonts w:hint="cs"/>
          <w:color w:val="008000"/>
          <w:rtl/>
        </w:rPr>
        <w:t xml:space="preserve"> </w:t>
      </w:r>
      <w:r w:rsidRPr="00F75C45">
        <w:rPr>
          <w:color w:val="008000"/>
          <w:rtl/>
        </w:rPr>
        <w:t xml:space="preserve">وَ </w:t>
      </w:r>
      <w:r w:rsidRPr="00F35B14">
        <w:rPr>
          <w:color w:val="008000"/>
          <w:rtl/>
        </w:rPr>
        <w:t xml:space="preserve">بَلِّغْ </w:t>
      </w:r>
      <w:r w:rsidRPr="00F75C45">
        <w:rPr>
          <w:color w:val="008000"/>
          <w:rtl/>
        </w:rPr>
        <w:t>أَطْرَافَ أَصَابِعِكَ عَيْنَ الرُّكْبَةِ</w:t>
      </w:r>
      <w:r>
        <w:rPr>
          <w:rFonts w:hint="cs"/>
          <w:color w:val="008000"/>
          <w:rtl/>
        </w:rPr>
        <w:t xml:space="preserve"> </w:t>
      </w:r>
      <w:r w:rsidRPr="00F35B14">
        <w:rPr>
          <w:rFonts w:hint="cs"/>
          <w:rtl/>
        </w:rPr>
        <w:t>(</w:t>
      </w:r>
      <w:r>
        <w:rPr>
          <w:rFonts w:hint="cs"/>
          <w:rtl/>
        </w:rPr>
        <w:t xml:space="preserve">بلغ </w:t>
      </w:r>
      <w:r w:rsidRPr="00F35B14">
        <w:rPr>
          <w:rFonts w:hint="cs"/>
          <w:rtl/>
        </w:rPr>
        <w:t>در برخی نسخ کافی و تهذیب است) یا بلع</w:t>
      </w:r>
      <w:r>
        <w:rPr>
          <w:rFonts w:hint="cs"/>
          <w:rtl/>
        </w:rPr>
        <w:t xml:space="preserve"> (که برخی از بزرگان گفته اند این درست است) یا تلقم (که در تهذیب است) بلغ یعنی برساند و معنایش روشن است بلع یعنی بلع کند و فرو ببرد ابتدای انگشتانت حفره زیر کاسه زانو را که محقق بروجردی این طور معنا می کنند که بلع یا بلغ اطراف اصابعک عین الرکبه لا نفس الرکبه که عین الرکبه نقرتان فی اسفل الرکبه است</w:t>
      </w:r>
      <w:r w:rsidR="00CB27E6">
        <w:rPr>
          <w:rFonts w:hint="cs"/>
          <w:rtl/>
        </w:rPr>
        <w:t>.</w:t>
      </w:r>
      <w:r>
        <w:rPr>
          <w:rFonts w:hint="cs"/>
          <w:rtl/>
        </w:rPr>
        <w:t xml:space="preserve"> </w:t>
      </w:r>
    </w:p>
    <w:p w14:paraId="45E73084" w14:textId="77777777" w:rsidR="00CB27E6" w:rsidRDefault="00F35B14" w:rsidP="002374B3">
      <w:pPr>
        <w:jc w:val="both"/>
        <w:rPr>
          <w:rtl/>
        </w:rPr>
      </w:pPr>
      <w:r>
        <w:rPr>
          <w:rFonts w:hint="cs"/>
          <w:rtl/>
        </w:rPr>
        <w:t>فاذا وصلت اطراف اصابعک ایشان فرمودند: فای تفریع می گوید: حال به تو بگویم که دست گذاشتن روی زانو بالفعل لازم نیست</w:t>
      </w:r>
      <w:r w:rsidR="00CB27E6">
        <w:rPr>
          <w:rFonts w:hint="cs"/>
          <w:rtl/>
        </w:rPr>
        <w:t>،</w:t>
      </w:r>
      <w:r>
        <w:rPr>
          <w:rFonts w:hint="cs"/>
          <w:rtl/>
        </w:rPr>
        <w:t xml:space="preserve"> وصول کافی است و وصول یعنی امکان دست گذاشتن</w:t>
      </w:r>
      <w:r w:rsidR="00CB27E6">
        <w:rPr>
          <w:rFonts w:hint="cs"/>
          <w:rtl/>
        </w:rPr>
        <w:t>، همین که برسد سر انگشتانت در حال رکوع به رکبه، مجزی است، ایشان می فرمایند</w:t>
      </w:r>
      <w:r w:rsidR="00CB27E6">
        <w:rPr>
          <w:rFonts w:cs="Cambria" w:hint="cs"/>
          <w:rtl/>
        </w:rPr>
        <w:t>:</w:t>
      </w:r>
      <w:r w:rsidR="00CB27E6">
        <w:rPr>
          <w:rFonts w:hint="cs"/>
          <w:rtl/>
        </w:rPr>
        <w:t xml:space="preserve"> اینجا به قرینه سابق تقدیر باید بگیریم، فاذا وصلت اطراف اصابعک فی رکوعک الی رکبتیک یعنی الی عین الرکبتیک اجزاک ذلک و </w:t>
      </w:r>
      <w:r w:rsidR="00CB27E6" w:rsidRPr="00F75C45">
        <w:rPr>
          <w:color w:val="008000"/>
          <w:rtl/>
        </w:rPr>
        <w:t>وَ أَحَبُّ إِلَيَّ أَنْ تُمَكِّنَ كَفَّيْكَ مِنْ رُكْبَتَيْكَ فَتَجْعَلَ أَصَابِعَكَ فِي عَيْنِ الرُّكْبَةِ</w:t>
      </w:r>
      <w:r w:rsidR="00CB27E6">
        <w:rPr>
          <w:rFonts w:hint="cs"/>
          <w:color w:val="008000"/>
          <w:rtl/>
        </w:rPr>
        <w:t xml:space="preserve"> </w:t>
      </w:r>
      <w:r w:rsidR="00CB27E6" w:rsidRPr="00CB27E6">
        <w:rPr>
          <w:rFonts w:hint="cs"/>
          <w:rtl/>
        </w:rPr>
        <w:t>یعنی ولی دوست دارم به وصول اکتفاء نشود و وضع هم بکند</w:t>
      </w:r>
      <w:r w:rsidR="00CB27E6">
        <w:rPr>
          <w:rFonts w:hint="cs"/>
          <w:rtl/>
        </w:rPr>
        <w:t xml:space="preserve"> دو کف را روی دو رکبه قرار بدهید و سر انگشتان روی عین الرکبه قرار می گیرد.</w:t>
      </w:r>
    </w:p>
    <w:p w14:paraId="45514DFF" w14:textId="13C64541" w:rsidR="00F35B14" w:rsidRDefault="00CB27E6" w:rsidP="002374B3">
      <w:pPr>
        <w:jc w:val="both"/>
        <w:rPr>
          <w:rtl/>
        </w:rPr>
      </w:pPr>
      <w:r>
        <w:rPr>
          <w:rFonts w:hint="cs"/>
          <w:rtl/>
        </w:rPr>
        <w:t>ایشان عین الرکبه را به دو حفره اطراف کاسه زانو معنا کرده اند و گفته اند فاء هم ظهور در تفریع دارد و لذا با این فاء می خواهد بگوید: مهم این است که اطراف اصابع به عین الرکبه برسد اما قبل از فای تفریع گفتیم که وضع بالفعل لازم است بعد از فای تفریع می گویم امکان وضع که از آن تعبیر به اذا وصلت می شود کافی است.</w:t>
      </w:r>
    </w:p>
    <w:p w14:paraId="385B8BC1" w14:textId="753856A4" w:rsidR="002374B3" w:rsidRDefault="002374B3" w:rsidP="002374B3">
      <w:pPr>
        <w:pStyle w:val="Heading2"/>
        <w:rPr>
          <w:rtl/>
        </w:rPr>
      </w:pPr>
      <w:bookmarkStart w:id="5" w:name="_Toc128867893"/>
      <w:r>
        <w:rPr>
          <w:rFonts w:hint="cs"/>
          <w:rtl/>
        </w:rPr>
        <w:t>اشکالات به کلام محقق بروجردی</w:t>
      </w:r>
      <w:bookmarkEnd w:id="5"/>
    </w:p>
    <w:p w14:paraId="22D699BB" w14:textId="02966C1E" w:rsidR="00CB27E6" w:rsidRDefault="00CB27E6" w:rsidP="002374B3">
      <w:pPr>
        <w:jc w:val="both"/>
        <w:rPr>
          <w:rtl/>
        </w:rPr>
      </w:pPr>
      <w:r>
        <w:rPr>
          <w:rFonts w:hint="cs"/>
          <w:rtl/>
        </w:rPr>
        <w:t>این فرمایش محقق بروجردی سه اشکال دارد</w:t>
      </w:r>
    </w:p>
    <w:p w14:paraId="543A8FF9" w14:textId="0313B7B3" w:rsidR="002374B3" w:rsidRDefault="002374B3" w:rsidP="002374B3">
      <w:pPr>
        <w:pStyle w:val="Heading3"/>
        <w:rPr>
          <w:rtl/>
        </w:rPr>
      </w:pPr>
      <w:bookmarkStart w:id="6" w:name="_Toc128867894"/>
      <w:r>
        <w:rPr>
          <w:rFonts w:hint="cs"/>
          <w:rtl/>
        </w:rPr>
        <w:t>اشکال اول</w:t>
      </w:r>
      <w:bookmarkEnd w:id="6"/>
    </w:p>
    <w:p w14:paraId="77666FB3" w14:textId="267AFCEF" w:rsidR="001D2CDC" w:rsidRDefault="00CB27E6" w:rsidP="002374B3">
      <w:pPr>
        <w:jc w:val="both"/>
        <w:rPr>
          <w:rtl/>
        </w:rPr>
      </w:pPr>
      <w:r>
        <w:rPr>
          <w:rFonts w:hint="cs"/>
          <w:rtl/>
        </w:rPr>
        <w:t>قطعا فاء در این روایت برای تفریع نیست. فارغ از اینکه ظهور فاء را در تفریع ما اصلا قبول نداریم و گاهی برای ترتیب ذکری می آید، مثل اینکه زید واجب الاکرام</w:t>
      </w:r>
      <w:r w:rsidR="001D2CDC">
        <w:rPr>
          <w:rFonts w:hint="cs"/>
          <w:rtl/>
        </w:rPr>
        <w:t xml:space="preserve"> فاما عمرو فلیس بواجب الاکرام این فاء برای بیان ترتیب ذکری است و بیان تفریع نیست.</w:t>
      </w:r>
    </w:p>
    <w:p w14:paraId="4C684A73" w14:textId="23F506ED" w:rsidR="001D2CDC" w:rsidRDefault="001D2CDC" w:rsidP="002374B3">
      <w:pPr>
        <w:jc w:val="both"/>
        <w:rPr>
          <w:rtl/>
        </w:rPr>
      </w:pPr>
      <w:r>
        <w:rPr>
          <w:rFonts w:hint="cs"/>
          <w:rtl/>
        </w:rPr>
        <w:t>برفرض برای بیان تفریع باشد، قطعا در اینجا برای بیان تفریع نیست؛ چون کفایت امکان دست گذاشتن روی کاسه زانو چه تفریعی بر امر به دست گذاشتن بالفعل روی کاسه زانو</w:t>
      </w:r>
      <w:r w:rsidRPr="001D2CDC">
        <w:rPr>
          <w:rFonts w:hint="cs"/>
          <w:rtl/>
        </w:rPr>
        <w:t xml:space="preserve"> </w:t>
      </w:r>
      <w:r>
        <w:rPr>
          <w:rFonts w:hint="cs"/>
          <w:rtl/>
        </w:rPr>
        <w:t>دارد؟</w:t>
      </w:r>
    </w:p>
    <w:p w14:paraId="0A176C8C" w14:textId="70BFA63D" w:rsidR="001D2CDC" w:rsidRDefault="001D2CDC" w:rsidP="002374B3">
      <w:pPr>
        <w:jc w:val="both"/>
        <w:rPr>
          <w:rtl/>
        </w:rPr>
      </w:pPr>
      <w:r>
        <w:rPr>
          <w:rFonts w:hint="cs"/>
          <w:rtl/>
        </w:rPr>
        <w:lastRenderedPageBreak/>
        <w:t>اول امر به گذاشتن راحتین روی کاسه زانو می کند به نحوی که سر انگشتانت به حفره های زیر کاسه زانو برسد و روی آن قرار بگیرد پس وصول کافی است!! پس وصول کافی است تفریع بر امر به وضع فعلی می شود؟ قطعا این فاء برای تفریع نیست.</w:t>
      </w:r>
    </w:p>
    <w:p w14:paraId="03595512" w14:textId="4393A9C0" w:rsidR="001D2CDC" w:rsidRDefault="001D2CDC" w:rsidP="002374B3">
      <w:pPr>
        <w:jc w:val="both"/>
        <w:rPr>
          <w:rtl/>
        </w:rPr>
      </w:pPr>
      <w:r>
        <w:rPr>
          <w:rFonts w:hint="cs"/>
          <w:rtl/>
        </w:rPr>
        <w:t>حال که ترتیب ذکری می شود، چرا در «</w:t>
      </w:r>
      <w:r w:rsidRPr="00F75C45">
        <w:rPr>
          <w:color w:val="008000"/>
          <w:rtl/>
        </w:rPr>
        <w:t>فَإِذَا وَصَلَتْ أَطْرَافُ أَصَابِعِكَ فِي رُكُوعِكَ إِلَى رُكْبَتَيْكَ</w:t>
      </w:r>
      <w:r>
        <w:rPr>
          <w:rFonts w:hint="cs"/>
          <w:color w:val="008000"/>
          <w:rtl/>
        </w:rPr>
        <w:t>»</w:t>
      </w:r>
      <w:r w:rsidRPr="001D2CDC">
        <w:rPr>
          <w:rFonts w:hint="cs"/>
          <w:rtl/>
        </w:rPr>
        <w:t xml:space="preserve"> عین را در تقدیر می گیرید؟ تقدیر خلاف اصل </w:t>
      </w:r>
      <w:r>
        <w:rPr>
          <w:rFonts w:hint="cs"/>
          <w:rtl/>
        </w:rPr>
        <w:t xml:space="preserve">و خلاف ظاهر </w:t>
      </w:r>
      <w:r w:rsidRPr="001D2CDC">
        <w:rPr>
          <w:rFonts w:hint="cs"/>
          <w:rtl/>
        </w:rPr>
        <w:t>است</w:t>
      </w:r>
      <w:r>
        <w:rPr>
          <w:rFonts w:hint="cs"/>
          <w:rtl/>
        </w:rPr>
        <w:t>. یک عین الرکبه در جمله دیگر دارید «</w:t>
      </w:r>
      <w:r w:rsidRPr="001D2CDC">
        <w:rPr>
          <w:color w:val="008000"/>
          <w:u w:val="single"/>
          <w:rtl/>
        </w:rPr>
        <w:t xml:space="preserve"> </w:t>
      </w:r>
      <w:r w:rsidRPr="00620589">
        <w:rPr>
          <w:color w:val="008000"/>
          <w:u w:val="single"/>
          <w:rtl/>
        </w:rPr>
        <w:t xml:space="preserve">بَلِّغْ </w:t>
      </w:r>
      <w:r w:rsidRPr="00F75C45">
        <w:rPr>
          <w:color w:val="008000"/>
          <w:rtl/>
        </w:rPr>
        <w:t>أَطْرَافَ أَصَابِعِكَ عَيْنَ الرُّكْبَةِ</w:t>
      </w:r>
      <w:r>
        <w:rPr>
          <w:rFonts w:hint="cs"/>
          <w:rtl/>
        </w:rPr>
        <w:t>» می گویید ظاهر عین الرکبه حفره های زیر کاسه زانو است و این را قرینه می گیرید بر تقدیر در جمله دیگر با اینکه تقدیر هم خلاف اصل و ظاهر است؛ وجه ترجیح یک ظهور بر ظهور دیگر چیست؟</w:t>
      </w:r>
    </w:p>
    <w:p w14:paraId="12E3FAB4" w14:textId="57462B6D" w:rsidR="001D2CDC" w:rsidRDefault="001D2CDC" w:rsidP="002374B3">
      <w:pPr>
        <w:pStyle w:val="Heading3"/>
        <w:rPr>
          <w:rtl/>
        </w:rPr>
      </w:pPr>
      <w:bookmarkStart w:id="7" w:name="_Toc128867895"/>
      <w:r>
        <w:rPr>
          <w:rFonts w:hint="cs"/>
          <w:rtl/>
        </w:rPr>
        <w:t>اشکال دوم</w:t>
      </w:r>
      <w:bookmarkEnd w:id="7"/>
    </w:p>
    <w:p w14:paraId="36F47AFF" w14:textId="5AE3FF85" w:rsidR="001D2CDC" w:rsidRDefault="001D2CDC" w:rsidP="002374B3">
      <w:pPr>
        <w:jc w:val="both"/>
        <w:rPr>
          <w:rtl/>
        </w:rPr>
      </w:pPr>
      <w:r>
        <w:rPr>
          <w:rFonts w:hint="cs"/>
          <w:rtl/>
        </w:rPr>
        <w:t>عین الرکبه را شما به دو حفره زیر کاسه زانو معنا کردید درحالیکه این معنا خیلی واضح نیست، برخی از لغویون این گونه معنا می کنند اما اختلاف است.</w:t>
      </w:r>
    </w:p>
    <w:p w14:paraId="77CE7A23" w14:textId="2790FE36" w:rsidR="001D2CDC" w:rsidRDefault="001D2CDC" w:rsidP="002374B3">
      <w:pPr>
        <w:jc w:val="both"/>
        <w:rPr>
          <w:rtl/>
        </w:rPr>
      </w:pPr>
      <w:r>
        <w:rPr>
          <w:rFonts w:hint="cs"/>
          <w:rtl/>
        </w:rPr>
        <w:t>هم کلام لغویون و هم کلام فقهاء را مطرح می کنیم:</w:t>
      </w:r>
    </w:p>
    <w:p w14:paraId="0075191D" w14:textId="16EF0494" w:rsidR="001D2CDC" w:rsidRDefault="0012730A" w:rsidP="002374B3">
      <w:pPr>
        <w:jc w:val="both"/>
        <w:rPr>
          <w:rtl/>
        </w:rPr>
      </w:pPr>
      <w:r>
        <w:rPr>
          <w:rFonts w:hint="cs"/>
          <w:rtl/>
        </w:rPr>
        <w:t>مرحوم</w:t>
      </w:r>
      <w:r w:rsidR="001D2CDC">
        <w:rPr>
          <w:rFonts w:hint="cs"/>
          <w:rtl/>
        </w:rPr>
        <w:t xml:space="preserve"> مجلسی</w:t>
      </w:r>
      <w:r>
        <w:rPr>
          <w:rFonts w:hint="cs"/>
          <w:rtl/>
        </w:rPr>
        <w:t xml:space="preserve"> اول</w:t>
      </w:r>
      <w:r w:rsidR="001D2CDC">
        <w:rPr>
          <w:rFonts w:hint="cs"/>
          <w:rtl/>
        </w:rPr>
        <w:t xml:space="preserve"> در لوامع </w:t>
      </w:r>
      <w:r>
        <w:rPr>
          <w:rFonts w:hint="cs"/>
          <w:rtl/>
        </w:rPr>
        <w:t>اینطور معنا می کنند:</w:t>
      </w:r>
    </w:p>
    <w:p w14:paraId="6A8F692C" w14:textId="480578EB" w:rsidR="0012730A" w:rsidRDefault="0012730A" w:rsidP="002374B3">
      <w:pPr>
        <w:jc w:val="both"/>
        <w:rPr>
          <w:rtl/>
        </w:rPr>
      </w:pPr>
      <w:r>
        <w:rPr>
          <w:rFonts w:hint="cs"/>
          <w:rtl/>
        </w:rPr>
        <w:t>«</w:t>
      </w:r>
      <w:r w:rsidRPr="0012730A">
        <w:rPr>
          <w:rFonts w:hint="cs"/>
          <w:rtl/>
        </w:rPr>
        <w:t xml:space="preserve"> پس بركوع رو</w:t>
      </w:r>
      <w:r w:rsidR="00C733BF">
        <w:rPr>
          <w:rFonts w:hint="cs"/>
          <w:rtl/>
        </w:rPr>
        <w:t>» جمله بلع اطراف اصابعک عین الرکبه را معنا می کند به اینکه «</w:t>
      </w:r>
      <w:r w:rsidRPr="0012730A">
        <w:rPr>
          <w:rFonts w:hint="cs"/>
          <w:rtl/>
        </w:rPr>
        <w:t>و كاسه زانو را در ميان انگشتان خود در آور</w:t>
      </w:r>
      <w:r>
        <w:rPr>
          <w:rFonts w:hint="cs"/>
          <w:rtl/>
        </w:rPr>
        <w:t>»  کاسه زانو همان قسمت برجسته است که کشکک می گویند.</w:t>
      </w:r>
      <w:r w:rsidR="00C733BF">
        <w:rPr>
          <w:rFonts w:hint="cs"/>
          <w:rtl/>
        </w:rPr>
        <w:t xml:space="preserve"> </w:t>
      </w:r>
    </w:p>
    <w:p w14:paraId="57B596E1" w14:textId="7B57124A" w:rsidR="00C733BF" w:rsidRDefault="00C733BF" w:rsidP="002374B3">
      <w:pPr>
        <w:jc w:val="both"/>
        <w:rPr>
          <w:rtl/>
        </w:rPr>
      </w:pPr>
      <w:r>
        <w:rPr>
          <w:rFonts w:hint="cs"/>
          <w:rtl/>
        </w:rPr>
        <w:t>در بحر الجواهر که معجم الطب الطبیعی است، می گوید:</w:t>
      </w:r>
    </w:p>
    <w:p w14:paraId="0272077E" w14:textId="03A96120" w:rsidR="00C733BF" w:rsidRDefault="00C733BF" w:rsidP="002374B3">
      <w:pPr>
        <w:jc w:val="both"/>
        <w:rPr>
          <w:rtl/>
        </w:rPr>
      </w:pPr>
      <w:r>
        <w:rPr>
          <w:rFonts w:hint="cs"/>
          <w:rtl/>
        </w:rPr>
        <w:t>«</w:t>
      </w:r>
      <w:r w:rsidRPr="00C733BF">
        <w:rPr>
          <w:rtl/>
        </w:rPr>
        <w:t>الرضفة بالفتح گرداگرد زانو. جمعش رضفات، و يقال لها عين الركبة و هي عظم غضروفي مستدير الشكل‏</w:t>
      </w:r>
      <w:r>
        <w:rPr>
          <w:rFonts w:hint="cs"/>
          <w:rtl/>
        </w:rPr>
        <w:t>»</w:t>
      </w:r>
      <w:r>
        <w:rPr>
          <w:rStyle w:val="FootnoteReference"/>
          <w:rtl/>
        </w:rPr>
        <w:footnoteReference w:id="1"/>
      </w:r>
    </w:p>
    <w:p w14:paraId="2D23955A" w14:textId="601489E2" w:rsidR="00C733BF" w:rsidRDefault="00C733BF" w:rsidP="002374B3">
      <w:pPr>
        <w:jc w:val="both"/>
        <w:rPr>
          <w:rtl/>
        </w:rPr>
      </w:pPr>
      <w:r>
        <w:rPr>
          <w:rFonts w:hint="cs"/>
          <w:rtl/>
        </w:rPr>
        <w:t>سید علی خان مدنی صاحب شرح صحیفه سجادیه که ادیب بزرگی بود در الطراز می فرماید:</w:t>
      </w:r>
    </w:p>
    <w:p w14:paraId="0EFA8244" w14:textId="537B6D2D" w:rsidR="00C733BF" w:rsidRPr="00C733BF" w:rsidRDefault="00391F2C" w:rsidP="002374B3">
      <w:pPr>
        <w:jc w:val="both"/>
        <w:rPr>
          <w:rtl/>
        </w:rPr>
      </w:pPr>
      <w:r>
        <w:rPr>
          <w:rFonts w:hint="cs"/>
          <w:rtl/>
        </w:rPr>
        <w:t>«</w:t>
      </w:r>
      <w:r w:rsidRPr="00391F2C">
        <w:rPr>
          <w:rtl/>
        </w:rPr>
        <w:t>عينُ الرُّكْبَةِ: عظمٌ مُنطبِقٌ على مَفصِلِ الرُّكْبَةِ مستديرٌ، فيه غُضْروفيّةٌ</w:t>
      </w:r>
      <w:r>
        <w:rPr>
          <w:rFonts w:hint="cs"/>
          <w:rtl/>
        </w:rPr>
        <w:t>»</w:t>
      </w:r>
      <w:r>
        <w:rPr>
          <w:rStyle w:val="FootnoteReference"/>
          <w:rtl/>
        </w:rPr>
        <w:footnoteReference w:id="2"/>
      </w:r>
    </w:p>
    <w:p w14:paraId="5FBE60BC" w14:textId="7F87BE85" w:rsidR="00CB27E6" w:rsidRDefault="00CB27E6" w:rsidP="002374B3">
      <w:pPr>
        <w:jc w:val="both"/>
        <w:rPr>
          <w:rtl/>
        </w:rPr>
      </w:pPr>
      <w:r>
        <w:rPr>
          <w:rFonts w:hint="cs"/>
          <w:rtl/>
        </w:rPr>
        <w:t xml:space="preserve"> </w:t>
      </w:r>
      <w:r w:rsidR="00391F2C">
        <w:rPr>
          <w:rFonts w:hint="cs"/>
          <w:rtl/>
        </w:rPr>
        <w:t>لغت نامه دهخدا دو گونه معنا کرده است، هم به معنای گردنای زانو و هم حفره زانو.</w:t>
      </w:r>
    </w:p>
    <w:p w14:paraId="0701013B" w14:textId="7F5C3063" w:rsidR="00391F2C" w:rsidRDefault="00391F2C" w:rsidP="002374B3">
      <w:pPr>
        <w:jc w:val="both"/>
        <w:rPr>
          <w:rtl/>
        </w:rPr>
      </w:pPr>
      <w:r>
        <w:rPr>
          <w:rFonts w:hint="cs"/>
          <w:rtl/>
        </w:rPr>
        <w:t>مرحوم آقای اراکی که تقریرات حاج شیخ را نوشتند، اینطور نقل کردند:</w:t>
      </w:r>
    </w:p>
    <w:p w14:paraId="0EB94DE3" w14:textId="2BF05F7E" w:rsidR="00391F2C" w:rsidRDefault="00391F2C" w:rsidP="002374B3">
      <w:pPr>
        <w:jc w:val="both"/>
        <w:rPr>
          <w:rtl/>
        </w:rPr>
      </w:pPr>
      <w:r>
        <w:rPr>
          <w:rFonts w:hint="cs"/>
          <w:rtl/>
        </w:rPr>
        <w:t>«</w:t>
      </w:r>
      <w:r w:rsidRPr="00391F2C">
        <w:rPr>
          <w:rtl/>
        </w:rPr>
        <w:t>المراد من عين الركبة وسطها</w:t>
      </w:r>
      <w:r>
        <w:rPr>
          <w:rFonts w:hint="cs"/>
          <w:rtl/>
        </w:rPr>
        <w:t>»</w:t>
      </w:r>
      <w:r>
        <w:rPr>
          <w:rStyle w:val="FootnoteReference"/>
          <w:rtl/>
        </w:rPr>
        <w:footnoteReference w:id="3"/>
      </w:r>
      <w:r>
        <w:rPr>
          <w:rFonts w:hint="cs"/>
          <w:rtl/>
        </w:rPr>
        <w:t xml:space="preserve"> مگر اینکه گفته شود مراد از وسطها همان حفرتین است.</w:t>
      </w:r>
    </w:p>
    <w:p w14:paraId="3F8C2C2E" w14:textId="2C1D3EB3" w:rsidR="00391F2C" w:rsidRDefault="00391F2C" w:rsidP="002374B3">
      <w:pPr>
        <w:jc w:val="both"/>
        <w:rPr>
          <w:rtl/>
        </w:rPr>
      </w:pPr>
      <w:r>
        <w:rPr>
          <w:rFonts w:hint="cs"/>
          <w:rtl/>
        </w:rPr>
        <w:t xml:space="preserve">صاحب جواهر عین الرکبه را به معنای خود زانو گرفته است: </w:t>
      </w:r>
      <w:r w:rsidR="00F07283">
        <w:rPr>
          <w:rFonts w:hint="cs"/>
          <w:rtl/>
        </w:rPr>
        <w:t>«</w:t>
      </w:r>
      <w:r>
        <w:rPr>
          <w:rFonts w:hint="cs"/>
          <w:rtl/>
        </w:rPr>
        <w:t>محل مرتفع متوسط بین ساق و فخذ</w:t>
      </w:r>
      <w:r w:rsidR="00F07283">
        <w:rPr>
          <w:rFonts w:hint="cs"/>
          <w:rtl/>
        </w:rPr>
        <w:t>»</w:t>
      </w:r>
    </w:p>
    <w:p w14:paraId="33481FC3" w14:textId="24EACFCD" w:rsidR="00F07283" w:rsidRPr="00CB27E6" w:rsidRDefault="00391F2C" w:rsidP="002374B3">
      <w:pPr>
        <w:jc w:val="both"/>
        <w:rPr>
          <w:rtl/>
        </w:rPr>
      </w:pPr>
      <w:r>
        <w:rPr>
          <w:rFonts w:hint="cs"/>
          <w:rtl/>
        </w:rPr>
        <w:t>اگر ابتدای انگشتان را روی اعلای رکبه</w:t>
      </w:r>
      <w:r w:rsidR="00F07283" w:rsidRPr="00F07283">
        <w:rPr>
          <w:rFonts w:hint="cs"/>
          <w:rtl/>
        </w:rPr>
        <w:t xml:space="preserve"> </w:t>
      </w:r>
      <w:r w:rsidR="00F07283">
        <w:rPr>
          <w:rFonts w:hint="cs"/>
          <w:rtl/>
        </w:rPr>
        <w:t>بگذارد، طبعا روی ابتدای محل مرتفع گذاشته شده است که همان کاسه زانو می شود.</w:t>
      </w:r>
    </w:p>
    <w:p w14:paraId="299948F6" w14:textId="77777777" w:rsidR="00F07283" w:rsidRDefault="00F07283" w:rsidP="002374B3">
      <w:pPr>
        <w:jc w:val="both"/>
        <w:rPr>
          <w:rtl/>
        </w:rPr>
      </w:pPr>
      <w:r>
        <w:rPr>
          <w:rFonts w:hint="cs"/>
          <w:rtl/>
        </w:rPr>
        <w:t>محقق خوئی همان نظر محقق بروجردی را تقویت کردند، در بحث سجود وقتی به مساله 5 عروه می رسد که باید در سجده رکبتین روی زمین قرار بگیرد، ایشان می فرمایند:</w:t>
      </w:r>
    </w:p>
    <w:p w14:paraId="573E42A5" w14:textId="7B3D808F" w:rsidR="00F07283" w:rsidRDefault="00F07283" w:rsidP="002374B3">
      <w:pPr>
        <w:pStyle w:val="ListParagraph"/>
        <w:jc w:val="both"/>
        <w:rPr>
          <w:rtl/>
        </w:rPr>
      </w:pPr>
      <w:r>
        <w:rPr>
          <w:rFonts w:hint="cs"/>
          <w:rtl/>
        </w:rPr>
        <w:t>«</w:t>
      </w:r>
      <w:r>
        <w:rPr>
          <w:rtl/>
        </w:rPr>
        <w:t>أنّه لم يثبت أنّ المراد بعين الركبة ما ذكره من العظم المستدير المرتفع المتخلِّل بين الطرفين الّذي يتوقف السجود عليه على مزيد التمدد</w:t>
      </w:r>
      <w:r>
        <w:rPr>
          <w:rFonts w:hint="cs"/>
          <w:rtl/>
        </w:rPr>
        <w:t>»</w:t>
      </w:r>
    </w:p>
    <w:p w14:paraId="42E844AE" w14:textId="5888F665" w:rsidR="00F07283" w:rsidRDefault="00F07283" w:rsidP="002374B3">
      <w:pPr>
        <w:jc w:val="both"/>
        <w:rPr>
          <w:rtl/>
        </w:rPr>
      </w:pPr>
      <w:r>
        <w:rPr>
          <w:rFonts w:hint="cs"/>
          <w:rtl/>
        </w:rPr>
        <w:t>انسان در حال سجود مقداری باید بیشتر کش برود تا رکبه به تفسیر صاحب جواهر روی زمین قرار بگیرد.</w:t>
      </w:r>
    </w:p>
    <w:p w14:paraId="19616AA5" w14:textId="44D08BA4" w:rsidR="00F07283" w:rsidRDefault="00F07283" w:rsidP="002374B3">
      <w:pPr>
        <w:jc w:val="both"/>
        <w:rPr>
          <w:rtl/>
        </w:rPr>
      </w:pPr>
      <w:r>
        <w:rPr>
          <w:rFonts w:hint="cs"/>
          <w:rtl/>
        </w:rPr>
        <w:t xml:space="preserve">بعد ایشان از صحیحه زراره استفاده کردند: </w:t>
      </w:r>
    </w:p>
    <w:p w14:paraId="1830A9E8" w14:textId="0F93E9CA" w:rsidR="001A0FBA" w:rsidRDefault="00F07283" w:rsidP="002374B3">
      <w:pPr>
        <w:pStyle w:val="ListParagraph"/>
        <w:jc w:val="both"/>
        <w:rPr>
          <w:rtl/>
        </w:rPr>
      </w:pPr>
      <w:r>
        <w:rPr>
          <w:rtl/>
        </w:rPr>
        <w:t xml:space="preserve"> </w:t>
      </w:r>
      <w:r>
        <w:rPr>
          <w:rFonts w:hint="cs"/>
          <w:rtl/>
        </w:rPr>
        <w:t>«</w:t>
      </w:r>
      <w:r>
        <w:rPr>
          <w:rtl/>
        </w:rPr>
        <w:t>بل ربما يظهر من بعض نصوص الركوع و غيرها أنّه الجزء المتّصل بالساق الّذي يقع جزء منه على الأرض لدى الجلوس مثنياً، و يكون أسفل من العضو المرتفع في حال القيام</w:t>
      </w:r>
      <w:r w:rsidR="001A0FBA">
        <w:rPr>
          <w:rFonts w:hint="cs"/>
          <w:rtl/>
        </w:rPr>
        <w:t>»</w:t>
      </w:r>
    </w:p>
    <w:p w14:paraId="387C995D" w14:textId="38635E5C" w:rsidR="001A0FBA" w:rsidRDefault="001A0FBA" w:rsidP="002374B3">
      <w:pPr>
        <w:jc w:val="both"/>
        <w:rPr>
          <w:rtl/>
        </w:rPr>
      </w:pPr>
      <w:r>
        <w:rPr>
          <w:rFonts w:hint="cs"/>
          <w:rtl/>
        </w:rPr>
        <w:t>از صحیحه زراره استفاده کردند که عین رکبه اسفل است:</w:t>
      </w:r>
    </w:p>
    <w:p w14:paraId="1CF2B630" w14:textId="6D039213" w:rsidR="00F35B14" w:rsidRDefault="001A0FBA" w:rsidP="002374B3">
      <w:pPr>
        <w:pStyle w:val="ListParagraph"/>
        <w:jc w:val="both"/>
        <w:rPr>
          <w:rtl/>
        </w:rPr>
      </w:pPr>
      <w:r>
        <w:rPr>
          <w:rFonts w:hint="cs"/>
          <w:rtl/>
        </w:rPr>
        <w:t>«</w:t>
      </w:r>
      <w:r w:rsidR="00F07283">
        <w:rPr>
          <w:rtl/>
        </w:rPr>
        <w:t>فيظهر أنّ عين الركبة أسفل من ذاك العظم المستدير الّذي هو بمنزلة المرفق</w:t>
      </w:r>
      <w:r w:rsidR="00F07283">
        <w:rPr>
          <w:rFonts w:hint="cs"/>
          <w:rtl/>
        </w:rPr>
        <w:t>»</w:t>
      </w:r>
      <w:r w:rsidR="00F07283">
        <w:rPr>
          <w:rStyle w:val="FootnoteReference"/>
          <w:rtl/>
        </w:rPr>
        <w:footnoteReference w:id="4"/>
      </w:r>
      <w:r w:rsidR="00F07283">
        <w:rPr>
          <w:rFonts w:hint="cs"/>
          <w:rtl/>
        </w:rPr>
        <w:t xml:space="preserve"> </w:t>
      </w:r>
    </w:p>
    <w:p w14:paraId="3D07C223" w14:textId="2FDC5000" w:rsidR="001A0FBA" w:rsidRDefault="001A0FBA" w:rsidP="002374B3">
      <w:pPr>
        <w:jc w:val="both"/>
        <w:rPr>
          <w:rtl/>
        </w:rPr>
      </w:pPr>
      <w:r>
        <w:rPr>
          <w:rFonts w:hint="cs"/>
          <w:rtl/>
        </w:rPr>
        <w:t>نوه شهید ثانی شیخ محمد عاملی در الاستقصاء الاعتبار فی شرح الاستبصار می فرمایند: دو احتمال در عین الرکبه است یک: خود کاسه زانو باشد، دو: حفره زیر کاسه زانو باشد اما در نهایت می فرماید: معنای دوم قرب دارد.</w:t>
      </w:r>
    </w:p>
    <w:p w14:paraId="2D440659" w14:textId="31F5E053" w:rsidR="001A0FBA" w:rsidRDefault="001A0FBA" w:rsidP="002374B3">
      <w:pPr>
        <w:pStyle w:val="ListParagraph"/>
        <w:jc w:val="both"/>
        <w:rPr>
          <w:rtl/>
        </w:rPr>
      </w:pPr>
      <w:r>
        <w:rPr>
          <w:rFonts w:hint="cs"/>
          <w:rtl/>
        </w:rPr>
        <w:t>«</w:t>
      </w:r>
      <w:r w:rsidRPr="001A0FBA">
        <w:rPr>
          <w:rtl/>
        </w:rPr>
        <w:t>أن يراد بالعين نفس الركبة، و حينئذ يفيد أنّ الركبة أسفل من المتعارف منها، لأنّ تبليغ الأصابع إلى العين يقتضي ذلك، فلا بدّ في السجود من عدم زيادة مدّ الرجل إلى وراء لئلّا تخرج عن الوضع الواجب.و يحتمل أن يراد بالعين غير الركبة فتكون الركبة فوق العين، و حينئذ لا بدّ من زيادة مدّ الرجل إلى وراء ليتحقّق وضع الركبة. و لعلّ الاحتمال الثاني له نوع قرب</w:t>
      </w:r>
      <w:r>
        <w:rPr>
          <w:rFonts w:hint="cs"/>
          <w:rtl/>
        </w:rPr>
        <w:t>»</w:t>
      </w:r>
      <w:r>
        <w:rPr>
          <w:rStyle w:val="FootnoteReference"/>
          <w:rtl/>
        </w:rPr>
        <w:footnoteReference w:id="5"/>
      </w:r>
    </w:p>
    <w:p w14:paraId="40AB9F34" w14:textId="6652656F" w:rsidR="001A0FBA" w:rsidRDefault="001A0FBA" w:rsidP="002374B3">
      <w:pPr>
        <w:jc w:val="both"/>
        <w:rPr>
          <w:rtl/>
        </w:rPr>
      </w:pPr>
      <w:r>
        <w:rPr>
          <w:rFonts w:hint="cs"/>
          <w:rtl/>
        </w:rPr>
        <w:t>لغویون هم بیشتر معنای حفره رکبه معنا کردند:</w:t>
      </w:r>
    </w:p>
    <w:p w14:paraId="088742A7" w14:textId="7827F2E6" w:rsidR="001A0FBA" w:rsidRDefault="001A0FBA" w:rsidP="002374B3">
      <w:pPr>
        <w:jc w:val="both"/>
        <w:rPr>
          <w:rtl/>
        </w:rPr>
      </w:pPr>
      <w:r>
        <w:rPr>
          <w:rFonts w:hint="cs"/>
          <w:rtl/>
        </w:rPr>
        <w:t>العین می گوید:</w:t>
      </w:r>
    </w:p>
    <w:p w14:paraId="2F9E644E" w14:textId="2DB53228" w:rsidR="001A0FBA" w:rsidRDefault="001A0FBA" w:rsidP="002374B3">
      <w:pPr>
        <w:pStyle w:val="ListParagraph"/>
        <w:jc w:val="both"/>
      </w:pPr>
      <w:r>
        <w:rPr>
          <w:rFonts w:hint="cs"/>
          <w:rtl/>
        </w:rPr>
        <w:t>«</w:t>
      </w:r>
      <w:r w:rsidRPr="001A0FBA">
        <w:rPr>
          <w:rtl/>
        </w:rPr>
        <w:t>و يقال لكل ركبة عَيْنَانِ كأنهما نقرتان في مقدمها</w:t>
      </w:r>
      <w:r>
        <w:rPr>
          <w:rFonts w:hint="cs"/>
          <w:rtl/>
        </w:rPr>
        <w:t>»</w:t>
      </w:r>
      <w:r>
        <w:rPr>
          <w:rStyle w:val="FootnoteReference"/>
          <w:rtl/>
        </w:rPr>
        <w:footnoteReference w:id="6"/>
      </w:r>
    </w:p>
    <w:p w14:paraId="17990724" w14:textId="2C03A51B" w:rsidR="001A0FBA" w:rsidRDefault="001A0FBA" w:rsidP="002374B3">
      <w:pPr>
        <w:jc w:val="both"/>
        <w:rPr>
          <w:rtl/>
        </w:rPr>
      </w:pPr>
      <w:r>
        <w:rPr>
          <w:rFonts w:hint="cs"/>
          <w:rtl/>
        </w:rPr>
        <w:t>الصحاح می گوید:</w:t>
      </w:r>
    </w:p>
    <w:p w14:paraId="63BDB3B6" w14:textId="3EF309B8" w:rsidR="00E3280D" w:rsidRDefault="001A0FBA" w:rsidP="002374B3">
      <w:pPr>
        <w:pStyle w:val="ListParagraph"/>
        <w:jc w:val="both"/>
        <w:rPr>
          <w:rtl/>
        </w:rPr>
      </w:pPr>
      <w:r>
        <w:rPr>
          <w:rFonts w:hint="cs"/>
          <w:rtl/>
        </w:rPr>
        <w:t>«</w:t>
      </w:r>
      <w:r w:rsidRPr="001A0FBA">
        <w:rPr>
          <w:rtl/>
        </w:rPr>
        <w:t>و لكلِّ ركبة عَيْنَانِ، و هما نقرتان فى مقدَّمها عند الساق‏</w:t>
      </w:r>
      <w:r>
        <w:rPr>
          <w:rFonts w:hint="cs"/>
          <w:rtl/>
        </w:rPr>
        <w:t>»</w:t>
      </w:r>
      <w:r>
        <w:rPr>
          <w:rStyle w:val="FootnoteReference"/>
          <w:rtl/>
        </w:rPr>
        <w:footnoteReference w:id="7"/>
      </w:r>
    </w:p>
    <w:p w14:paraId="5D2567D2" w14:textId="77777777" w:rsidR="00E3280D" w:rsidRDefault="00E3280D" w:rsidP="002374B3">
      <w:pPr>
        <w:jc w:val="both"/>
        <w:rPr>
          <w:rtl/>
        </w:rPr>
      </w:pPr>
      <w:r>
        <w:rPr>
          <w:rFonts w:hint="cs"/>
          <w:rtl/>
        </w:rPr>
        <w:t>لسان العرب</w:t>
      </w:r>
      <w:r>
        <w:rPr>
          <w:rStyle w:val="FootnoteReference"/>
          <w:rtl/>
        </w:rPr>
        <w:footnoteReference w:id="8"/>
      </w:r>
      <w:r>
        <w:rPr>
          <w:rFonts w:hint="cs"/>
          <w:rtl/>
        </w:rPr>
        <w:t xml:space="preserve"> و الافصاح</w:t>
      </w:r>
      <w:r>
        <w:rPr>
          <w:rStyle w:val="FootnoteReference"/>
          <w:rtl/>
        </w:rPr>
        <w:footnoteReference w:id="9"/>
      </w:r>
      <w:r>
        <w:rPr>
          <w:rFonts w:hint="cs"/>
          <w:rtl/>
        </w:rPr>
        <w:t xml:space="preserve"> هم همین معنا را مطرح کردند. لذا اشکال دوم را مطرح کردیم تا روشن شود که همه قائل به معنای دو حفره زیر کاسه زانو برای عین الرکبه نیستند، البته از کلمات لغویون بعید نیست کسی استظهار کند که همین معنا درست است پس اشکال دوم مورد تایید ما نیست اما میخواستم تذکر دهیم که یک امر مسلم نیست و یک امر استظهاری است، اگرچه ما بعید نمی دانیم که استظهار محقق بروجردی در معنای عین الرکبه صحیح باشد.</w:t>
      </w:r>
    </w:p>
    <w:p w14:paraId="63048CDB" w14:textId="39FCD3D5" w:rsidR="00E3280D" w:rsidRDefault="00E3280D" w:rsidP="002374B3">
      <w:pPr>
        <w:pStyle w:val="Heading3"/>
        <w:rPr>
          <w:rtl/>
        </w:rPr>
      </w:pPr>
      <w:bookmarkStart w:id="8" w:name="_Toc128867896"/>
      <w:r>
        <w:rPr>
          <w:rFonts w:hint="cs"/>
          <w:rtl/>
        </w:rPr>
        <w:t>اشکال سوم</w:t>
      </w:r>
      <w:bookmarkEnd w:id="8"/>
    </w:p>
    <w:p w14:paraId="0CC8B7FB" w14:textId="1A9A6985" w:rsidR="00E3280D" w:rsidRDefault="00E3280D" w:rsidP="002374B3">
      <w:pPr>
        <w:jc w:val="both"/>
        <w:rPr>
          <w:rtl/>
        </w:rPr>
      </w:pPr>
      <w:r>
        <w:rPr>
          <w:rFonts w:hint="cs"/>
          <w:rtl/>
        </w:rPr>
        <w:t>صحیحه زراره به مستحبات مقترن است</w:t>
      </w:r>
      <w:r w:rsidR="00612571">
        <w:rPr>
          <w:rFonts w:hint="cs"/>
          <w:rtl/>
        </w:rPr>
        <w:t>،</w:t>
      </w:r>
      <w:r>
        <w:rPr>
          <w:rFonts w:hint="cs"/>
          <w:rtl/>
        </w:rPr>
        <w:t xml:space="preserve"> چگونه از </w:t>
      </w:r>
      <w:r w:rsidR="00612571">
        <w:rPr>
          <w:rFonts w:hint="cs"/>
          <w:rtl/>
        </w:rPr>
        <w:t>جمله «</w:t>
      </w:r>
      <w:r w:rsidR="00612571" w:rsidRPr="00612571">
        <w:rPr>
          <w:color w:val="008000"/>
          <w:rtl/>
        </w:rPr>
        <w:t xml:space="preserve"> </w:t>
      </w:r>
      <w:r w:rsidR="00612571" w:rsidRPr="00F75C45">
        <w:rPr>
          <w:color w:val="008000"/>
          <w:rtl/>
        </w:rPr>
        <w:t xml:space="preserve">وَ </w:t>
      </w:r>
      <w:r w:rsidR="00612571" w:rsidRPr="00612571">
        <w:rPr>
          <w:color w:val="008000"/>
          <w:rtl/>
        </w:rPr>
        <w:t xml:space="preserve">بَلِّغْ </w:t>
      </w:r>
      <w:r w:rsidR="00612571" w:rsidRPr="00F75C45">
        <w:rPr>
          <w:color w:val="008000"/>
          <w:rtl/>
        </w:rPr>
        <w:t>أَطْرَافَ أَصَابِعِكَ عَيْنَ الرُّكْبَةِ</w:t>
      </w:r>
      <w:r w:rsidR="00612571">
        <w:rPr>
          <w:rFonts w:hint="cs"/>
          <w:rtl/>
        </w:rPr>
        <w:t>» وجوب برداشت می شود؟</w:t>
      </w:r>
    </w:p>
    <w:p w14:paraId="30CED8ED" w14:textId="633AD146" w:rsidR="00612571" w:rsidRDefault="00612571" w:rsidP="002374B3">
      <w:pPr>
        <w:jc w:val="both"/>
        <w:rPr>
          <w:rtl/>
        </w:rPr>
      </w:pPr>
      <w:r>
        <w:rPr>
          <w:rFonts w:hint="cs"/>
          <w:rtl/>
        </w:rPr>
        <w:t>کلام محقق بروجردی این است که اصل همان صدر است و فقط از ذیل فهمیده می شود که تمکین بالفعل واجب نیست اما ایصال واجب است درحالیکه این صحیحه مشتمل بر مستحبات متعدد است، مثل</w:t>
      </w:r>
    </w:p>
    <w:p w14:paraId="6C6D9897" w14:textId="7FE287A8" w:rsidR="00612571" w:rsidRDefault="00612571" w:rsidP="002374B3">
      <w:pPr>
        <w:pStyle w:val="ListParagraph"/>
        <w:jc w:val="both"/>
        <w:rPr>
          <w:color w:val="008000"/>
          <w:rtl/>
        </w:rPr>
      </w:pPr>
      <w:r w:rsidRPr="00612571">
        <w:rPr>
          <w:rFonts w:hint="eastAsia"/>
          <w:color w:val="008000"/>
          <w:rtl/>
        </w:rPr>
        <w:t>«</w:t>
      </w:r>
      <w:r w:rsidRPr="00612571">
        <w:rPr>
          <w:color w:val="008000"/>
          <w:rtl/>
        </w:rPr>
        <w:t>إِذَا قُمْتَ فِي الصَّلَاةِ فَلَا تُلْصِقْ قَدَمَكَ بِالْأُخْرَى دَعْ بَيْنَهُمَا فَصْلًا إِصْبَعاً أَقَلُّ ذَلِكَ إِلَى شِبْرٍ أَكْثَرُهُ وَ اسْدِلْ مَنْكِبَيْكَ وَ أَرْسِلْ يَدَيْكَ وَ لَا تُشَبِّكْ أَصَابِعَكَ وَ لْتَكُونَا عَلَى فَخِذَيْكَ قُبَالَةَ رُكْبَتَيْكَ وَ لْيَكُنْ نَظَرُكَ إِلَى مَوْضِعِ سُجُودِكَ فَإِذَا</w:t>
      </w:r>
      <w:r w:rsidRPr="00612571">
        <w:rPr>
          <w:rFonts w:hint="cs"/>
          <w:color w:val="008000"/>
          <w:rtl/>
        </w:rPr>
        <w:t xml:space="preserve"> </w:t>
      </w:r>
      <w:r w:rsidRPr="00612571">
        <w:rPr>
          <w:color w:val="008000"/>
          <w:rtl/>
        </w:rPr>
        <w:t>رَكَعْتَ فَصُفَّ فِي رُكُوعِكَ بَيْنَ قَدَمَيْكَ تَجْعَلُ بَيْنَهُمَا قَدْرَ شِبْرٍ</w:t>
      </w:r>
      <w:r w:rsidRPr="00612571">
        <w:rPr>
          <w:rFonts w:hint="eastAsia"/>
          <w:color w:val="008000"/>
          <w:rtl/>
        </w:rPr>
        <w:t>»</w:t>
      </w:r>
      <w:r>
        <w:rPr>
          <w:rStyle w:val="FootnoteReference"/>
          <w:color w:val="008000"/>
          <w:rtl/>
        </w:rPr>
        <w:footnoteReference w:id="10"/>
      </w:r>
    </w:p>
    <w:p w14:paraId="300D4BAF" w14:textId="77777777" w:rsidR="0058641A" w:rsidRDefault="0058641A" w:rsidP="002374B3">
      <w:pPr>
        <w:jc w:val="both"/>
        <w:rPr>
          <w:rtl/>
        </w:rPr>
      </w:pPr>
      <w:r w:rsidRPr="0058641A">
        <w:rPr>
          <w:rFonts w:hint="cs"/>
          <w:rtl/>
        </w:rPr>
        <w:t>حتی مرحوم خوانساری</w:t>
      </w:r>
      <w:r>
        <w:rPr>
          <w:rFonts w:hint="cs"/>
          <w:rtl/>
        </w:rPr>
        <w:t xml:space="preserve"> در جامع المدارک</w:t>
      </w:r>
      <w:r w:rsidRPr="0058641A">
        <w:rPr>
          <w:rFonts w:hint="cs"/>
          <w:rtl/>
        </w:rPr>
        <w:t xml:space="preserve"> فرمودند:</w:t>
      </w:r>
    </w:p>
    <w:p w14:paraId="423D9D38" w14:textId="507CE94B" w:rsidR="0058641A" w:rsidRDefault="0058641A" w:rsidP="002374B3">
      <w:pPr>
        <w:pStyle w:val="ListParagraph"/>
        <w:jc w:val="both"/>
        <w:rPr>
          <w:rtl/>
        </w:rPr>
      </w:pPr>
      <w:r>
        <w:rPr>
          <w:rFonts w:hint="cs"/>
          <w:rtl/>
        </w:rPr>
        <w:t>«</w:t>
      </w:r>
      <w:r w:rsidRPr="0058641A">
        <w:rPr>
          <w:rtl/>
        </w:rPr>
        <w:t>لأنّ ما اشتمل من الأخبار على الأمر لا ظهور له في الوجوب بقرينة ذكر المستحبّ فيه و ما اشتمل على الاجزاء فقد عرفت التأمّل في دلالته على الوجوب</w:t>
      </w:r>
      <w:r>
        <w:rPr>
          <w:rFonts w:hint="cs"/>
          <w:rtl/>
        </w:rPr>
        <w:t>»</w:t>
      </w:r>
      <w:r>
        <w:rPr>
          <w:rStyle w:val="FootnoteReference"/>
          <w:rtl/>
        </w:rPr>
        <w:footnoteReference w:id="11"/>
      </w:r>
    </w:p>
    <w:p w14:paraId="307B3576" w14:textId="798C2255" w:rsidR="0058641A" w:rsidRDefault="0058641A" w:rsidP="002374B3">
      <w:pPr>
        <w:jc w:val="both"/>
        <w:rPr>
          <w:rtl/>
        </w:rPr>
      </w:pPr>
      <w:r w:rsidRPr="0058641A">
        <w:rPr>
          <w:rFonts w:hint="cs"/>
          <w:rtl/>
        </w:rPr>
        <w:t xml:space="preserve"> جمله</w:t>
      </w:r>
      <w:r>
        <w:rPr>
          <w:rFonts w:hint="cs"/>
          <w:color w:val="008000"/>
          <w:rtl/>
        </w:rPr>
        <w:t xml:space="preserve"> «</w:t>
      </w:r>
      <w:r w:rsidRPr="00F75C45">
        <w:rPr>
          <w:color w:val="008000"/>
          <w:rtl/>
        </w:rPr>
        <w:t>فَإِذَا وَصَلَتْ أَطْرَافُ أَصَابِعِكَ فِي رُكُوعِكَ إِلَى رُكْبَتَيْكَ أَجْزَأَكَ ذَلِكَ</w:t>
      </w:r>
      <w:r>
        <w:rPr>
          <w:rFonts w:hint="cs"/>
          <w:color w:val="008000"/>
          <w:rtl/>
        </w:rPr>
        <w:t xml:space="preserve">» </w:t>
      </w:r>
      <w:r w:rsidRPr="0058641A">
        <w:rPr>
          <w:rFonts w:hint="cs"/>
          <w:rtl/>
        </w:rPr>
        <w:t>دلیل بر حداقل واجب نیست، مجزی از عمل به این مستحب است یعنی همین مقدار را بیارود</w:t>
      </w:r>
      <w:r w:rsidR="00C76B98">
        <w:rPr>
          <w:rFonts w:hint="cs"/>
          <w:rtl/>
        </w:rPr>
        <w:t>،</w:t>
      </w:r>
      <w:r w:rsidRPr="0058641A">
        <w:rPr>
          <w:rFonts w:hint="cs"/>
          <w:rtl/>
        </w:rPr>
        <w:t xml:space="preserve"> بخشی از مستحب را آورده است.</w:t>
      </w:r>
    </w:p>
    <w:p w14:paraId="100E161C" w14:textId="195D1D36" w:rsidR="00C76B98" w:rsidRPr="0058641A" w:rsidRDefault="00C76B98" w:rsidP="002374B3">
      <w:pPr>
        <w:jc w:val="both"/>
        <w:rPr>
          <w:rtl/>
        </w:rPr>
      </w:pPr>
      <w:r>
        <w:rPr>
          <w:rFonts w:hint="cs"/>
          <w:rtl/>
        </w:rPr>
        <w:t xml:space="preserve">اگر چندین امر مستحب باشد اینکه بخواهد یک امر در بین آنها ظهور در وجوب پیدا کند، این انصافا عرفی نیست. </w:t>
      </w:r>
    </w:p>
    <w:p w14:paraId="57F79ACD" w14:textId="5576DAE4" w:rsidR="00612571" w:rsidRPr="00BB490D" w:rsidRDefault="00612571" w:rsidP="002374B3">
      <w:pPr>
        <w:jc w:val="both"/>
        <w:rPr>
          <w:rtl/>
        </w:rPr>
      </w:pPr>
      <w:r w:rsidRPr="00612571">
        <w:rPr>
          <w:color w:val="008000"/>
          <w:rtl/>
        </w:rPr>
        <w:t xml:space="preserve"> </w:t>
      </w:r>
      <w:r w:rsidR="00C76B98">
        <w:rPr>
          <w:rFonts w:hint="cs"/>
          <w:color w:val="008000"/>
          <w:rtl/>
        </w:rPr>
        <w:t>ممکن از این اشکال سوم جواب داده شود که در استدلال محقق بروجردی همین که فاء را برای تفریع گرفت، کافی است؛ چون وقتی که گفت:«</w:t>
      </w:r>
      <w:r w:rsidR="00C76B98" w:rsidRPr="00F75C45">
        <w:rPr>
          <w:color w:val="008000"/>
          <w:rtl/>
        </w:rPr>
        <w:t>فَإِذَا وَصَلَتْ أَطْرَافُ أَصَابِعِكَ فِي رُكُوعِكَ إِلَى رُكْبَتَيْكَ أَجْزَأَكَ ذَلِكَ</w:t>
      </w:r>
      <w:r w:rsidR="00C76B98">
        <w:rPr>
          <w:rFonts w:hint="cs"/>
          <w:color w:val="008000"/>
          <w:rtl/>
        </w:rPr>
        <w:t xml:space="preserve">» و ایشان رکبتیک را به عین الرکبتیک معنا کردند این دیگر کاری به سیاق ندارد و این معنایش حداقل مجزی است و کمتر از این دیگر مجزی نیست و </w:t>
      </w:r>
      <w:r w:rsidR="00C76B98" w:rsidRPr="00BB490D">
        <w:rPr>
          <w:rFonts w:hint="cs"/>
          <w:rtl/>
        </w:rPr>
        <w:t>ادامه هم می گوید</w:t>
      </w:r>
      <w:r w:rsidR="00C76B98" w:rsidRPr="00BB490D">
        <w:rPr>
          <w:rtl/>
        </w:rPr>
        <w:t xml:space="preserve"> </w:t>
      </w:r>
      <w:r w:rsidR="00BB490D" w:rsidRPr="00BB490D">
        <w:rPr>
          <w:color w:val="008000"/>
          <w:rtl/>
        </w:rPr>
        <w:t>«</w:t>
      </w:r>
      <w:r w:rsidR="00C76B98" w:rsidRPr="00BB490D">
        <w:rPr>
          <w:color w:val="008000"/>
          <w:rtl/>
        </w:rPr>
        <w:t>وَ أَحَبُّ إِلَيَّ أَنْ تُمَكِّنَ كَفَّيْكَ مِنْ رُكْبَتَيْكَ</w:t>
      </w:r>
      <w:r w:rsidR="00C76B98" w:rsidRPr="00BB490D">
        <w:rPr>
          <w:rFonts w:hint="cs"/>
          <w:color w:val="008000"/>
          <w:rtl/>
        </w:rPr>
        <w:t xml:space="preserve"> </w:t>
      </w:r>
      <w:r w:rsidR="00C76B98" w:rsidRPr="00BB490D">
        <w:rPr>
          <w:color w:val="008000"/>
          <w:rtl/>
        </w:rPr>
        <w:t>فَتَجْعَلَ أَصَابِعَكَ فِي عَيْنِ الرُّكْبَةِ</w:t>
      </w:r>
      <w:r w:rsidR="00C76B98" w:rsidRPr="00BB490D">
        <w:rPr>
          <w:rFonts w:hint="cs"/>
          <w:color w:val="008000"/>
          <w:rtl/>
        </w:rPr>
        <w:t>»</w:t>
      </w:r>
      <w:r w:rsidR="00BB490D">
        <w:rPr>
          <w:color w:val="008000"/>
          <w:rtl/>
        </w:rPr>
        <w:t xml:space="preserve"> </w:t>
      </w:r>
      <w:r w:rsidR="00C76B98" w:rsidRPr="00BB490D">
        <w:rPr>
          <w:rFonts w:hint="cs"/>
          <w:rtl/>
        </w:rPr>
        <w:t xml:space="preserve">این اجزاک ظهورش در حداقل مجزی است؛ لذا این اشکال سوم که محقق سیستانی هم مطرح کردند، با این بیان ممکن است جواب داده شود اما اشکال اول قابل جواب نیست؛ چون </w:t>
      </w:r>
      <w:r w:rsidR="00BB490D" w:rsidRPr="00BB490D">
        <w:rPr>
          <w:rFonts w:hint="cs"/>
          <w:rtl/>
        </w:rPr>
        <w:t xml:space="preserve">در جمله </w:t>
      </w:r>
      <w:r w:rsidR="00BB490D" w:rsidRPr="00BB490D">
        <w:rPr>
          <w:rFonts w:hint="cs"/>
          <w:color w:val="008000"/>
          <w:rtl/>
        </w:rPr>
        <w:t>«</w:t>
      </w:r>
      <w:r w:rsidR="00BB490D" w:rsidRPr="00BB490D">
        <w:rPr>
          <w:color w:val="008000"/>
          <w:rtl/>
        </w:rPr>
        <w:t>فَإِذَا وَصَلَتْ أَطْرَافُ أَصَابِعِكَ فِي رُكُوعِكَ إِلَى رُكْبَتَيْكَ</w:t>
      </w:r>
      <w:r w:rsidR="00BB490D" w:rsidRPr="00BB490D">
        <w:rPr>
          <w:rFonts w:hint="cs"/>
          <w:color w:val="008000"/>
          <w:rtl/>
        </w:rPr>
        <w:t>»</w:t>
      </w:r>
      <w:r w:rsidR="00BB490D">
        <w:rPr>
          <w:color w:val="008000"/>
          <w:rtl/>
        </w:rPr>
        <w:t xml:space="preserve"> </w:t>
      </w:r>
      <w:r w:rsidR="00BB490D" w:rsidRPr="00BB490D">
        <w:rPr>
          <w:rFonts w:hint="cs"/>
          <w:rtl/>
        </w:rPr>
        <w:t>عین در تقدیر گرفته می شود در حالیکه تقدیر خلاف ظاهر است.</w:t>
      </w:r>
    </w:p>
    <w:p w14:paraId="5EB21507" w14:textId="4BB832FF" w:rsidR="00BB490D" w:rsidRDefault="00BB490D" w:rsidP="002374B3">
      <w:pPr>
        <w:jc w:val="both"/>
        <w:rPr>
          <w:rtl/>
        </w:rPr>
      </w:pPr>
      <w:r w:rsidRPr="00BB490D">
        <w:rPr>
          <w:rFonts w:hint="cs"/>
          <w:rtl/>
        </w:rPr>
        <w:t>اگر گفته شود: صدر قرینه بر تصرف در ذیل است، جواب داده می شود که لم لایعکس؟ گفته شود که صدر «</w:t>
      </w:r>
      <w:r w:rsidRPr="00BB490D">
        <w:rPr>
          <w:u w:val="single"/>
          <w:rtl/>
        </w:rPr>
        <w:t xml:space="preserve"> </w:t>
      </w:r>
      <w:r w:rsidRPr="00BB490D">
        <w:rPr>
          <w:rtl/>
        </w:rPr>
        <w:t>بَلِّغْ</w:t>
      </w:r>
      <w:r w:rsidRPr="00BB490D">
        <w:rPr>
          <w:u w:val="single"/>
          <w:rtl/>
        </w:rPr>
        <w:t xml:space="preserve"> </w:t>
      </w:r>
      <w:r w:rsidRPr="00BB490D">
        <w:rPr>
          <w:rtl/>
        </w:rPr>
        <w:t xml:space="preserve">أَطْرَافَ أَصَابِعِكَ عَيْنَ الرُّكْبَةِ </w:t>
      </w:r>
      <w:r w:rsidRPr="00BB490D">
        <w:rPr>
          <w:rFonts w:hint="cs"/>
          <w:rtl/>
        </w:rPr>
        <w:t xml:space="preserve">» متسحب است اما اقل مجزی </w:t>
      </w:r>
      <w:r w:rsidRPr="00BB490D">
        <w:rPr>
          <w:rFonts w:hint="cs"/>
          <w:color w:val="008000"/>
          <w:rtl/>
        </w:rPr>
        <w:t>«</w:t>
      </w:r>
      <w:r w:rsidRPr="00BB490D">
        <w:rPr>
          <w:color w:val="008000"/>
          <w:rtl/>
        </w:rPr>
        <w:t>فَإِذَا وَصَلَتْ أَطْرَافُ أَصَابِعِكَ فِي رُكُوعِكَ إِلَى رُكْبَتَيْكَ</w:t>
      </w:r>
      <w:r w:rsidRPr="00BB490D">
        <w:rPr>
          <w:rFonts w:hint="cs"/>
          <w:color w:val="008000"/>
          <w:rtl/>
        </w:rPr>
        <w:t>»</w:t>
      </w:r>
      <w:r>
        <w:rPr>
          <w:color w:val="008000"/>
          <w:rtl/>
        </w:rPr>
        <w:t xml:space="preserve"> </w:t>
      </w:r>
      <w:r w:rsidRPr="00BB490D">
        <w:rPr>
          <w:rFonts w:hint="cs"/>
          <w:rtl/>
        </w:rPr>
        <w:t>است</w:t>
      </w:r>
      <w:r>
        <w:rPr>
          <w:rFonts w:hint="cs"/>
          <w:rtl/>
        </w:rPr>
        <w:t>؛ لذا اقرب کلام محقق خوئی است که کفایت وصول اصابع به اعلای رکبه است.</w:t>
      </w:r>
    </w:p>
    <w:p w14:paraId="3E230045" w14:textId="77777777" w:rsidR="00B209D0" w:rsidRDefault="00BB490D" w:rsidP="002374B3">
      <w:pPr>
        <w:jc w:val="both"/>
        <w:rPr>
          <w:rtl/>
        </w:rPr>
      </w:pPr>
      <w:r>
        <w:rPr>
          <w:rFonts w:hint="cs"/>
          <w:rtl/>
        </w:rPr>
        <w:t>محقق بروجردی در ابتدای کلامشان اشکالی مطرح کردند که مراد از اطراف اصابع چیست؟ اگر مراد یک اصبع یا همان اصبع وسطی باشد که این خلاف ظاهر است و اگر مراد مجموع باشد، ابتدای انگشت شست اگر به زانو یا به حفره زانو برسد</w:t>
      </w:r>
      <w:r w:rsidR="00B209D0">
        <w:rPr>
          <w:rFonts w:hint="cs"/>
          <w:rtl/>
        </w:rPr>
        <w:t>،</w:t>
      </w:r>
      <w:r>
        <w:rPr>
          <w:rFonts w:hint="cs"/>
          <w:rtl/>
        </w:rPr>
        <w:t xml:space="preserve"> بقیه اصابع رد شده و به رکبه رسیده است؛ چون ابتدای سر انگشت شست تقریبا </w:t>
      </w:r>
      <w:r w:rsidR="00B209D0">
        <w:rPr>
          <w:rFonts w:hint="cs"/>
          <w:rtl/>
        </w:rPr>
        <w:t>با ابتدای رکبه مساوی است.</w:t>
      </w:r>
    </w:p>
    <w:p w14:paraId="66959575" w14:textId="77777777" w:rsidR="00B209D0" w:rsidRDefault="00B209D0" w:rsidP="002374B3">
      <w:pPr>
        <w:jc w:val="both"/>
        <w:rPr>
          <w:rtl/>
        </w:rPr>
      </w:pPr>
      <w:r>
        <w:rPr>
          <w:rFonts w:hint="cs"/>
          <w:rtl/>
        </w:rPr>
        <w:t>ایشان این اشکال را مطرح کرده اند در نهایت هم جوابی نداده اند.</w:t>
      </w:r>
    </w:p>
    <w:p w14:paraId="74893621" w14:textId="07083E0D" w:rsidR="00BB490D" w:rsidRDefault="00B209D0" w:rsidP="002374B3">
      <w:pPr>
        <w:jc w:val="both"/>
        <w:rPr>
          <w:rtl/>
        </w:rPr>
      </w:pPr>
      <w:r>
        <w:rPr>
          <w:rFonts w:hint="cs"/>
          <w:rtl/>
        </w:rPr>
        <w:t xml:space="preserve">به نظر ما جواب این شبهه عرفی است؛ چون وقتی انگشتان جمع می شود و زیر حفره قرار می گیرد یک حالت گردی دارد و عرفا همه این انگشتان باهم به حفره می رسد. وقتی انگشتان جمع می شود، حالت تلقم و بلع پیدا می کند و مثل لقمه ای است که احاطه می کنید، در این صورت انگشتان حالت مساوی پیدا می کند. </w:t>
      </w:r>
    </w:p>
    <w:p w14:paraId="2D230A47" w14:textId="07541422" w:rsidR="00BB490D" w:rsidRDefault="00BB490D" w:rsidP="002374B3">
      <w:pPr>
        <w:jc w:val="both"/>
        <w:rPr>
          <w:rtl/>
        </w:rPr>
      </w:pPr>
      <w:r>
        <w:rPr>
          <w:rFonts w:hint="cs"/>
          <w:rtl/>
        </w:rPr>
        <w:t xml:space="preserve">ممکن است </w:t>
      </w:r>
      <w:r w:rsidR="00B209D0">
        <w:rPr>
          <w:rFonts w:hint="cs"/>
          <w:rtl/>
        </w:rPr>
        <w:t>به بیان ما و محقق خوئی</w:t>
      </w:r>
      <w:r>
        <w:rPr>
          <w:rFonts w:hint="cs"/>
          <w:rtl/>
        </w:rPr>
        <w:t xml:space="preserve"> </w:t>
      </w:r>
      <w:r w:rsidR="00B209D0">
        <w:rPr>
          <w:rFonts w:hint="cs"/>
          <w:rtl/>
        </w:rPr>
        <w:t xml:space="preserve">اشکال شود </w:t>
      </w:r>
      <w:r>
        <w:rPr>
          <w:rFonts w:hint="cs"/>
          <w:rtl/>
        </w:rPr>
        <w:t xml:space="preserve">که </w:t>
      </w:r>
      <w:r w:rsidR="00B209D0">
        <w:rPr>
          <w:rFonts w:hint="cs"/>
          <w:rtl/>
        </w:rPr>
        <w:t>تمکن را به معنای وضع فعلی معنا می کنید و فاذا وصلت را به معنای امکان وضع می گیرد، درحالیکه وصول یعنی رسیدن، وصلت الی قم یعنی به قم رسیدم، پس بین این دو تعبیر تفاوتی نباید باشد؟</w:t>
      </w:r>
    </w:p>
    <w:p w14:paraId="3F95069D" w14:textId="107DA302" w:rsidR="00B209D0" w:rsidRDefault="00B209D0" w:rsidP="002374B3">
      <w:pPr>
        <w:jc w:val="both"/>
        <w:rPr>
          <w:rtl/>
        </w:rPr>
      </w:pPr>
      <w:r>
        <w:rPr>
          <w:rFonts w:hint="cs"/>
          <w:rtl/>
        </w:rPr>
        <w:t>حاج شیخ عبدالکریم حائری فرمودند: عرفی است اگر گفته شود تصل ید فلان الی السقف آیا معنایش این است که بالفعل دستش به سقف رسیده است؟</w:t>
      </w:r>
    </w:p>
    <w:p w14:paraId="3EE33F85" w14:textId="7ACCA88A" w:rsidR="00B209D0" w:rsidRDefault="00B209D0" w:rsidP="002374B3">
      <w:pPr>
        <w:jc w:val="both"/>
        <w:rPr>
          <w:rtl/>
        </w:rPr>
      </w:pPr>
      <w:r>
        <w:rPr>
          <w:rFonts w:hint="cs"/>
          <w:rtl/>
        </w:rPr>
        <w:t>این جواب به نظر ما درست نیست؛ چون تصل با وصل فرق دارد، وصل ید فلان یعنی بالفعل دستش رسید</w:t>
      </w:r>
      <w:r w:rsidR="00EE379D">
        <w:rPr>
          <w:rFonts w:hint="cs"/>
          <w:rtl/>
        </w:rPr>
        <w:t>؛</w:t>
      </w:r>
      <w:r>
        <w:rPr>
          <w:rFonts w:hint="cs"/>
          <w:rtl/>
        </w:rPr>
        <w:t xml:space="preserve"> لذا در جامع المدارک ج 1 ص 359 فرمودند: چه وجهی دارد </w:t>
      </w:r>
      <w:r w:rsidR="00EE379D">
        <w:rPr>
          <w:rFonts w:hint="cs"/>
          <w:rtl/>
        </w:rPr>
        <w:t>که از ظهور فاذا وصلت در ظهور فعلی رفع ید کنید و به معنای وصول شانی معنا می کنید؟</w:t>
      </w:r>
    </w:p>
    <w:p w14:paraId="3B67F3B6" w14:textId="3A5BAE2F" w:rsidR="00EE379D" w:rsidRDefault="00EE379D" w:rsidP="002374B3">
      <w:pPr>
        <w:jc w:val="both"/>
        <w:rPr>
          <w:rtl/>
        </w:rPr>
      </w:pPr>
      <w:r>
        <w:rPr>
          <w:rFonts w:hint="cs"/>
          <w:rtl/>
        </w:rPr>
        <w:t>بله گاهی قرینه است، مثل اینکه به بچه می گویند: هر وقت دستت به سقف رسید، آن موقع حرف بزن! در این جمله می خواهد حد سن را تعیین کند اما در جملاتی مثل اینکه می گوید: فاذا وصلت یدک الی السقف فتصدق، این ظهورش در وصول فعلی است.</w:t>
      </w:r>
    </w:p>
    <w:p w14:paraId="596E62AF" w14:textId="3357670D" w:rsidR="00EE379D" w:rsidRDefault="00EE379D" w:rsidP="002374B3">
      <w:pPr>
        <w:jc w:val="both"/>
        <w:rPr>
          <w:rtl/>
        </w:rPr>
      </w:pPr>
      <w:r>
        <w:rPr>
          <w:rFonts w:hint="cs"/>
          <w:rtl/>
        </w:rPr>
        <w:t xml:space="preserve"> به نظر ما مناسبت حکم و موضوع در وصلت با تمکن یا تجعل اصابعک فی عین الرکبه متفاوت است، فاذا وصلت ظاهرش هم بیان حد رکوع است ارکع فاذا وصلت یدک الی رکبتیک اجزاک متفاهم عرفی این است که بتواند دستش را روی رکبه قرار بدهد؛ لذا ما کلام محقق خوئی و حاج شیخ عبدالکریم را عرفی می دانیم و فاذا وصلت یعنی بتواند دستش را روی زانو بگذارد و از طرف دیگر ظاهر اطراف اصابع که جمع است و اقل جمع سه تا است و اگر سه انگشت وسطی به اعلای رکبه برسد، کافی است و اگر شک بشود و در اطلاق لفظی رکوع هم شک شود، برائت از وجوب مرتبه مازاد وصول اطراف اصابع الی اعلی الرکبه جاری است.</w:t>
      </w:r>
    </w:p>
    <w:p w14:paraId="3B191AF1" w14:textId="50CF189E" w:rsidR="002374B3" w:rsidRDefault="002374B3" w:rsidP="002374B3">
      <w:pPr>
        <w:pStyle w:val="Heading2"/>
        <w:rPr>
          <w:rtl/>
        </w:rPr>
      </w:pPr>
      <w:bookmarkStart w:id="9" w:name="_Toc128867897"/>
      <w:r>
        <w:rPr>
          <w:rFonts w:hint="cs"/>
          <w:rtl/>
        </w:rPr>
        <w:t>حد رکوع غیر مستوی الخلقه</w:t>
      </w:r>
      <w:bookmarkEnd w:id="9"/>
    </w:p>
    <w:p w14:paraId="56ACFC4A" w14:textId="33F04263" w:rsidR="00EE379D" w:rsidRDefault="00EE379D" w:rsidP="002374B3">
      <w:pPr>
        <w:jc w:val="both"/>
        <w:rPr>
          <w:rtl/>
        </w:rPr>
      </w:pPr>
      <w:r>
        <w:rPr>
          <w:rFonts w:hint="cs"/>
          <w:rtl/>
        </w:rPr>
        <w:t>صاحب عروه در مورد مستوی الخلقه و غیر مستوی الخلقه بحث کرده است</w:t>
      </w:r>
      <w:r w:rsidR="002374B3">
        <w:rPr>
          <w:rFonts w:hint="cs"/>
          <w:rtl/>
        </w:rPr>
        <w:t>.</w:t>
      </w:r>
      <w:r>
        <w:rPr>
          <w:rFonts w:hint="cs"/>
          <w:rtl/>
        </w:rPr>
        <w:t xml:space="preserve"> </w:t>
      </w:r>
    </w:p>
    <w:p w14:paraId="7A440B90" w14:textId="11124850" w:rsidR="00EE379D" w:rsidRDefault="00EE379D" w:rsidP="002374B3">
      <w:pPr>
        <w:jc w:val="both"/>
        <w:rPr>
          <w:rtl/>
        </w:rPr>
      </w:pPr>
      <w:r>
        <w:rPr>
          <w:rFonts w:hint="cs"/>
          <w:rtl/>
        </w:rPr>
        <w:t>مستوی الخلقه کسی است که طول دست او با طول قامتش تناسب دارد</w:t>
      </w:r>
      <w:r w:rsidR="002374B3">
        <w:rPr>
          <w:rFonts w:hint="cs"/>
          <w:rtl/>
        </w:rPr>
        <w:t>،</w:t>
      </w:r>
      <w:r>
        <w:rPr>
          <w:rFonts w:hint="cs"/>
          <w:rtl/>
        </w:rPr>
        <w:t xml:space="preserve"> مثلا اگر طول دستش 50 سانت است</w:t>
      </w:r>
      <w:r w:rsidR="002374B3">
        <w:rPr>
          <w:rFonts w:hint="cs"/>
          <w:rtl/>
        </w:rPr>
        <w:t>،</w:t>
      </w:r>
      <w:r>
        <w:rPr>
          <w:rFonts w:hint="cs"/>
          <w:rtl/>
        </w:rPr>
        <w:t xml:space="preserve"> طول قامتش 150 سانت است، اگر کسی </w:t>
      </w:r>
      <w:r w:rsidR="006508BF">
        <w:rPr>
          <w:rFonts w:hint="cs"/>
          <w:rtl/>
        </w:rPr>
        <w:t>طول دستش با قامتش تناسب نداشت</w:t>
      </w:r>
      <w:r w:rsidR="002374B3">
        <w:rPr>
          <w:rFonts w:hint="cs"/>
          <w:rtl/>
        </w:rPr>
        <w:t>،</w:t>
      </w:r>
      <w:r w:rsidR="006508BF">
        <w:rPr>
          <w:rFonts w:hint="cs"/>
          <w:rtl/>
        </w:rPr>
        <w:t xml:space="preserve"> غیر مستوی الخلقه است مثل اینکه قامتش 2 متر است اما طول دستش 50 سانت است.</w:t>
      </w:r>
    </w:p>
    <w:p w14:paraId="7E8ADDE1" w14:textId="39E45F97" w:rsidR="006508BF" w:rsidRDefault="006508BF" w:rsidP="002374B3">
      <w:pPr>
        <w:jc w:val="both"/>
        <w:rPr>
          <w:rtl/>
        </w:rPr>
      </w:pPr>
      <w:r>
        <w:rPr>
          <w:rFonts w:hint="cs"/>
          <w:rtl/>
        </w:rPr>
        <w:t>مقدس اردبیلی فرمودند: هر کس موظف است به اندازه ای رکوع کند که انگشتان دستش به زانوانش برسد، حالا اگر فردی مشکل دارد و باید خیلی خم بشود تا دستش به زانوانش برسد، حکم انحلالی است و هر کس مامور وظیفه خودش است و اگر برعکس هم بود مثل اینکه طول قامتش 150 سانت و دستانش 1 متر است، اینجا هم همین که دستش به زانو برسد، کافی است اگرچه خیلی کم خم بشود.</w:t>
      </w:r>
    </w:p>
    <w:p w14:paraId="0933FDB3" w14:textId="056CD026" w:rsidR="006508BF" w:rsidRDefault="006508BF" w:rsidP="002374B3">
      <w:pPr>
        <w:jc w:val="both"/>
        <w:rPr>
          <w:rtl/>
        </w:rPr>
      </w:pPr>
      <w:r>
        <w:rPr>
          <w:rFonts w:hint="cs"/>
          <w:rtl/>
        </w:rPr>
        <w:t>صاحب عروه با این نظر مخالف هستند و می فرمایند</w:t>
      </w:r>
      <w:r w:rsidR="002374B3">
        <w:rPr>
          <w:rFonts w:hint="cs"/>
          <w:rtl/>
        </w:rPr>
        <w:t>:</w:t>
      </w:r>
      <w:r>
        <w:rPr>
          <w:rFonts w:hint="cs"/>
          <w:rtl/>
        </w:rPr>
        <w:t xml:space="preserve"> باید غیر مستوی الخلقه به مستوی الخلقه مراجعه کند.</w:t>
      </w:r>
    </w:p>
    <w:p w14:paraId="64AE5F8B" w14:textId="3861E046" w:rsidR="006508BF" w:rsidRDefault="006508BF" w:rsidP="002374B3">
      <w:pPr>
        <w:jc w:val="both"/>
        <w:rPr>
          <w:rtl/>
        </w:rPr>
      </w:pPr>
      <w:r>
        <w:rPr>
          <w:rFonts w:hint="cs"/>
          <w:rtl/>
        </w:rPr>
        <w:t>مستوی الخلقه ها هم یکسان نیستند بلکه افراد نرمال و متعارف هم مراتب دارند. اینطور نیست که تناسب دستش با تناسب قامتش یکی باشد، مثلا سه نفر هستند که قامتشان 170 سانت است ولی طول دست یکی 50 و دیگری 48 و سومی 52 است این سه نفر نرمال هستند و عرف نمی گوید اینها غیر مستوی الخلقه هستند. صاحب عروه در مورد این سه نفر می گوید: هر کدام باید به وضعیت خودش نگاه کند؛ معنای این حرف این است که اگر فردی با طول دست 50 سانت ورزش بسیار کرد قامتش افزایش پیدا کرد، آیا میتوان گفت الان وضعیت او فرق می کند؟ یا مثلا فردی قامتش 170 است و کاری کرد که دستانش کوتاهتر شد باید بگوید وضعیت او متفاوت است.</w:t>
      </w:r>
    </w:p>
    <w:p w14:paraId="14CDA970" w14:textId="7CBD95B9" w:rsidR="009D04C0" w:rsidRDefault="006508BF" w:rsidP="002374B3">
      <w:pPr>
        <w:jc w:val="both"/>
        <w:rPr>
          <w:rtl/>
        </w:rPr>
      </w:pPr>
      <w:r>
        <w:rPr>
          <w:rFonts w:hint="cs"/>
          <w:rtl/>
        </w:rPr>
        <w:t xml:space="preserve">مثال دیگر: سه نفر هستند که اندازه صورت آنها یکی است اما </w:t>
      </w:r>
      <w:r w:rsidR="009D04C0">
        <w:rPr>
          <w:rFonts w:hint="cs"/>
          <w:rtl/>
        </w:rPr>
        <w:t>شبر آنها متفاوت است اما تفاوت به حدی نیست که از متعارف خارج بشوند یکی در اقل اندازه شبر متعارف و دیگری در اکثر اندازه از شبر متعارف است طبق نظر صاحب عروه باید گفته شود که هر کس به اندازه شبر خودش صورت را بشورد. کسی که شبرش کوچکتر است کمتر می شوید و کسی که شبرش بزرگتر است بیشتر می شوید و یا کسی که تمرین کرد و شبرش بزرگتر شد، باید بیشتر صورت را بشوید.</w:t>
      </w:r>
    </w:p>
    <w:p w14:paraId="0D81BBFD" w14:textId="6DD2CA53" w:rsidR="009D04C0" w:rsidRDefault="009D04C0" w:rsidP="002374B3">
      <w:pPr>
        <w:jc w:val="both"/>
        <w:rPr>
          <w:rtl/>
        </w:rPr>
      </w:pPr>
      <w:r>
        <w:rPr>
          <w:rFonts w:hint="cs"/>
          <w:rtl/>
        </w:rPr>
        <w:t xml:space="preserve">از طرف محقق خوئی و حکیم اشکال شده است که ظاهر صحیحه زراره که فرمود: </w:t>
      </w:r>
    </w:p>
    <w:p w14:paraId="4AA8C4DE" w14:textId="2E380BB8" w:rsidR="009D04C0" w:rsidRDefault="009D04C0" w:rsidP="002374B3">
      <w:pPr>
        <w:pStyle w:val="ListParagraph"/>
        <w:jc w:val="both"/>
        <w:rPr>
          <w:color w:val="008000"/>
          <w:rtl/>
        </w:rPr>
      </w:pPr>
      <w:r w:rsidRPr="009D04C0">
        <w:rPr>
          <w:color w:val="008000"/>
          <w:rtl/>
        </w:rPr>
        <w:t>«مَا دَارَتْ عَلَيْهِ الْوُسْطَى وَ الْإِبْهَامُ مِنْ قُصَاصِ شَعْرِ الرَّأْسِ إِلَى الذَّقَنِ</w:t>
      </w:r>
      <w:r>
        <w:rPr>
          <w:rFonts w:hint="cs"/>
          <w:color w:val="008000"/>
          <w:rtl/>
        </w:rPr>
        <w:t xml:space="preserve"> </w:t>
      </w:r>
      <w:r w:rsidRPr="009D04C0">
        <w:rPr>
          <w:color w:val="008000"/>
          <w:rtl/>
        </w:rPr>
        <w:t xml:space="preserve">وَ مَا جَرَتْ عَلَيْهِ الْإِصْبَعَانِ مُسْتَدِيراً فَهُوَ مِنَ الْوَجْهِ» </w:t>
      </w:r>
    </w:p>
    <w:p w14:paraId="1A402AA8" w14:textId="626E5F3B" w:rsidR="009D04C0" w:rsidRPr="009D04C0" w:rsidRDefault="009D04C0" w:rsidP="002374B3">
      <w:pPr>
        <w:jc w:val="both"/>
        <w:rPr>
          <w:rtl/>
        </w:rPr>
      </w:pPr>
      <w:r w:rsidRPr="009D04C0">
        <w:rPr>
          <w:rFonts w:hint="cs"/>
          <w:rtl/>
        </w:rPr>
        <w:t>بیان حد واقعی وجه است</w:t>
      </w:r>
      <w:r>
        <w:rPr>
          <w:rFonts w:hint="cs"/>
          <w:rtl/>
        </w:rPr>
        <w:t xml:space="preserve">؛ لذا کسی که شبرش کمتر از دیگری است اما متعارف است، عرفی نیست که گفته شود که کمتر می تواند بشوید. عرف می گوید ما دارت علیه الوسطی و الابهام معرف حد الوجه است، اینجا هم حد انحناء بیان می شود و لذا اینکه گفته شود در افراد متعارف بین افراد </w:t>
      </w:r>
      <w:r w:rsidR="002374B3">
        <w:rPr>
          <w:rFonts w:hint="cs"/>
          <w:rtl/>
        </w:rPr>
        <w:t>طویل الید و قصیر الید باید وضعیت خودش را ملاحظه کند، صحیح نیست و باید مستوی الخلقه ها هم باید به اقل حد نگاه کنند و همان مقدار را مراعات کنند؛ این اشکالی است که صاحب عروه وارد شده است و محقق سیستانی از کلام صاحب عروه دفاع کردند که در جلسه بعد دفاع ایشان مطرح می شود.</w:t>
      </w:r>
      <w:r>
        <w:rPr>
          <w:rFonts w:hint="cs"/>
          <w:rtl/>
        </w:rPr>
        <w:t xml:space="preserve">  </w:t>
      </w:r>
    </w:p>
    <w:p w14:paraId="4E9298F7" w14:textId="3F485697" w:rsidR="00AC761A" w:rsidRPr="00DB370A" w:rsidRDefault="001068B7" w:rsidP="002374B3">
      <w:pPr>
        <w:jc w:val="both"/>
        <w:rPr>
          <w:color w:val="000000"/>
        </w:rPr>
      </w:pPr>
      <w:r>
        <w:rPr>
          <w:rFonts w:hint="cs"/>
          <w:color w:val="008000"/>
          <w:rtl/>
        </w:rPr>
        <w:t xml:space="preserve"> </w:t>
      </w:r>
    </w:p>
    <w:sectPr w:rsidR="00AC761A" w:rsidRPr="00DB370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C47A" w14:textId="77777777" w:rsidR="00201937" w:rsidRDefault="00201937" w:rsidP="008B750B">
      <w:pPr>
        <w:spacing w:line="240" w:lineRule="auto"/>
      </w:pPr>
      <w:r>
        <w:separator/>
      </w:r>
    </w:p>
  </w:endnote>
  <w:endnote w:type="continuationSeparator" w:id="0">
    <w:p w14:paraId="63C4BD4D" w14:textId="77777777" w:rsidR="00201937" w:rsidRDefault="0020193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923B8" w:rsidRPr="009923B8">
            <w:rPr>
              <w:noProof/>
              <w:rtl/>
              <w:lang w:val="fa-IR"/>
            </w:rPr>
            <w:t>1</w:t>
          </w:r>
          <w:r>
            <w:rPr>
              <w:noProof/>
            </w:rPr>
            <w:fldChar w:fldCharType="end"/>
          </w:r>
        </w:p>
      </w:tc>
      <w:tc>
        <w:tcPr>
          <w:tcW w:w="4786" w:type="dxa"/>
          <w:tcBorders>
            <w:top w:val="nil"/>
            <w:left w:val="nil"/>
            <w:bottom w:val="nil"/>
            <w:right w:val="nil"/>
          </w:tcBorders>
          <w:vAlign w:val="center"/>
        </w:tcPr>
        <w:p w14:paraId="4E165565" w14:textId="77777777" w:rsidR="006D44C1" w:rsidRPr="006D44C1" w:rsidRDefault="00366404" w:rsidP="001B6799">
          <w:pPr>
            <w:pStyle w:val="Footer"/>
            <w:bidi w:val="0"/>
            <w:rPr>
              <w:color w:val="808080" w:themeColor="background1" w:themeShade="80"/>
              <w:rtl/>
            </w:rPr>
          </w:pPr>
          <w:bookmarkStart w:id="17" w:name="BokAdres"/>
          <w:bookmarkEnd w:id="17"/>
          <w:r>
            <w:rPr>
              <w:color w:val="808080" w:themeColor="background1" w:themeShade="80"/>
            </w:rPr>
            <w:t>F1ms4_14011130-098_rh1_mfeb.ir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9FC21" w14:textId="77777777" w:rsidR="00201937" w:rsidRDefault="00201937" w:rsidP="008B750B">
      <w:pPr>
        <w:spacing w:line="240" w:lineRule="auto"/>
      </w:pPr>
      <w:r>
        <w:separator/>
      </w:r>
    </w:p>
  </w:footnote>
  <w:footnote w:type="continuationSeparator" w:id="0">
    <w:p w14:paraId="6F5BE4F4" w14:textId="77777777" w:rsidR="00201937" w:rsidRDefault="00201937" w:rsidP="008B750B">
      <w:pPr>
        <w:spacing w:line="240" w:lineRule="auto"/>
      </w:pPr>
      <w:r>
        <w:continuationSeparator/>
      </w:r>
    </w:p>
  </w:footnote>
  <w:footnote w:id="1">
    <w:p w14:paraId="13FFBC8E" w14:textId="29C4CB0A" w:rsidR="00C733BF" w:rsidRDefault="00C733BF">
      <w:pPr>
        <w:pStyle w:val="FootnoteText"/>
        <w:rPr>
          <w:rtl/>
        </w:rPr>
      </w:pPr>
      <w:r>
        <w:rPr>
          <w:rStyle w:val="FootnoteReference"/>
        </w:rPr>
        <w:footnoteRef/>
      </w:r>
      <w:r>
        <w:rPr>
          <w:rtl/>
        </w:rPr>
        <w:t xml:space="preserve"> </w:t>
      </w:r>
      <w:r w:rsidR="00391F2C">
        <w:rPr>
          <w:rFonts w:hint="cs"/>
          <w:rtl/>
        </w:rPr>
        <w:t>بحر الجواهر، ص 186</w:t>
      </w:r>
    </w:p>
  </w:footnote>
  <w:footnote w:id="2">
    <w:p w14:paraId="41183B3A" w14:textId="5191615E" w:rsidR="00391F2C" w:rsidRDefault="00391F2C">
      <w:pPr>
        <w:pStyle w:val="FootnoteText"/>
      </w:pPr>
      <w:r>
        <w:rPr>
          <w:rStyle w:val="FootnoteReference"/>
        </w:rPr>
        <w:footnoteRef/>
      </w:r>
      <w:r>
        <w:rPr>
          <w:rtl/>
        </w:rPr>
        <w:t xml:space="preserve"> </w:t>
      </w:r>
      <w:r>
        <w:rPr>
          <w:rFonts w:hint="cs"/>
          <w:rtl/>
        </w:rPr>
        <w:t>الطراز، ج 2، ص 80</w:t>
      </w:r>
    </w:p>
  </w:footnote>
  <w:footnote w:id="3">
    <w:p w14:paraId="5D251C7D" w14:textId="5F7523EF" w:rsidR="00391F2C" w:rsidRDefault="00391F2C">
      <w:pPr>
        <w:pStyle w:val="FootnoteText"/>
      </w:pPr>
      <w:r>
        <w:rPr>
          <w:rStyle w:val="FootnoteReference"/>
        </w:rPr>
        <w:footnoteRef/>
      </w:r>
      <w:r>
        <w:rPr>
          <w:rtl/>
        </w:rPr>
        <w:t xml:space="preserve"> </w:t>
      </w:r>
      <w:r>
        <w:rPr>
          <w:rFonts w:hint="cs"/>
          <w:rtl/>
        </w:rPr>
        <w:t>کتاب الصلاه (للاراکی)، ج 2، ص 178</w:t>
      </w:r>
    </w:p>
  </w:footnote>
  <w:footnote w:id="4">
    <w:p w14:paraId="078DC3AB" w14:textId="5E404032" w:rsidR="00F07283" w:rsidRPr="00F07283" w:rsidRDefault="00F07283" w:rsidP="00F07283">
      <w:pPr>
        <w:pStyle w:val="FootnoteText"/>
      </w:pPr>
      <w:r w:rsidRPr="00F07283">
        <w:footnoteRef/>
      </w:r>
      <w:r w:rsidRPr="00F07283">
        <w:rPr>
          <w:rtl/>
        </w:rPr>
        <w:t xml:space="preserve"> </w:t>
      </w:r>
      <w:hyperlink r:id="rId1" w:history="1">
        <w:r w:rsidRPr="00F07283">
          <w:rPr>
            <w:rStyle w:val="Hyperlink"/>
            <w:rFonts w:hint="eastAsia"/>
            <w:rtl/>
          </w:rPr>
          <w:t>موسوعة</w:t>
        </w:r>
        <w:r w:rsidRPr="00F07283">
          <w:rPr>
            <w:rStyle w:val="Hyperlink"/>
            <w:rtl/>
          </w:rPr>
          <w:t xml:space="preserve"> الامام الخوئ</w:t>
        </w:r>
        <w:r w:rsidRPr="00F07283">
          <w:rPr>
            <w:rStyle w:val="Hyperlink"/>
            <w:rFonts w:hint="cs"/>
            <w:rtl/>
          </w:rPr>
          <w:t>ی</w:t>
        </w:r>
        <w:r w:rsidRPr="00F07283">
          <w:rPr>
            <w:rStyle w:val="Hyperlink"/>
            <w:rFonts w:hint="eastAsia"/>
            <w:rtl/>
          </w:rPr>
          <w:t>،</w:t>
        </w:r>
        <w:r w:rsidRPr="00F07283">
          <w:rPr>
            <w:rStyle w:val="Hyperlink"/>
            <w:rtl/>
          </w:rPr>
          <w:t xml:space="preserve"> الس</w:t>
        </w:r>
        <w:r w:rsidRPr="00F07283">
          <w:rPr>
            <w:rStyle w:val="Hyperlink"/>
            <w:rFonts w:hint="cs"/>
            <w:rtl/>
          </w:rPr>
          <w:t>ی</w:t>
        </w:r>
        <w:r w:rsidRPr="00F07283">
          <w:rPr>
            <w:rStyle w:val="Hyperlink"/>
            <w:rFonts w:hint="eastAsia"/>
            <w:rtl/>
          </w:rPr>
          <w:t>د</w:t>
        </w:r>
        <w:r w:rsidRPr="00F07283">
          <w:rPr>
            <w:rStyle w:val="Hyperlink"/>
            <w:rtl/>
          </w:rPr>
          <w:t xml:space="preserve"> أبوالقاسم الخوئ</w:t>
        </w:r>
        <w:r w:rsidRPr="00F07283">
          <w:rPr>
            <w:rStyle w:val="Hyperlink"/>
            <w:rFonts w:hint="cs"/>
            <w:rtl/>
          </w:rPr>
          <w:t>ی</w:t>
        </w:r>
        <w:r w:rsidRPr="00F07283">
          <w:rPr>
            <w:rStyle w:val="Hyperlink"/>
            <w:rFonts w:hint="eastAsia"/>
            <w:rtl/>
          </w:rPr>
          <w:t>،</w:t>
        </w:r>
        <w:r w:rsidRPr="00F07283">
          <w:rPr>
            <w:rStyle w:val="Hyperlink"/>
            <w:rtl/>
          </w:rPr>
          <w:t xml:space="preserve"> ج15، ص125.</w:t>
        </w:r>
      </w:hyperlink>
    </w:p>
  </w:footnote>
  <w:footnote w:id="5">
    <w:p w14:paraId="7B4D34A2" w14:textId="6882CA17" w:rsidR="001A0FBA" w:rsidRDefault="001A0FBA">
      <w:pPr>
        <w:pStyle w:val="FootnoteText"/>
      </w:pPr>
      <w:r>
        <w:rPr>
          <w:rStyle w:val="FootnoteReference"/>
        </w:rPr>
        <w:footnoteRef/>
      </w:r>
      <w:r>
        <w:rPr>
          <w:rtl/>
        </w:rPr>
        <w:t xml:space="preserve"> </w:t>
      </w:r>
      <w:r>
        <w:rPr>
          <w:rFonts w:hint="cs"/>
          <w:rtl/>
        </w:rPr>
        <w:t>الاستقصاء الاعتبار فی شرح الاستبصار، ج 5، ص 242</w:t>
      </w:r>
    </w:p>
  </w:footnote>
  <w:footnote w:id="6">
    <w:p w14:paraId="1B52024C" w14:textId="6A38853B" w:rsidR="001A0FBA" w:rsidRDefault="001A0FBA">
      <w:pPr>
        <w:pStyle w:val="FootnoteText"/>
      </w:pPr>
      <w:r>
        <w:rPr>
          <w:rStyle w:val="FootnoteReference"/>
        </w:rPr>
        <w:footnoteRef/>
      </w:r>
      <w:r>
        <w:rPr>
          <w:rtl/>
        </w:rPr>
        <w:t xml:space="preserve"> </w:t>
      </w:r>
      <w:r>
        <w:rPr>
          <w:rFonts w:hint="cs"/>
          <w:rtl/>
        </w:rPr>
        <w:t>کتاب العین، ج 2، ص 254</w:t>
      </w:r>
    </w:p>
  </w:footnote>
  <w:footnote w:id="7">
    <w:p w14:paraId="7BCAE7E8" w14:textId="22E9764A" w:rsidR="001A0FBA" w:rsidRDefault="001A0FBA">
      <w:pPr>
        <w:pStyle w:val="FootnoteText"/>
      </w:pPr>
      <w:r>
        <w:rPr>
          <w:rStyle w:val="FootnoteReference"/>
        </w:rPr>
        <w:footnoteRef/>
      </w:r>
      <w:r>
        <w:rPr>
          <w:rtl/>
        </w:rPr>
        <w:t xml:space="preserve"> </w:t>
      </w:r>
      <w:r>
        <w:rPr>
          <w:rFonts w:hint="cs"/>
          <w:rtl/>
        </w:rPr>
        <w:t>الصحاح، ج 6، ص 2170</w:t>
      </w:r>
    </w:p>
  </w:footnote>
  <w:footnote w:id="8">
    <w:p w14:paraId="298B5AE9" w14:textId="5FFE93A7" w:rsidR="00E3280D" w:rsidRDefault="00E3280D">
      <w:pPr>
        <w:pStyle w:val="FootnoteText"/>
      </w:pPr>
      <w:r>
        <w:rPr>
          <w:rStyle w:val="FootnoteReference"/>
        </w:rPr>
        <w:footnoteRef/>
      </w:r>
      <w:r>
        <w:rPr>
          <w:rtl/>
        </w:rPr>
        <w:t xml:space="preserve"> </w:t>
      </w:r>
      <w:r>
        <w:rPr>
          <w:rFonts w:hint="cs"/>
          <w:rtl/>
        </w:rPr>
        <w:t>لسان العرب، ح 13، ص 305</w:t>
      </w:r>
    </w:p>
  </w:footnote>
  <w:footnote w:id="9">
    <w:p w14:paraId="19E385DA" w14:textId="16198C6D" w:rsidR="00E3280D" w:rsidRDefault="00E3280D">
      <w:pPr>
        <w:pStyle w:val="FootnoteText"/>
      </w:pPr>
      <w:r>
        <w:rPr>
          <w:rStyle w:val="FootnoteReference"/>
        </w:rPr>
        <w:footnoteRef/>
      </w:r>
      <w:r>
        <w:rPr>
          <w:rtl/>
        </w:rPr>
        <w:t xml:space="preserve"> </w:t>
      </w:r>
      <w:r>
        <w:rPr>
          <w:rFonts w:hint="cs"/>
          <w:rtl/>
        </w:rPr>
        <w:t>الافصاح، ج 1، ص 98</w:t>
      </w:r>
    </w:p>
  </w:footnote>
  <w:footnote w:id="10">
    <w:p w14:paraId="2E460F7F" w14:textId="2F412E89" w:rsidR="00612571" w:rsidRPr="00F75C45" w:rsidRDefault="00612571" w:rsidP="00612571">
      <w:pPr>
        <w:pStyle w:val="FootnoteText"/>
      </w:pPr>
      <w:r w:rsidRPr="00F75C45">
        <w:footnoteRef/>
      </w:r>
      <w:r w:rsidRPr="00F75C45">
        <w:rPr>
          <w:rtl/>
        </w:rPr>
        <w:t xml:space="preserve"> </w:t>
      </w:r>
      <w:hyperlink r:id="rId2" w:history="1">
        <w:r w:rsidRPr="00F75C45">
          <w:rPr>
            <w:rStyle w:val="Hyperlink"/>
            <w:rtl/>
          </w:rPr>
          <w:t>الکاف</w:t>
        </w:r>
        <w:r w:rsidRPr="00F75C45">
          <w:rPr>
            <w:rStyle w:val="Hyperlink"/>
            <w:rFonts w:hint="cs"/>
            <w:rtl/>
          </w:rPr>
          <w:t>ی</w:t>
        </w:r>
        <w:r w:rsidRPr="00F75C45">
          <w:rPr>
            <w:rStyle w:val="Hyperlink"/>
            <w:rFonts w:hint="eastAsia"/>
            <w:rtl/>
          </w:rPr>
          <w:t>،</w:t>
        </w:r>
        <w:r w:rsidRPr="00F75C45">
          <w:rPr>
            <w:rStyle w:val="Hyperlink"/>
            <w:rtl/>
          </w:rPr>
          <w:t xml:space="preserve"> محمد بن </w:t>
        </w:r>
        <w:r w:rsidRPr="00F75C45">
          <w:rPr>
            <w:rStyle w:val="Hyperlink"/>
            <w:rFonts w:hint="cs"/>
            <w:rtl/>
          </w:rPr>
          <w:t>ی</w:t>
        </w:r>
        <w:r w:rsidRPr="00F75C45">
          <w:rPr>
            <w:rStyle w:val="Hyperlink"/>
            <w:rFonts w:hint="eastAsia"/>
            <w:rtl/>
          </w:rPr>
          <w:t>عقوب</w:t>
        </w:r>
        <w:r w:rsidRPr="00F75C45">
          <w:rPr>
            <w:rStyle w:val="Hyperlink"/>
            <w:rtl/>
          </w:rPr>
          <w:t xml:space="preserve"> کل</w:t>
        </w:r>
        <w:r w:rsidRPr="00F75C45">
          <w:rPr>
            <w:rStyle w:val="Hyperlink"/>
            <w:rFonts w:hint="cs"/>
            <w:rtl/>
          </w:rPr>
          <w:t>ی</w:t>
        </w:r>
        <w:r w:rsidRPr="00F75C45">
          <w:rPr>
            <w:rStyle w:val="Hyperlink"/>
            <w:rFonts w:hint="eastAsia"/>
            <w:rtl/>
          </w:rPr>
          <w:t>ن</w:t>
        </w:r>
        <w:r w:rsidRPr="00F75C45">
          <w:rPr>
            <w:rStyle w:val="Hyperlink"/>
            <w:rFonts w:hint="cs"/>
            <w:rtl/>
          </w:rPr>
          <w:t>ی</w:t>
        </w:r>
        <w:r w:rsidRPr="00F75C45">
          <w:rPr>
            <w:rStyle w:val="Hyperlink"/>
            <w:rFonts w:hint="eastAsia"/>
            <w:rtl/>
          </w:rPr>
          <w:t>،</w:t>
        </w:r>
        <w:r w:rsidRPr="00F75C45">
          <w:rPr>
            <w:rStyle w:val="Hyperlink"/>
            <w:rtl/>
          </w:rPr>
          <w:t xml:space="preserve"> ج3، ص335.</w:t>
        </w:r>
      </w:hyperlink>
    </w:p>
  </w:footnote>
  <w:footnote w:id="11">
    <w:p w14:paraId="630EC97F" w14:textId="6C154B98" w:rsidR="0058641A" w:rsidRDefault="0058641A">
      <w:pPr>
        <w:pStyle w:val="FootnoteText"/>
      </w:pPr>
      <w:r>
        <w:rPr>
          <w:rStyle w:val="FootnoteReference"/>
        </w:rPr>
        <w:footnoteRef/>
      </w:r>
      <w:r>
        <w:rPr>
          <w:rtl/>
        </w:rPr>
        <w:t xml:space="preserve"> </w:t>
      </w:r>
      <w:r>
        <w:rPr>
          <w:rFonts w:hint="cs"/>
          <w:rtl/>
        </w:rPr>
        <w:t>جامع المدارک، ج 1، ص 359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7309EF1B"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991564">
      <w:rPr>
        <w:rFonts w:hint="cs"/>
        <w:b/>
        <w:bCs/>
        <w:sz w:val="20"/>
        <w:szCs w:val="24"/>
        <w:rtl/>
      </w:rPr>
      <w:t>1</w:t>
    </w:r>
    <w:r w:rsidR="0060234E">
      <w:rPr>
        <w:rFonts w:hint="cs"/>
        <w:b/>
        <w:bCs/>
        <w:sz w:val="20"/>
        <w:szCs w:val="24"/>
        <w:rtl/>
      </w:rPr>
      <w:t>0</w:t>
    </w:r>
    <w:r w:rsidR="008E738F">
      <w:rPr>
        <w:rFonts w:hint="cs"/>
        <w:b/>
        <w:bCs/>
        <w:sz w:val="20"/>
        <w:szCs w:val="24"/>
        <w:rtl/>
      </w:rPr>
      <w:t>7</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3" w:name="BokTarikh"/>
    <w:bookmarkEnd w:id="13"/>
    <w:r w:rsidR="00450138">
      <w:rPr>
        <w:rFonts w:hint="cs"/>
        <w:sz w:val="24"/>
        <w:szCs w:val="24"/>
        <w:rtl/>
      </w:rPr>
      <w:t xml:space="preserve"> </w:t>
    </w:r>
    <w:r w:rsidR="00323CCC">
      <w:rPr>
        <w:rFonts w:hint="cs"/>
        <w:sz w:val="24"/>
        <w:szCs w:val="24"/>
        <w:rtl/>
      </w:rPr>
      <w:t>13</w:t>
    </w:r>
    <w:r w:rsidR="00366404">
      <w:rPr>
        <w:sz w:val="24"/>
        <w:szCs w:val="24"/>
        <w:rtl/>
      </w:rPr>
      <w:t xml:space="preserve"> /</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16" w:name="BokSabj2"/>
    <w:bookmarkEnd w:id="16"/>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2500AA"/>
    <w:multiLevelType w:val="hybridMultilevel"/>
    <w:tmpl w:val="4A98235A"/>
    <w:lvl w:ilvl="0" w:tplc="FA7294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F66102"/>
    <w:multiLevelType w:val="hybridMultilevel"/>
    <w:tmpl w:val="06847834"/>
    <w:lvl w:ilvl="0" w:tplc="78664A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5357F2"/>
    <w:multiLevelType w:val="hybridMultilevel"/>
    <w:tmpl w:val="3A3C90D4"/>
    <w:lvl w:ilvl="0" w:tplc="A79CBFD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A16705"/>
    <w:multiLevelType w:val="hybridMultilevel"/>
    <w:tmpl w:val="77687152"/>
    <w:lvl w:ilvl="0" w:tplc="5926A3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13694"/>
    <w:multiLevelType w:val="hybridMultilevel"/>
    <w:tmpl w:val="9C144CD2"/>
    <w:lvl w:ilvl="0" w:tplc="A91E77B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36BE7"/>
    <w:multiLevelType w:val="hybridMultilevel"/>
    <w:tmpl w:val="0F024420"/>
    <w:lvl w:ilvl="0" w:tplc="F0D48D0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D7DF2"/>
    <w:multiLevelType w:val="hybridMultilevel"/>
    <w:tmpl w:val="CAB87232"/>
    <w:lvl w:ilvl="0" w:tplc="F37EC0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D4EDB"/>
    <w:multiLevelType w:val="hybridMultilevel"/>
    <w:tmpl w:val="AE488342"/>
    <w:lvl w:ilvl="0" w:tplc="ED16E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156FB3"/>
    <w:multiLevelType w:val="hybridMultilevel"/>
    <w:tmpl w:val="CEBE09E0"/>
    <w:lvl w:ilvl="0" w:tplc="07CEA8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A09BB"/>
    <w:multiLevelType w:val="hybridMultilevel"/>
    <w:tmpl w:val="720CB1C0"/>
    <w:lvl w:ilvl="0" w:tplc="8F8C7C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32F7D"/>
    <w:multiLevelType w:val="hybridMultilevel"/>
    <w:tmpl w:val="D6FC2EC0"/>
    <w:lvl w:ilvl="0" w:tplc="125CD80C">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F3221"/>
    <w:multiLevelType w:val="hybridMultilevel"/>
    <w:tmpl w:val="E6E69172"/>
    <w:lvl w:ilvl="0" w:tplc="6C30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8E5679"/>
    <w:multiLevelType w:val="hybridMultilevel"/>
    <w:tmpl w:val="7CBEF1F4"/>
    <w:lvl w:ilvl="0" w:tplc="4E4C52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D5793"/>
    <w:multiLevelType w:val="hybridMultilevel"/>
    <w:tmpl w:val="6908F1C6"/>
    <w:lvl w:ilvl="0" w:tplc="16EEE87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8838E6"/>
    <w:multiLevelType w:val="hybridMultilevel"/>
    <w:tmpl w:val="3D24E4CC"/>
    <w:lvl w:ilvl="0" w:tplc="628625C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1D272C"/>
    <w:multiLevelType w:val="hybridMultilevel"/>
    <w:tmpl w:val="82EAE198"/>
    <w:lvl w:ilvl="0" w:tplc="D018D7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E376C3"/>
    <w:multiLevelType w:val="hybridMultilevel"/>
    <w:tmpl w:val="CCB0FDAC"/>
    <w:lvl w:ilvl="0" w:tplc="E7F6650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EB3ED5"/>
    <w:multiLevelType w:val="hybridMultilevel"/>
    <w:tmpl w:val="8850D30E"/>
    <w:lvl w:ilvl="0" w:tplc="D02013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6"/>
  </w:num>
  <w:num w:numId="13">
    <w:abstractNumId w:val="32"/>
  </w:num>
  <w:num w:numId="14">
    <w:abstractNumId w:val="21"/>
  </w:num>
  <w:num w:numId="15">
    <w:abstractNumId w:val="24"/>
  </w:num>
  <w:num w:numId="16">
    <w:abstractNumId w:val="15"/>
  </w:num>
  <w:num w:numId="17">
    <w:abstractNumId w:val="17"/>
  </w:num>
  <w:num w:numId="18">
    <w:abstractNumId w:val="25"/>
  </w:num>
  <w:num w:numId="19">
    <w:abstractNumId w:val="22"/>
  </w:num>
  <w:num w:numId="20">
    <w:abstractNumId w:val="11"/>
  </w:num>
  <w:num w:numId="21">
    <w:abstractNumId w:val="31"/>
  </w:num>
  <w:num w:numId="22">
    <w:abstractNumId w:val="12"/>
  </w:num>
  <w:num w:numId="23">
    <w:abstractNumId w:val="26"/>
  </w:num>
  <w:num w:numId="24">
    <w:abstractNumId w:val="18"/>
  </w:num>
  <w:num w:numId="25">
    <w:abstractNumId w:val="19"/>
  </w:num>
  <w:num w:numId="26">
    <w:abstractNumId w:val="20"/>
  </w:num>
  <w:num w:numId="27">
    <w:abstractNumId w:val="27"/>
  </w:num>
  <w:num w:numId="28">
    <w:abstractNumId w:val="14"/>
  </w:num>
  <w:num w:numId="29">
    <w:abstractNumId w:val="23"/>
  </w:num>
  <w:num w:numId="30">
    <w:abstractNumId w:val="28"/>
  </w:num>
  <w:num w:numId="31">
    <w:abstractNumId w:val="13"/>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0F3"/>
    <w:rsid w:val="00055496"/>
    <w:rsid w:val="0006388A"/>
    <w:rsid w:val="000706ED"/>
    <w:rsid w:val="00080A41"/>
    <w:rsid w:val="0008299B"/>
    <w:rsid w:val="000913AA"/>
    <w:rsid w:val="00094847"/>
    <w:rsid w:val="00096C63"/>
    <w:rsid w:val="000B5DB5"/>
    <w:rsid w:val="000C3947"/>
    <w:rsid w:val="000D2A37"/>
    <w:rsid w:val="000D30E9"/>
    <w:rsid w:val="000D47F7"/>
    <w:rsid w:val="000D6818"/>
    <w:rsid w:val="000E335E"/>
    <w:rsid w:val="000E4AC8"/>
    <w:rsid w:val="000F16CF"/>
    <w:rsid w:val="000F38E3"/>
    <w:rsid w:val="000F5BAC"/>
    <w:rsid w:val="00102585"/>
    <w:rsid w:val="00104129"/>
    <w:rsid w:val="001068B7"/>
    <w:rsid w:val="00114AB7"/>
    <w:rsid w:val="00116B2B"/>
    <w:rsid w:val="00124E3D"/>
    <w:rsid w:val="0012730A"/>
    <w:rsid w:val="00127E95"/>
    <w:rsid w:val="00130659"/>
    <w:rsid w:val="001347C7"/>
    <w:rsid w:val="001356B0"/>
    <w:rsid w:val="00151937"/>
    <w:rsid w:val="001526FE"/>
    <w:rsid w:val="00181844"/>
    <w:rsid w:val="001837E9"/>
    <w:rsid w:val="00187DFA"/>
    <w:rsid w:val="001A0FBA"/>
    <w:rsid w:val="001A1BC1"/>
    <w:rsid w:val="001A1EA5"/>
    <w:rsid w:val="001A2574"/>
    <w:rsid w:val="001A27D7"/>
    <w:rsid w:val="001A294E"/>
    <w:rsid w:val="001A4ED8"/>
    <w:rsid w:val="001B2488"/>
    <w:rsid w:val="001B6799"/>
    <w:rsid w:val="001C1362"/>
    <w:rsid w:val="001D2CDC"/>
    <w:rsid w:val="001D2E9A"/>
    <w:rsid w:val="001D597F"/>
    <w:rsid w:val="001D7FC1"/>
    <w:rsid w:val="001E3FD4"/>
    <w:rsid w:val="001E7AF6"/>
    <w:rsid w:val="00201937"/>
    <w:rsid w:val="0020241A"/>
    <w:rsid w:val="00203821"/>
    <w:rsid w:val="00211632"/>
    <w:rsid w:val="0021630D"/>
    <w:rsid w:val="00224772"/>
    <w:rsid w:val="00226F73"/>
    <w:rsid w:val="002374B3"/>
    <w:rsid w:val="0024121B"/>
    <w:rsid w:val="00246C7C"/>
    <w:rsid w:val="00247D2F"/>
    <w:rsid w:val="002534DB"/>
    <w:rsid w:val="00256560"/>
    <w:rsid w:val="0027605E"/>
    <w:rsid w:val="00281E00"/>
    <w:rsid w:val="00294A52"/>
    <w:rsid w:val="002955A6"/>
    <w:rsid w:val="002A6D40"/>
    <w:rsid w:val="002B575F"/>
    <w:rsid w:val="002B729B"/>
    <w:rsid w:val="002C23B5"/>
    <w:rsid w:val="002C53A2"/>
    <w:rsid w:val="002D0040"/>
    <w:rsid w:val="002D2FA8"/>
    <w:rsid w:val="002E220F"/>
    <w:rsid w:val="002F746E"/>
    <w:rsid w:val="00307311"/>
    <w:rsid w:val="0032100F"/>
    <w:rsid w:val="00323CCC"/>
    <w:rsid w:val="00324B1E"/>
    <w:rsid w:val="003308CE"/>
    <w:rsid w:val="0033402C"/>
    <w:rsid w:val="00340521"/>
    <w:rsid w:val="00342AAD"/>
    <w:rsid w:val="00345C73"/>
    <w:rsid w:val="00354A99"/>
    <w:rsid w:val="00360311"/>
    <w:rsid w:val="00361922"/>
    <w:rsid w:val="00366404"/>
    <w:rsid w:val="0037339B"/>
    <w:rsid w:val="00386C11"/>
    <w:rsid w:val="00391F2C"/>
    <w:rsid w:val="00396FC5"/>
    <w:rsid w:val="00397466"/>
    <w:rsid w:val="003A6148"/>
    <w:rsid w:val="003C33F6"/>
    <w:rsid w:val="003C3D2E"/>
    <w:rsid w:val="003C43A5"/>
    <w:rsid w:val="003C492D"/>
    <w:rsid w:val="003D6600"/>
    <w:rsid w:val="003E1C5C"/>
    <w:rsid w:val="003E3404"/>
    <w:rsid w:val="003E6650"/>
    <w:rsid w:val="003F45CF"/>
    <w:rsid w:val="003F5B46"/>
    <w:rsid w:val="00401363"/>
    <w:rsid w:val="00402E47"/>
    <w:rsid w:val="00406264"/>
    <w:rsid w:val="00425015"/>
    <w:rsid w:val="00430994"/>
    <w:rsid w:val="00441B6D"/>
    <w:rsid w:val="00450138"/>
    <w:rsid w:val="004556EF"/>
    <w:rsid w:val="00462B07"/>
    <w:rsid w:val="00465BD2"/>
    <w:rsid w:val="004715C8"/>
    <w:rsid w:val="00481C31"/>
    <w:rsid w:val="00482FC1"/>
    <w:rsid w:val="00483027"/>
    <w:rsid w:val="004871AA"/>
    <w:rsid w:val="004918D7"/>
    <w:rsid w:val="004926E1"/>
    <w:rsid w:val="004A2FEA"/>
    <w:rsid w:val="004B2C0A"/>
    <w:rsid w:val="004D2DD7"/>
    <w:rsid w:val="004D75C5"/>
    <w:rsid w:val="004E2186"/>
    <w:rsid w:val="004E66FB"/>
    <w:rsid w:val="004F13F6"/>
    <w:rsid w:val="004F470A"/>
    <w:rsid w:val="004F4C59"/>
    <w:rsid w:val="00500C8F"/>
    <w:rsid w:val="00501909"/>
    <w:rsid w:val="0050516A"/>
    <w:rsid w:val="00507BBB"/>
    <w:rsid w:val="005128DF"/>
    <w:rsid w:val="0051592A"/>
    <w:rsid w:val="005206FE"/>
    <w:rsid w:val="0052491A"/>
    <w:rsid w:val="005257ED"/>
    <w:rsid w:val="005306F8"/>
    <w:rsid w:val="00536715"/>
    <w:rsid w:val="0054023D"/>
    <w:rsid w:val="005426BF"/>
    <w:rsid w:val="0056213C"/>
    <w:rsid w:val="00574933"/>
    <w:rsid w:val="00580C24"/>
    <w:rsid w:val="0058641A"/>
    <w:rsid w:val="005968EF"/>
    <w:rsid w:val="00596C1E"/>
    <w:rsid w:val="005A2E26"/>
    <w:rsid w:val="005B7BCA"/>
    <w:rsid w:val="005C0DAE"/>
    <w:rsid w:val="005C188E"/>
    <w:rsid w:val="005C7F0F"/>
    <w:rsid w:val="005D2349"/>
    <w:rsid w:val="005E1B60"/>
    <w:rsid w:val="005E4FC3"/>
    <w:rsid w:val="005E5507"/>
    <w:rsid w:val="005E607B"/>
    <w:rsid w:val="005F0A8D"/>
    <w:rsid w:val="00601229"/>
    <w:rsid w:val="0060234E"/>
    <w:rsid w:val="00603B67"/>
    <w:rsid w:val="00605493"/>
    <w:rsid w:val="00612571"/>
    <w:rsid w:val="006162A2"/>
    <w:rsid w:val="00620589"/>
    <w:rsid w:val="006240DA"/>
    <w:rsid w:val="0063256E"/>
    <w:rsid w:val="00633F04"/>
    <w:rsid w:val="00635219"/>
    <w:rsid w:val="00635EC0"/>
    <w:rsid w:val="00640B58"/>
    <w:rsid w:val="006508BF"/>
    <w:rsid w:val="00651B02"/>
    <w:rsid w:val="00651B19"/>
    <w:rsid w:val="00660A29"/>
    <w:rsid w:val="006778D4"/>
    <w:rsid w:val="00680A17"/>
    <w:rsid w:val="00695519"/>
    <w:rsid w:val="006976BF"/>
    <w:rsid w:val="006A4134"/>
    <w:rsid w:val="006A5DDA"/>
    <w:rsid w:val="006A6701"/>
    <w:rsid w:val="006B21F4"/>
    <w:rsid w:val="006B3753"/>
    <w:rsid w:val="006B7AD6"/>
    <w:rsid w:val="006C4668"/>
    <w:rsid w:val="006C50FD"/>
    <w:rsid w:val="006D1DD4"/>
    <w:rsid w:val="006D4014"/>
    <w:rsid w:val="006D44C1"/>
    <w:rsid w:val="006D47CE"/>
    <w:rsid w:val="006E5651"/>
    <w:rsid w:val="006E5B85"/>
    <w:rsid w:val="006F026A"/>
    <w:rsid w:val="006F6745"/>
    <w:rsid w:val="0070265B"/>
    <w:rsid w:val="00704813"/>
    <w:rsid w:val="0072290D"/>
    <w:rsid w:val="00723D6D"/>
    <w:rsid w:val="00724537"/>
    <w:rsid w:val="00731724"/>
    <w:rsid w:val="0073474B"/>
    <w:rsid w:val="00735511"/>
    <w:rsid w:val="00737208"/>
    <w:rsid w:val="00744DE6"/>
    <w:rsid w:val="00762452"/>
    <w:rsid w:val="007639E0"/>
    <w:rsid w:val="00772B0F"/>
    <w:rsid w:val="00773B31"/>
    <w:rsid w:val="00775507"/>
    <w:rsid w:val="00775625"/>
    <w:rsid w:val="00783473"/>
    <w:rsid w:val="00785799"/>
    <w:rsid w:val="0078594B"/>
    <w:rsid w:val="0079269C"/>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73A3"/>
    <w:rsid w:val="00810028"/>
    <w:rsid w:val="00816367"/>
    <w:rsid w:val="00816A0B"/>
    <w:rsid w:val="00817386"/>
    <w:rsid w:val="00824B22"/>
    <w:rsid w:val="00830C53"/>
    <w:rsid w:val="00837FAA"/>
    <w:rsid w:val="00840569"/>
    <w:rsid w:val="00841F77"/>
    <w:rsid w:val="0085276D"/>
    <w:rsid w:val="00862C87"/>
    <w:rsid w:val="00863390"/>
    <w:rsid w:val="0086385C"/>
    <w:rsid w:val="00870B8B"/>
    <w:rsid w:val="00871916"/>
    <w:rsid w:val="008956DD"/>
    <w:rsid w:val="008977D2"/>
    <w:rsid w:val="008A510E"/>
    <w:rsid w:val="008A522A"/>
    <w:rsid w:val="008B0155"/>
    <w:rsid w:val="008B4464"/>
    <w:rsid w:val="008B750B"/>
    <w:rsid w:val="008C3162"/>
    <w:rsid w:val="008D1F14"/>
    <w:rsid w:val="008D25BF"/>
    <w:rsid w:val="008D2788"/>
    <w:rsid w:val="008E3924"/>
    <w:rsid w:val="008E738F"/>
    <w:rsid w:val="008F0A99"/>
    <w:rsid w:val="008F13F7"/>
    <w:rsid w:val="008F1480"/>
    <w:rsid w:val="008F5B4D"/>
    <w:rsid w:val="009013C5"/>
    <w:rsid w:val="00901DF1"/>
    <w:rsid w:val="00907425"/>
    <w:rsid w:val="00923C34"/>
    <w:rsid w:val="00924152"/>
    <w:rsid w:val="0092513D"/>
    <w:rsid w:val="00927A9F"/>
    <w:rsid w:val="009335CC"/>
    <w:rsid w:val="00935A55"/>
    <w:rsid w:val="00941CEB"/>
    <w:rsid w:val="0094720F"/>
    <w:rsid w:val="00953B28"/>
    <w:rsid w:val="00954322"/>
    <w:rsid w:val="00956EE8"/>
    <w:rsid w:val="00957CAA"/>
    <w:rsid w:val="0096778A"/>
    <w:rsid w:val="00977656"/>
    <w:rsid w:val="009846A7"/>
    <w:rsid w:val="0098794D"/>
    <w:rsid w:val="00991564"/>
    <w:rsid w:val="009923B8"/>
    <w:rsid w:val="0099497B"/>
    <w:rsid w:val="00995C38"/>
    <w:rsid w:val="00996BF3"/>
    <w:rsid w:val="009A3979"/>
    <w:rsid w:val="009A43BA"/>
    <w:rsid w:val="009B0D05"/>
    <w:rsid w:val="009B4CA6"/>
    <w:rsid w:val="009B79F8"/>
    <w:rsid w:val="009C66D5"/>
    <w:rsid w:val="009D04C0"/>
    <w:rsid w:val="009D13FD"/>
    <w:rsid w:val="009D266A"/>
    <w:rsid w:val="009F7E07"/>
    <w:rsid w:val="00A01522"/>
    <w:rsid w:val="00A10A11"/>
    <w:rsid w:val="00A13C6A"/>
    <w:rsid w:val="00A17B09"/>
    <w:rsid w:val="00A401F0"/>
    <w:rsid w:val="00A457C6"/>
    <w:rsid w:val="00A46AD0"/>
    <w:rsid w:val="00A47063"/>
    <w:rsid w:val="00A473A8"/>
    <w:rsid w:val="00A513F0"/>
    <w:rsid w:val="00A57BA1"/>
    <w:rsid w:val="00A61AC8"/>
    <w:rsid w:val="00A6316C"/>
    <w:rsid w:val="00A6366F"/>
    <w:rsid w:val="00A65D4C"/>
    <w:rsid w:val="00A70512"/>
    <w:rsid w:val="00AA1F60"/>
    <w:rsid w:val="00AA2265"/>
    <w:rsid w:val="00AA40D7"/>
    <w:rsid w:val="00AB5F7D"/>
    <w:rsid w:val="00AC0C50"/>
    <w:rsid w:val="00AC6FE2"/>
    <w:rsid w:val="00AC761A"/>
    <w:rsid w:val="00AF3925"/>
    <w:rsid w:val="00AF7039"/>
    <w:rsid w:val="00B0634E"/>
    <w:rsid w:val="00B1296B"/>
    <w:rsid w:val="00B209D0"/>
    <w:rsid w:val="00B2292F"/>
    <w:rsid w:val="00B43169"/>
    <w:rsid w:val="00B501A8"/>
    <w:rsid w:val="00B55AE4"/>
    <w:rsid w:val="00B70B46"/>
    <w:rsid w:val="00B739B0"/>
    <w:rsid w:val="00B7658E"/>
    <w:rsid w:val="00B814A3"/>
    <w:rsid w:val="00B96F38"/>
    <w:rsid w:val="00BB490D"/>
    <w:rsid w:val="00BC716B"/>
    <w:rsid w:val="00BD0E74"/>
    <w:rsid w:val="00BD5F8C"/>
    <w:rsid w:val="00BE29DD"/>
    <w:rsid w:val="00C066AF"/>
    <w:rsid w:val="00C10E06"/>
    <w:rsid w:val="00C145B8"/>
    <w:rsid w:val="00C2438F"/>
    <w:rsid w:val="00C31AF0"/>
    <w:rsid w:val="00C32A7E"/>
    <w:rsid w:val="00C34F28"/>
    <w:rsid w:val="00C35C46"/>
    <w:rsid w:val="00C368DF"/>
    <w:rsid w:val="00C41F26"/>
    <w:rsid w:val="00C442C5"/>
    <w:rsid w:val="00C55455"/>
    <w:rsid w:val="00C57B5C"/>
    <w:rsid w:val="00C57C7C"/>
    <w:rsid w:val="00C61049"/>
    <w:rsid w:val="00C63FFE"/>
    <w:rsid w:val="00C70B9E"/>
    <w:rsid w:val="00C733BF"/>
    <w:rsid w:val="00C76B98"/>
    <w:rsid w:val="00C91EB6"/>
    <w:rsid w:val="00C951A2"/>
    <w:rsid w:val="00CA10B0"/>
    <w:rsid w:val="00CA2F8E"/>
    <w:rsid w:val="00CA3EE2"/>
    <w:rsid w:val="00CA7FD5"/>
    <w:rsid w:val="00CB27E6"/>
    <w:rsid w:val="00CB3287"/>
    <w:rsid w:val="00CB33E2"/>
    <w:rsid w:val="00CB4E68"/>
    <w:rsid w:val="00CC2733"/>
    <w:rsid w:val="00CC6CE2"/>
    <w:rsid w:val="00CD0050"/>
    <w:rsid w:val="00CD64EE"/>
    <w:rsid w:val="00CE7481"/>
    <w:rsid w:val="00CF0A8F"/>
    <w:rsid w:val="00D02975"/>
    <w:rsid w:val="00D048CE"/>
    <w:rsid w:val="00D10998"/>
    <w:rsid w:val="00D128EB"/>
    <w:rsid w:val="00D15CBD"/>
    <w:rsid w:val="00D221CB"/>
    <w:rsid w:val="00D23391"/>
    <w:rsid w:val="00D31805"/>
    <w:rsid w:val="00D325D6"/>
    <w:rsid w:val="00D552B9"/>
    <w:rsid w:val="00D735B2"/>
    <w:rsid w:val="00D74021"/>
    <w:rsid w:val="00D76D01"/>
    <w:rsid w:val="00D77AAE"/>
    <w:rsid w:val="00D80752"/>
    <w:rsid w:val="00D86856"/>
    <w:rsid w:val="00D87B21"/>
    <w:rsid w:val="00D922A9"/>
    <w:rsid w:val="00D9394A"/>
    <w:rsid w:val="00D962E9"/>
    <w:rsid w:val="00DB0CBB"/>
    <w:rsid w:val="00DB370A"/>
    <w:rsid w:val="00DB67CC"/>
    <w:rsid w:val="00DC27BF"/>
    <w:rsid w:val="00DC3783"/>
    <w:rsid w:val="00DE1070"/>
    <w:rsid w:val="00DF2DDE"/>
    <w:rsid w:val="00E00219"/>
    <w:rsid w:val="00E0316B"/>
    <w:rsid w:val="00E16A91"/>
    <w:rsid w:val="00E20683"/>
    <w:rsid w:val="00E25E10"/>
    <w:rsid w:val="00E30E9E"/>
    <w:rsid w:val="00E3280D"/>
    <w:rsid w:val="00E46937"/>
    <w:rsid w:val="00E50B41"/>
    <w:rsid w:val="00E5114F"/>
    <w:rsid w:val="00E5219B"/>
    <w:rsid w:val="00E52D07"/>
    <w:rsid w:val="00E5518B"/>
    <w:rsid w:val="00E609FE"/>
    <w:rsid w:val="00E630BE"/>
    <w:rsid w:val="00E74AC5"/>
    <w:rsid w:val="00E75920"/>
    <w:rsid w:val="00E80D96"/>
    <w:rsid w:val="00E871FA"/>
    <w:rsid w:val="00E936A4"/>
    <w:rsid w:val="00E954BB"/>
    <w:rsid w:val="00EA45E7"/>
    <w:rsid w:val="00EB6928"/>
    <w:rsid w:val="00EB78E3"/>
    <w:rsid w:val="00EB7BE3"/>
    <w:rsid w:val="00EC1C4B"/>
    <w:rsid w:val="00EC735A"/>
    <w:rsid w:val="00ED5F38"/>
    <w:rsid w:val="00ED6F10"/>
    <w:rsid w:val="00EE0027"/>
    <w:rsid w:val="00EE379D"/>
    <w:rsid w:val="00EF27FE"/>
    <w:rsid w:val="00EF2C08"/>
    <w:rsid w:val="00F07283"/>
    <w:rsid w:val="00F07FB6"/>
    <w:rsid w:val="00F10534"/>
    <w:rsid w:val="00F149D0"/>
    <w:rsid w:val="00F16B53"/>
    <w:rsid w:val="00F25ECD"/>
    <w:rsid w:val="00F318BE"/>
    <w:rsid w:val="00F32AB4"/>
    <w:rsid w:val="00F33297"/>
    <w:rsid w:val="00F343FB"/>
    <w:rsid w:val="00F359FE"/>
    <w:rsid w:val="00F35B14"/>
    <w:rsid w:val="00F42159"/>
    <w:rsid w:val="00F4256E"/>
    <w:rsid w:val="00F42EE1"/>
    <w:rsid w:val="00F47DFA"/>
    <w:rsid w:val="00F52C8F"/>
    <w:rsid w:val="00F60F1F"/>
    <w:rsid w:val="00F64141"/>
    <w:rsid w:val="00F67508"/>
    <w:rsid w:val="00F71FC9"/>
    <w:rsid w:val="00F73B48"/>
    <w:rsid w:val="00F74F51"/>
    <w:rsid w:val="00F74FD7"/>
    <w:rsid w:val="00F75C45"/>
    <w:rsid w:val="00F842AD"/>
    <w:rsid w:val="00F914EB"/>
    <w:rsid w:val="00F91B85"/>
    <w:rsid w:val="00F938E7"/>
    <w:rsid w:val="00F96D51"/>
    <w:rsid w:val="00FA3B17"/>
    <w:rsid w:val="00FA5E8D"/>
    <w:rsid w:val="00FA5F3D"/>
    <w:rsid w:val="00FB399E"/>
    <w:rsid w:val="00FB7F50"/>
    <w:rsid w:val="00FC0998"/>
    <w:rsid w:val="00FC2A85"/>
    <w:rsid w:val="00FC40AF"/>
    <w:rsid w:val="00FC73B9"/>
    <w:rsid w:val="00FD0A16"/>
    <w:rsid w:val="00FD0B23"/>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335/&#1601;&#1589;&#1601;" TargetMode="External"/><Relationship Id="rId1" Type="http://schemas.openxmlformats.org/officeDocument/2006/relationships/hyperlink" Target="http://lib.eshia.ir/71334/15/125/&#1575;&#1604;&#1605;&#1587;&#1578;&#1583;&#174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75D0-584E-407F-96E3-657A9AD4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2076</Words>
  <Characters>11836</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13885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2023-03-05T05:22:00Z</cp:lastPrinted>
  <dcterms:created xsi:type="dcterms:W3CDTF">2023-03-05T05:22:00Z</dcterms:created>
  <dcterms:modified xsi:type="dcterms:W3CDTF">2023-03-13T12:14:00Z</dcterms:modified>
  <cp:contentStatus>ویرایش 2.5</cp:contentStatus>
  <cp:version>2.7</cp:version>
</cp:coreProperties>
</file>