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B Badr"/>
          <w:color w:val="auto"/>
          <w:szCs w:val="28"/>
          <w:rtl/>
        </w:rPr>
        <w:id w:val="1899084386"/>
        <w:docPartObj>
          <w:docPartGallery w:val="Table of Contents"/>
          <w:docPartUnique/>
        </w:docPartObj>
      </w:sdtPr>
      <w:sdtEndPr>
        <w:rPr>
          <w:b/>
          <w:bCs/>
          <w:noProof/>
        </w:rPr>
      </w:sdtEndPr>
      <w:sdtContent>
        <w:p w14:paraId="534013BE" w14:textId="5302549F" w:rsidR="00692F72" w:rsidRDefault="00692F72" w:rsidP="00692F72">
          <w:pPr>
            <w:pStyle w:val="11"/>
          </w:pPr>
        </w:p>
        <w:p w14:paraId="3BF257F2" w14:textId="2E74318E" w:rsidR="000C0B1F" w:rsidRDefault="00190B04" w:rsidP="00795D8B">
          <w:pPr>
            <w:rPr>
              <w:rtl/>
            </w:rPr>
          </w:pPr>
        </w:p>
        <w:bookmarkStart w:id="0" w:name="_GoBack" w:displacedByCustomXml="next"/>
        <w:bookmarkEnd w:id="0" w:displacedByCustomXml="next"/>
      </w:sdtContent>
    </w:sdt>
    <w:p w14:paraId="5253A5FB" w14:textId="77777777" w:rsidR="00692F72" w:rsidRDefault="00692F72" w:rsidP="00692F72">
      <w:pPr>
        <w:rPr>
          <w:rtl/>
        </w:rPr>
      </w:pPr>
      <w:bookmarkStart w:id="1" w:name="_Toc81983266"/>
      <w:r>
        <w:rPr>
          <w:rtl/>
        </w:rPr>
        <w:t xml:space="preserve">  شماره جلسه: 001</w:t>
      </w:r>
    </w:p>
    <w:p w14:paraId="4D349010" w14:textId="77777777" w:rsidR="00692F72" w:rsidRDefault="00692F72" w:rsidP="00692F72">
      <w:pPr>
        <w:rPr>
          <w:rtl/>
        </w:rPr>
      </w:pPr>
      <w:r>
        <w:rPr>
          <w:rtl/>
        </w:rPr>
        <w:t>درس خارج فقه استاد شه</w:t>
      </w:r>
      <w:r>
        <w:rPr>
          <w:rFonts w:hint="cs"/>
          <w:rtl/>
        </w:rPr>
        <w:t>ی</w:t>
      </w:r>
      <w:r>
        <w:rPr>
          <w:rFonts w:hint="eastAsia"/>
          <w:rtl/>
        </w:rPr>
        <w:t>د</w:t>
      </w:r>
      <w:r>
        <w:rPr>
          <w:rFonts w:hint="cs"/>
          <w:rtl/>
        </w:rPr>
        <w:t>ی</w:t>
      </w:r>
      <w:r>
        <w:rPr>
          <w:rtl/>
        </w:rPr>
        <w:t xml:space="preserve"> پور(دام ظله)</w:t>
      </w:r>
    </w:p>
    <w:p w14:paraId="44CA39DA" w14:textId="0E7F5847" w:rsidR="00692F72" w:rsidRDefault="00692F72" w:rsidP="00692F72">
      <w:pPr>
        <w:rPr>
          <w:rtl/>
        </w:rPr>
      </w:pPr>
      <w:r>
        <w:rPr>
          <w:rtl/>
        </w:rPr>
        <w:t>تار</w:t>
      </w:r>
      <w:r>
        <w:rPr>
          <w:rFonts w:hint="cs"/>
          <w:rtl/>
        </w:rPr>
        <w:t>ی</w:t>
      </w:r>
      <w:r>
        <w:rPr>
          <w:rFonts w:hint="eastAsia"/>
          <w:rtl/>
        </w:rPr>
        <w:t>خ</w:t>
      </w:r>
      <w:r>
        <w:rPr>
          <w:rtl/>
        </w:rPr>
        <w:t>: 16 /6 /1400</w:t>
      </w:r>
    </w:p>
    <w:p w14:paraId="75E8ED53" w14:textId="77777777" w:rsidR="00692F72" w:rsidRDefault="00692F72" w:rsidP="00692F72">
      <w:pPr>
        <w:rPr>
          <w:rtl/>
        </w:rPr>
      </w:pPr>
      <w:r>
        <w:rPr>
          <w:rFonts w:hint="eastAsia"/>
          <w:rtl/>
        </w:rPr>
        <w:t>موضوع</w:t>
      </w:r>
      <w:r>
        <w:rPr>
          <w:rtl/>
        </w:rPr>
        <w:t xml:space="preserve"> عام: الق</w:t>
      </w:r>
      <w:r>
        <w:rPr>
          <w:rFonts w:hint="cs"/>
          <w:rtl/>
        </w:rPr>
        <w:t>ی</w:t>
      </w:r>
      <w:r>
        <w:rPr>
          <w:rFonts w:hint="eastAsia"/>
          <w:rtl/>
        </w:rPr>
        <w:t>ام</w:t>
      </w:r>
      <w:r>
        <w:rPr>
          <w:rtl/>
        </w:rPr>
        <w:t xml:space="preserve"> </w:t>
      </w:r>
    </w:p>
    <w:p w14:paraId="1AA6C0D7" w14:textId="77777777" w:rsidR="00190B04" w:rsidRDefault="00692F72" w:rsidP="00190B04">
      <w:pPr>
        <w:rPr>
          <w:rtl/>
        </w:rPr>
      </w:pPr>
      <w:r>
        <w:rPr>
          <w:rtl/>
        </w:rPr>
        <w:t>موضوع خاص: ز</w:t>
      </w:r>
      <w:r>
        <w:rPr>
          <w:rFonts w:hint="cs"/>
          <w:rtl/>
        </w:rPr>
        <w:t>ی</w:t>
      </w:r>
      <w:r>
        <w:rPr>
          <w:rFonts w:hint="eastAsia"/>
          <w:rtl/>
        </w:rPr>
        <w:t>اده</w:t>
      </w:r>
      <w:r>
        <w:rPr>
          <w:rtl/>
        </w:rPr>
        <w:t xml:space="preserve"> سهو</w:t>
      </w:r>
      <w:r>
        <w:rPr>
          <w:rFonts w:hint="cs"/>
          <w:rtl/>
        </w:rPr>
        <w:t>ی</w:t>
      </w:r>
      <w:r>
        <w:rPr>
          <w:rtl/>
        </w:rPr>
        <w:t xml:space="preserve"> ق</w:t>
      </w:r>
      <w:r>
        <w:rPr>
          <w:rFonts w:hint="cs"/>
          <w:rtl/>
        </w:rPr>
        <w:t>ی</w:t>
      </w:r>
      <w:r>
        <w:rPr>
          <w:rFonts w:hint="eastAsia"/>
          <w:rtl/>
        </w:rPr>
        <w:t>ام</w:t>
      </w:r>
    </w:p>
    <w:p w14:paraId="51125CC4" w14:textId="6D738B44" w:rsidR="00190B04" w:rsidRDefault="00190B04" w:rsidP="00190B04">
      <w:pPr>
        <w:rPr>
          <w:rtl/>
        </w:rPr>
      </w:pPr>
      <w:r>
        <w:rPr>
          <w:rtl/>
        </w:rPr>
        <w:t>مقرر: س</w:t>
      </w:r>
      <w:r>
        <w:rPr>
          <w:rFonts w:hint="cs"/>
          <w:rtl/>
        </w:rPr>
        <w:t>ی</w:t>
      </w:r>
      <w:r>
        <w:rPr>
          <w:rFonts w:hint="eastAsia"/>
          <w:rtl/>
        </w:rPr>
        <w:t>د</w:t>
      </w:r>
      <w:r>
        <w:rPr>
          <w:rtl/>
        </w:rPr>
        <w:t xml:space="preserve"> رضا حسن</w:t>
      </w:r>
      <w:r>
        <w:rPr>
          <w:rFonts w:hint="cs"/>
          <w:rtl/>
        </w:rPr>
        <w:t>ی</w:t>
      </w:r>
    </w:p>
    <w:p w14:paraId="39314EBF" w14:textId="32ABF4A6" w:rsidR="00692F72" w:rsidRDefault="00692F72" w:rsidP="00692F72">
      <w:pPr>
        <w:rPr>
          <w:rtl/>
        </w:rPr>
      </w:pPr>
    </w:p>
    <w:p w14:paraId="6B6CF056" w14:textId="45612C6E" w:rsidR="006A0C55" w:rsidRDefault="006A0C55" w:rsidP="006A0C55">
      <w:pPr>
        <w:pStyle w:val="1"/>
        <w:rPr>
          <w:rtl/>
        </w:rPr>
      </w:pPr>
      <w:r>
        <w:rPr>
          <w:rFonts w:hint="cs"/>
          <w:rtl/>
        </w:rPr>
        <w:t>مسئله زیاده سهوی قیام</w:t>
      </w:r>
      <w:bookmarkEnd w:id="1"/>
    </w:p>
    <w:p w14:paraId="17967F1A" w14:textId="0B663787" w:rsidR="008119BA" w:rsidRPr="008119BA" w:rsidRDefault="008119BA" w:rsidP="007A51AD">
      <w:pPr>
        <w:jc w:val="both"/>
        <w:rPr>
          <w:sz w:val="28"/>
          <w:rtl/>
        </w:rPr>
      </w:pPr>
      <w:r w:rsidRPr="008119BA">
        <w:rPr>
          <w:rFonts w:hint="cs"/>
          <w:sz w:val="28"/>
          <w:rtl/>
        </w:rPr>
        <w:t xml:space="preserve">مسئله ششم از فروعات بحث قیام چنین است: </w:t>
      </w:r>
    </w:p>
    <w:p w14:paraId="4094C788" w14:textId="536A02C3" w:rsidR="00177064" w:rsidRPr="006A0C55" w:rsidRDefault="008119BA" w:rsidP="007A51AD">
      <w:pPr>
        <w:pStyle w:val="af4"/>
        <w:ind w:left="783"/>
        <w:jc w:val="both"/>
        <w:rPr>
          <w:rStyle w:val="af8"/>
          <w:rtl/>
        </w:rPr>
      </w:pPr>
      <w:r w:rsidRPr="006A0C55">
        <w:rPr>
          <w:rStyle w:val="af8"/>
          <w:rFonts w:hint="cs"/>
          <w:rtl/>
        </w:rPr>
        <w:t>«</w:t>
      </w:r>
      <w:r w:rsidRPr="006A0C55">
        <w:rPr>
          <w:rStyle w:val="af8"/>
          <w:rtl/>
        </w:rPr>
        <w:t>إذا زاد القيام كما لو قام في محل القعود سهوا لا تبطل صلاته و كذا إذا زاد القيام حال القراءة سهوا و أما زيادة القيام الركني فغير متصورة من دون زيادة ركن آخرفإن القيام حال تكبيرة الإحرام لا يزاد إلا بزيادتها و كذا القيام المتصل بالركوع لا يزاد إلا بزيادته</w:t>
      </w:r>
      <w:r w:rsidRPr="006A0C55">
        <w:rPr>
          <w:rStyle w:val="af8"/>
          <w:rFonts w:hint="cs"/>
          <w:rtl/>
        </w:rPr>
        <w:t>»</w:t>
      </w:r>
      <w:r w:rsidRPr="006A0C55">
        <w:rPr>
          <w:rStyle w:val="af8"/>
          <w:rtl/>
        </w:rPr>
        <w:footnoteReference w:id="1"/>
      </w:r>
    </w:p>
    <w:p w14:paraId="24F8D659" w14:textId="59F69E66" w:rsidR="008119BA" w:rsidRDefault="00D7529F" w:rsidP="007A51AD">
      <w:pPr>
        <w:jc w:val="both"/>
        <w:rPr>
          <w:sz w:val="28"/>
          <w:rtl/>
        </w:rPr>
      </w:pPr>
      <w:r>
        <w:rPr>
          <w:rFonts w:hint="cs"/>
          <w:sz w:val="28"/>
          <w:rtl/>
        </w:rPr>
        <w:t xml:space="preserve">محقق یزدی برای زیاده سهویه ی قیام سه مثال مطرح کرده اند: </w:t>
      </w:r>
    </w:p>
    <w:p w14:paraId="65278AB1" w14:textId="3C36278C" w:rsidR="00D7529F" w:rsidRDefault="00D7529F" w:rsidP="007A51AD">
      <w:pPr>
        <w:pStyle w:val="af4"/>
        <w:numPr>
          <w:ilvl w:val="0"/>
          <w:numId w:val="21"/>
        </w:numPr>
        <w:jc w:val="both"/>
        <w:rPr>
          <w:sz w:val="28"/>
        </w:rPr>
      </w:pPr>
      <w:r>
        <w:rPr>
          <w:rFonts w:hint="cs"/>
          <w:sz w:val="28"/>
          <w:rtl/>
        </w:rPr>
        <w:t xml:space="preserve">مثال اول در قیامی است که واجب نیست، به عنوان مثال جایی که جلوس واجب است سهوا قیام کند. </w:t>
      </w:r>
    </w:p>
    <w:p w14:paraId="0497EFD1" w14:textId="57F0E375" w:rsidR="00D7529F" w:rsidRDefault="00D7529F" w:rsidP="007A51AD">
      <w:pPr>
        <w:pStyle w:val="af4"/>
        <w:numPr>
          <w:ilvl w:val="0"/>
          <w:numId w:val="21"/>
        </w:numPr>
        <w:jc w:val="both"/>
        <w:rPr>
          <w:sz w:val="28"/>
        </w:rPr>
      </w:pPr>
      <w:r>
        <w:rPr>
          <w:rFonts w:hint="cs"/>
          <w:sz w:val="28"/>
          <w:rtl/>
        </w:rPr>
        <w:t xml:space="preserve">مثال دوم زیاده در قیام واجبی است که رکن نیست. مثل زیاده ی قیام در حال قرائت؛ مانند اینکه حمد و سوره بخواند و با تکرار سهوی حمد و سوره، قیام در حال قرائت نیز تکرار شود. </w:t>
      </w:r>
    </w:p>
    <w:p w14:paraId="4F52F36B" w14:textId="01FD5EED" w:rsidR="00D7529F" w:rsidRDefault="00D7529F" w:rsidP="007A51AD">
      <w:pPr>
        <w:pStyle w:val="af4"/>
        <w:numPr>
          <w:ilvl w:val="0"/>
          <w:numId w:val="21"/>
        </w:numPr>
        <w:jc w:val="both"/>
        <w:rPr>
          <w:sz w:val="28"/>
        </w:rPr>
      </w:pPr>
      <w:r>
        <w:rPr>
          <w:rFonts w:hint="cs"/>
          <w:sz w:val="28"/>
          <w:rtl/>
        </w:rPr>
        <w:t xml:space="preserve">مثال سوم زیاده قیام واجب رکنی است. مانند اینکه قیام در حال تکبیرۀ الإحرام زیاد شود به وسیله ی تکرار تکبیرۀ الإحرام، یا اینکه قیام متصل به رکوع به وسیله ی زیاده ی رکوع، تکرار می شود. </w:t>
      </w:r>
    </w:p>
    <w:p w14:paraId="702F4D29" w14:textId="53F9CBE1" w:rsidR="006A0C55" w:rsidRPr="006A0C55" w:rsidRDefault="006A0C55" w:rsidP="006A0C55">
      <w:pPr>
        <w:pStyle w:val="20"/>
      </w:pPr>
      <w:bookmarkStart w:id="2" w:name="_Toc81983267"/>
      <w:r>
        <w:rPr>
          <w:rFonts w:hint="cs"/>
          <w:rtl/>
        </w:rPr>
        <w:t>بررسی مثال اول: زیاده سهوی قیام در موضع جلوس</w:t>
      </w:r>
      <w:bookmarkEnd w:id="2"/>
      <w:r>
        <w:rPr>
          <w:rFonts w:hint="cs"/>
          <w:rtl/>
        </w:rPr>
        <w:t xml:space="preserve"> </w:t>
      </w:r>
    </w:p>
    <w:p w14:paraId="78A34764" w14:textId="77777777" w:rsidR="006A0C55" w:rsidRDefault="00D7529F" w:rsidP="007A51AD">
      <w:pPr>
        <w:jc w:val="both"/>
        <w:rPr>
          <w:sz w:val="28"/>
          <w:rtl/>
        </w:rPr>
      </w:pPr>
      <w:r>
        <w:rPr>
          <w:rFonts w:hint="cs"/>
          <w:sz w:val="28"/>
          <w:rtl/>
        </w:rPr>
        <w:t xml:space="preserve">راجع به مثال اول اتفاق وجود دارد که زیاده سهوی قیام در جایی که جلوس واجب است، مبطل نماز نیست. </w:t>
      </w:r>
    </w:p>
    <w:p w14:paraId="5B7A0E7B" w14:textId="52912C0F" w:rsidR="006A0C55" w:rsidRDefault="006A0C55" w:rsidP="006A0C55">
      <w:pPr>
        <w:pStyle w:val="30"/>
        <w:rPr>
          <w:rtl/>
        </w:rPr>
      </w:pPr>
      <w:bookmarkStart w:id="3" w:name="_Toc81983268"/>
      <w:r>
        <w:rPr>
          <w:rFonts w:hint="cs"/>
          <w:rtl/>
        </w:rPr>
        <w:lastRenderedPageBreak/>
        <w:t>دلائل عدم بطلان نماز</w:t>
      </w:r>
      <w:bookmarkEnd w:id="3"/>
      <w:r>
        <w:rPr>
          <w:rFonts w:hint="cs"/>
          <w:rtl/>
        </w:rPr>
        <w:t xml:space="preserve"> </w:t>
      </w:r>
    </w:p>
    <w:p w14:paraId="706FFF4B" w14:textId="51B5E359" w:rsidR="00D7529F" w:rsidRDefault="00D7529F" w:rsidP="007A51AD">
      <w:pPr>
        <w:jc w:val="both"/>
        <w:rPr>
          <w:sz w:val="28"/>
          <w:rtl/>
        </w:rPr>
      </w:pPr>
      <w:r>
        <w:rPr>
          <w:rFonts w:hint="cs"/>
          <w:sz w:val="28"/>
          <w:rtl/>
        </w:rPr>
        <w:t xml:space="preserve">سه وجه در عدم مبطلیت آن ذکر شده است: </w:t>
      </w:r>
    </w:p>
    <w:p w14:paraId="49DFB3C2" w14:textId="6E8FCC04" w:rsidR="006A0C55" w:rsidRDefault="006A0C55" w:rsidP="006A0C55">
      <w:pPr>
        <w:pStyle w:val="40"/>
        <w:rPr>
          <w:rtl/>
        </w:rPr>
      </w:pPr>
      <w:r>
        <w:rPr>
          <w:rFonts w:hint="cs"/>
          <w:rtl/>
        </w:rPr>
        <w:t>وجه اول: اعتبار قصد جزئیت در زیاده</w:t>
      </w:r>
    </w:p>
    <w:p w14:paraId="032362C5" w14:textId="4D5847C1" w:rsidR="00D7529F" w:rsidRPr="006A0C55" w:rsidRDefault="00D7529F" w:rsidP="006A0C55">
      <w:pPr>
        <w:jc w:val="both"/>
        <w:rPr>
          <w:sz w:val="28"/>
        </w:rPr>
      </w:pPr>
      <w:r w:rsidRPr="006A0C55">
        <w:rPr>
          <w:rFonts w:hint="cs"/>
          <w:sz w:val="28"/>
          <w:rtl/>
        </w:rPr>
        <w:t>وجه اول را محقق خویی مطرح کرده و فرموده است: از آنجایی که شخص در این فرض قصد جزئیت ندارد</w:t>
      </w:r>
      <w:r w:rsidR="006A0C55">
        <w:rPr>
          <w:rFonts w:hint="cs"/>
          <w:sz w:val="28"/>
          <w:rtl/>
        </w:rPr>
        <w:t xml:space="preserve"> پس زیاده نیز محقق نمی شود؛ چرا که نماز یک</w:t>
      </w:r>
      <w:r w:rsidR="007A51AD" w:rsidRPr="006A0C55">
        <w:rPr>
          <w:rFonts w:hint="cs"/>
          <w:sz w:val="28"/>
          <w:rtl/>
        </w:rPr>
        <w:t xml:space="preserve"> مرکب اعتباری است </w:t>
      </w:r>
      <w:r w:rsidR="006A0C55">
        <w:rPr>
          <w:rFonts w:hint="cs"/>
          <w:sz w:val="28"/>
          <w:rtl/>
        </w:rPr>
        <w:t xml:space="preserve">و قوام تحقق زیاده در آن، قصد جزئیت است؛ از این رو </w:t>
      </w:r>
      <w:r w:rsidR="007A51AD" w:rsidRPr="006A0C55">
        <w:rPr>
          <w:rFonts w:hint="cs"/>
          <w:sz w:val="28"/>
          <w:rtl/>
        </w:rPr>
        <w:t xml:space="preserve">زیاده سهوی در این فرض مبطل نیست؛ حتی ایشان فرموده اگر عمدا نیز قیام را به جا بیاورد به دلیل اینکه قصد جزئیت ندارد، مبطل نماز نیست. </w:t>
      </w:r>
    </w:p>
    <w:p w14:paraId="59C831C1" w14:textId="77777777" w:rsidR="006A0C55" w:rsidRDefault="007A51AD" w:rsidP="006A0C55">
      <w:pPr>
        <w:jc w:val="both"/>
        <w:rPr>
          <w:sz w:val="28"/>
          <w:rtl/>
        </w:rPr>
      </w:pPr>
      <w:r w:rsidRPr="006A0C55">
        <w:rPr>
          <w:rFonts w:hint="cs"/>
          <w:b/>
          <w:bCs/>
          <w:sz w:val="28"/>
          <w:rtl/>
        </w:rPr>
        <w:t>این فرمایش محقق خویی تمام نیست</w:t>
      </w:r>
      <w:r>
        <w:rPr>
          <w:rFonts w:hint="cs"/>
          <w:sz w:val="28"/>
          <w:rtl/>
        </w:rPr>
        <w:t xml:space="preserve">؛ </w:t>
      </w:r>
      <w:r w:rsidR="006A0C55">
        <w:rPr>
          <w:rFonts w:hint="cs"/>
          <w:sz w:val="28"/>
          <w:rtl/>
        </w:rPr>
        <w:t xml:space="preserve">زیرا: </w:t>
      </w:r>
    </w:p>
    <w:p w14:paraId="7763D6FF" w14:textId="77777777" w:rsidR="006A0C55" w:rsidRDefault="006A0C55" w:rsidP="006A0C55">
      <w:pPr>
        <w:jc w:val="both"/>
        <w:rPr>
          <w:sz w:val="28"/>
          <w:rtl/>
        </w:rPr>
      </w:pPr>
      <w:r w:rsidRPr="006A0C55">
        <w:rPr>
          <w:rFonts w:hint="cs"/>
          <w:b/>
          <w:bCs/>
          <w:sz w:val="28"/>
          <w:rtl/>
        </w:rPr>
        <w:t>اولا:</w:t>
      </w:r>
      <w:r>
        <w:rPr>
          <w:rFonts w:hint="cs"/>
          <w:sz w:val="28"/>
          <w:rtl/>
        </w:rPr>
        <w:t xml:space="preserve"> </w:t>
      </w:r>
      <w:r w:rsidR="007A51AD">
        <w:rPr>
          <w:rFonts w:hint="cs"/>
          <w:sz w:val="28"/>
          <w:rtl/>
        </w:rPr>
        <w:t>گاهی افرادی که سهوا قیام می کنند، قصد جزئیت می کنند. مثل اینکه</w:t>
      </w:r>
      <w:r>
        <w:rPr>
          <w:rFonts w:hint="cs"/>
          <w:sz w:val="28"/>
          <w:rtl/>
        </w:rPr>
        <w:t xml:space="preserve"> شخص</w:t>
      </w:r>
      <w:r w:rsidR="007A51AD">
        <w:rPr>
          <w:rFonts w:hint="cs"/>
          <w:sz w:val="28"/>
          <w:rtl/>
        </w:rPr>
        <w:t xml:space="preserve"> گمان می کند رکعت ثانیه است قیام می کند و بعد متوجه می شود و می نشیند.</w:t>
      </w:r>
      <w:r>
        <w:rPr>
          <w:rFonts w:hint="cs"/>
          <w:sz w:val="28"/>
          <w:rtl/>
        </w:rPr>
        <w:t xml:space="preserve"> در این فرض</w:t>
      </w:r>
      <w:r w:rsidR="007A51AD">
        <w:rPr>
          <w:rFonts w:hint="cs"/>
          <w:sz w:val="28"/>
          <w:rtl/>
        </w:rPr>
        <w:t xml:space="preserve"> او به قصد قیام صلاتی بلند می شود، بنابراین اینطور نیست که زیاده در صلاۀ به دلیل عدم قصد جزئیت صدق نکند، چرا که گاهی قصد جزئیت حاصل است. </w:t>
      </w:r>
    </w:p>
    <w:p w14:paraId="0F7CF776" w14:textId="49C9E7B9" w:rsidR="00EB488D" w:rsidRDefault="006A0C55" w:rsidP="006A0C55">
      <w:pPr>
        <w:jc w:val="both"/>
        <w:rPr>
          <w:sz w:val="28"/>
          <w:rtl/>
        </w:rPr>
      </w:pPr>
      <w:r w:rsidRPr="006A0C55">
        <w:rPr>
          <w:rFonts w:hint="cs"/>
          <w:b/>
          <w:bCs/>
          <w:sz w:val="28"/>
          <w:rtl/>
        </w:rPr>
        <w:t>ثانیا:</w:t>
      </w:r>
      <w:r>
        <w:rPr>
          <w:rFonts w:hint="cs"/>
          <w:sz w:val="28"/>
          <w:rtl/>
        </w:rPr>
        <w:t xml:space="preserve"> </w:t>
      </w:r>
      <w:r w:rsidR="007A51AD">
        <w:rPr>
          <w:rFonts w:hint="cs"/>
          <w:sz w:val="28"/>
          <w:rtl/>
        </w:rPr>
        <w:t xml:space="preserve">بنابر مبنای برخی مانند محقق سیستانی که قصد جزئیت را در صدق زیاده در نماز معتبر نمی دانند، همین که انسان یک فعل مسانخی مانند رکوع یا سجود را در نماز اضافه کند نماز باطل است. </w:t>
      </w:r>
      <w:r w:rsidR="00EB488D">
        <w:rPr>
          <w:rFonts w:hint="cs"/>
          <w:sz w:val="28"/>
          <w:rtl/>
        </w:rPr>
        <w:t xml:space="preserve">از این رو این شبهه پیش می آید که در نظر آیت الله سیستانی وقتی دلیل </w:t>
      </w:r>
      <w:r w:rsidRPr="006A0C55">
        <w:rPr>
          <w:rFonts w:hint="cs"/>
          <w:i/>
          <w:iCs/>
          <w:sz w:val="28"/>
          <w:rtl/>
        </w:rPr>
        <w:t>«</w:t>
      </w:r>
      <w:r w:rsidR="00EB488D" w:rsidRPr="006A0C55">
        <w:rPr>
          <w:rFonts w:hint="cs"/>
          <w:i/>
          <w:iCs/>
          <w:sz w:val="28"/>
          <w:rtl/>
        </w:rPr>
        <w:t>السنۀ لاتنقض الفریضۀ</w:t>
      </w:r>
      <w:r>
        <w:rPr>
          <w:rFonts w:hint="cs"/>
          <w:sz w:val="28"/>
          <w:rtl/>
        </w:rPr>
        <w:t>»</w:t>
      </w:r>
      <w:r>
        <w:rPr>
          <w:rStyle w:val="ab"/>
          <w:sz w:val="28"/>
          <w:rtl/>
        </w:rPr>
        <w:footnoteReference w:id="2"/>
      </w:r>
      <w:r w:rsidR="00EB488D">
        <w:rPr>
          <w:rFonts w:hint="cs"/>
          <w:sz w:val="28"/>
          <w:rtl/>
        </w:rPr>
        <w:t xml:space="preserve"> حکم می کند که قیام سهوی مبطل نیست، اگر عمدا این کار را انجام دهد مبطل نماز را انجام داده است. به عنوان مثال اگر بین السجدتین شخص ببیند که کتابش از روی طاقچه می افتد، بلند می شود کتاب را برمی دارد و سپس می نشیند، طبق نظر ایشان مبطل نماز است. برخلاف محقق خویی که به دلیل معتبر دانستن قصد جزئیت، قیام عمدی را مبطل نمی دانستند. این شبهه به مسلک ما نیز متوجه است</w:t>
      </w:r>
      <w:r>
        <w:rPr>
          <w:rFonts w:hint="cs"/>
          <w:sz w:val="28"/>
          <w:rtl/>
        </w:rPr>
        <w:t>؛</w:t>
      </w:r>
      <w:r w:rsidR="00EB488D">
        <w:rPr>
          <w:rFonts w:hint="cs"/>
          <w:sz w:val="28"/>
          <w:rtl/>
        </w:rPr>
        <w:t xml:space="preserve"> زیرا ما از روایت قاسم بن عروۀ که می فرمود: </w:t>
      </w:r>
      <w:r>
        <w:rPr>
          <w:rFonts w:hint="cs"/>
          <w:sz w:val="28"/>
          <w:rtl/>
        </w:rPr>
        <w:t>«</w:t>
      </w:r>
      <w:r w:rsidRPr="006A0C55">
        <w:rPr>
          <w:sz w:val="28"/>
          <w:rtl/>
        </w:rPr>
        <w:t xml:space="preserve"> لَا تَقْرَأْ فِي الْمَكْتُوبَةِ بِشَيْ‏ءٍ مِنَ الْعَزَائِمِ فَإِنَّ السُّجُو</w:t>
      </w:r>
      <w:r>
        <w:rPr>
          <w:sz w:val="28"/>
          <w:rtl/>
        </w:rPr>
        <w:t>دَ زِيَادَةٌ فِي الْمَكْتُوبَةِ</w:t>
      </w:r>
      <w:r>
        <w:rPr>
          <w:rFonts w:hint="cs"/>
          <w:sz w:val="28"/>
          <w:rtl/>
        </w:rPr>
        <w:t>»</w:t>
      </w:r>
      <w:r>
        <w:rPr>
          <w:rStyle w:val="ab"/>
          <w:sz w:val="28"/>
          <w:rtl/>
        </w:rPr>
        <w:footnoteReference w:id="3"/>
      </w:r>
      <w:r>
        <w:rPr>
          <w:rFonts w:hint="cs"/>
          <w:sz w:val="28"/>
          <w:rtl/>
        </w:rPr>
        <w:t xml:space="preserve"> </w:t>
      </w:r>
      <w:r w:rsidR="00EB488D">
        <w:rPr>
          <w:rFonts w:hint="cs"/>
          <w:sz w:val="28"/>
          <w:rtl/>
        </w:rPr>
        <w:t xml:space="preserve">مانند محقق داماد چنین استظهار کردیم که به دلیل اینکه امام علیه السلام زیاده را بر سجود تلاوت در نماز تطبیق کرده است، عرف می فهمد که آن زیاده منهیه در نماز، معنای اعم از زیاده است که قوام آن به قصد جزئیت نیست. لذا استظهار ما این بود که زیاده دارای دو معنا است: یک معنای مضیق که قوام آن به قصد جزئیت است و یک معنای موسع که اضافه کردن فعل مسانخ را ولو بدون قصد جزئیت باشد شامل می شد. بعید نیست از این روایت استظهار شود که نهی از زیاده در نماز تعلق به معنای أعم آن گرفته است؛ چرا که حضرت تعلیل کرد که چون سجود زیاده در نماز می شود، نباید آیه سجده را در نماز تلاوت کرد، با اینکه در این نوع سجود قصد جزئیت نیز نهفته نبود. </w:t>
      </w:r>
    </w:p>
    <w:p w14:paraId="37FB0394" w14:textId="5E860BC1" w:rsidR="00EB488D" w:rsidRDefault="00EB488D" w:rsidP="00CA2A9F">
      <w:pPr>
        <w:jc w:val="both"/>
        <w:rPr>
          <w:sz w:val="28"/>
          <w:rtl/>
        </w:rPr>
      </w:pPr>
      <w:r>
        <w:rPr>
          <w:rFonts w:hint="cs"/>
          <w:sz w:val="28"/>
          <w:rtl/>
        </w:rPr>
        <w:lastRenderedPageBreak/>
        <w:t xml:space="preserve">محقق خویی در مورد این روایت فرموده اند که فرد تعبدی از سجود است و فرد حقیقی نیست، از این رو در خصوص سجود است و با فحوای عرفی به رکوع تعدی می شود، ولی این کلام خلاف ظاهر است، زیرا ظاهر روایت این است که امام علیه السلام یک امر وجدانی را مطرح می کنند، نه اینکه صرفا یک امر تعبدی محض را مطرح کرده باشند. </w:t>
      </w:r>
      <w:r>
        <w:rPr>
          <w:sz w:val="28"/>
          <w:rtl/>
        </w:rPr>
        <w:br/>
      </w:r>
      <w:r>
        <w:rPr>
          <w:rFonts w:hint="cs"/>
          <w:sz w:val="28"/>
          <w:rtl/>
        </w:rPr>
        <w:t xml:space="preserve">به نظر ما جوابی که از این شبهه می توان داد این است که قیام در نماز جزء نیست بلکه شرط است؛ از این رو در مورد آن، لحاظ استقلالی نمی شود. بلی، اگر به قصد جزئیت آورده شود، زیاده تشریعیه است و مصداق زیاده است، اما اگر قصد جزئیت نشود و صرف اینکه فعل مسانخ در نماز آورده شود، نمی توان گفت که عرف آن را زیاده در نماز می داند. رکوع و سجود جزء مستقل هستند و از روایت قاسم بن عروۀ نیز بیش از اینکه در اجزای مستقله نماز مانند رکوع و سجود، شارع فرموده است که بدون قصد جزئیت هم زیاده صدق می کند، نمی توان به موارد دیگر مانند قیام که جزء مستقل نیستند و شرط هستند، تعدی کرد. </w:t>
      </w:r>
    </w:p>
    <w:p w14:paraId="577DC1CE" w14:textId="2BCDEAFF" w:rsidR="00CA2A9F" w:rsidRDefault="00CA2A9F" w:rsidP="00CA2A9F">
      <w:pPr>
        <w:pStyle w:val="40"/>
        <w:rPr>
          <w:rtl/>
        </w:rPr>
      </w:pPr>
      <w:r>
        <w:rPr>
          <w:rFonts w:hint="cs"/>
          <w:rtl/>
        </w:rPr>
        <w:t xml:space="preserve">کلام محقق سیستانی در مورد وجوب قیام </w:t>
      </w:r>
    </w:p>
    <w:p w14:paraId="0F5557D2" w14:textId="11842343" w:rsidR="00CF451A" w:rsidRDefault="00EE54EA" w:rsidP="00CA2A9F">
      <w:pPr>
        <w:jc w:val="both"/>
        <w:rPr>
          <w:sz w:val="28"/>
          <w:rtl/>
        </w:rPr>
      </w:pPr>
      <w:r>
        <w:rPr>
          <w:rFonts w:hint="cs"/>
          <w:sz w:val="28"/>
          <w:rtl/>
        </w:rPr>
        <w:t xml:space="preserve">مطلبی که باقی می ماند این است که محقق سیستانی در مورد قیام از روایات چنین استظهار کرده اند که جزء مستقل است. </w:t>
      </w:r>
      <w:r w:rsidR="00CA2A9F">
        <w:rPr>
          <w:rFonts w:hint="cs"/>
          <w:sz w:val="28"/>
          <w:rtl/>
        </w:rPr>
        <w:t xml:space="preserve">در نظر ایشان قیام </w:t>
      </w:r>
      <w:r>
        <w:rPr>
          <w:rFonts w:hint="cs"/>
          <w:sz w:val="28"/>
          <w:rtl/>
        </w:rPr>
        <w:t>از ابتدای شروع در نماز تا رکوع قیام واجب است و ظاهر این است که در تسبیحات</w:t>
      </w:r>
      <w:r w:rsidR="00CA2A9F">
        <w:rPr>
          <w:rFonts w:hint="cs"/>
          <w:sz w:val="28"/>
          <w:rtl/>
        </w:rPr>
        <w:t xml:space="preserve"> اربعه نیز همین فرمایش را دارند و</w:t>
      </w:r>
      <w:r>
        <w:rPr>
          <w:rFonts w:hint="cs"/>
          <w:sz w:val="28"/>
          <w:rtl/>
        </w:rPr>
        <w:t xml:space="preserve"> از هنگام نهوض به رکعت ثالثۀ تا رکوع قیام را واجب ممتد و مستقل می دانند. نتیجه چنین می شود که از نظر ایشان این قیام که یک جزء مستقل است اصلا قابل زیاده نیست. اگر شما از اول تکبیر تا رکوع قیام کردید یک واجب مستقلی را انجام داده اید و قابل زیاده نیست. لکن استظهار ما این است که قیام شرط است و بیش از این نمی توان از ادله قیام استفاده کرد. </w:t>
      </w:r>
      <w:r w:rsidR="00CF451A">
        <w:rPr>
          <w:rFonts w:hint="cs"/>
          <w:sz w:val="28"/>
          <w:rtl/>
        </w:rPr>
        <w:t xml:space="preserve">دلیل </w:t>
      </w:r>
      <w:r w:rsidR="00CA2A9F">
        <w:rPr>
          <w:rFonts w:hint="cs"/>
          <w:sz w:val="28"/>
          <w:rtl/>
        </w:rPr>
        <w:t>اینکه این نکته را از کلام ایشان بیان کردیم</w:t>
      </w:r>
      <w:r w:rsidR="00CF451A">
        <w:rPr>
          <w:rFonts w:hint="cs"/>
          <w:sz w:val="28"/>
          <w:rtl/>
        </w:rPr>
        <w:t xml:space="preserve"> این است که</w:t>
      </w:r>
      <w:r w:rsidR="00CA2A9F">
        <w:rPr>
          <w:rFonts w:hint="cs"/>
          <w:sz w:val="28"/>
          <w:rtl/>
        </w:rPr>
        <w:t xml:space="preserve"> </w:t>
      </w:r>
      <w:r w:rsidR="00CF451A">
        <w:rPr>
          <w:rFonts w:hint="cs"/>
          <w:sz w:val="28"/>
          <w:rtl/>
        </w:rPr>
        <w:t>اولا</w:t>
      </w:r>
      <w:r w:rsidR="00CA2A9F">
        <w:rPr>
          <w:rFonts w:hint="cs"/>
          <w:sz w:val="28"/>
          <w:rtl/>
        </w:rPr>
        <w:t xml:space="preserve"> دانسته شود</w:t>
      </w:r>
      <w:r w:rsidR="00CF451A">
        <w:rPr>
          <w:rFonts w:hint="cs"/>
          <w:sz w:val="28"/>
          <w:rtl/>
        </w:rPr>
        <w:t xml:space="preserve"> مطلبی که ما عرض کردیم که زیاده در اجزای مستقله صدق می کند با بیان ما سازگار است ولی با بیان محقق سیستانی که قیام را جزء مستقل</w:t>
      </w:r>
      <w:r w:rsidR="00CA2A9F">
        <w:rPr>
          <w:rFonts w:hint="cs"/>
          <w:sz w:val="28"/>
          <w:rtl/>
        </w:rPr>
        <w:t xml:space="preserve"> ممتد</w:t>
      </w:r>
      <w:r w:rsidR="00CF451A">
        <w:rPr>
          <w:rFonts w:hint="cs"/>
          <w:sz w:val="28"/>
          <w:rtl/>
        </w:rPr>
        <w:t xml:space="preserve"> می دانند سازگار نیست. نکته ی دوم اینکه ممکن است محقق سیستانی در جلوس نیز همین فرمایش را داشته باشند که ظاهر ادله این است که وقتی سر از سجده اولی برداشتید بنشینید تا سجده ثانیۀ، یعنی جلوس ممتد بین دو سجده نیز واجب است و همینطور اگر از سجده دوم سر برداشتید، جلوس تا هنگام تشهد واجب است. اگر این مطلب را ایشان بفرمایند که بعید هم نیست بفرمایند، قیام عمدی بین دو سجده ولو به خاطر برداشتن کتاب از طاقچه، مبطل نماز خواهد بود. وقتی ایشان در قیام اینطور استظهار می کنند در جلوس نیز بعید نیست همین استظهار را داشته باشند، از این رو قیام عمدی را که محقق خویی مبطل نماز نمی دانستند، طبق این بیان مبطل خواهد بود، نه به دلیل زیاده بودن، بلکه به دلیل اینکه خلل به جلوس واجب وارد شده است. </w:t>
      </w:r>
    </w:p>
    <w:p w14:paraId="0DEB7C7E" w14:textId="77777777" w:rsidR="00A3004C" w:rsidRDefault="00CF451A" w:rsidP="00CA2A9F">
      <w:pPr>
        <w:jc w:val="both"/>
        <w:rPr>
          <w:sz w:val="28"/>
          <w:rtl/>
        </w:rPr>
      </w:pPr>
      <w:r>
        <w:rPr>
          <w:rFonts w:hint="cs"/>
          <w:sz w:val="28"/>
          <w:rtl/>
        </w:rPr>
        <w:t xml:space="preserve">لکن ما این استظهار محقق سیستانی را عرفی نمی دانیم و قیام را جزء مستقل واجب نمی دانیم. </w:t>
      </w:r>
      <w:r w:rsidR="00A3004C">
        <w:rPr>
          <w:rFonts w:hint="cs"/>
          <w:sz w:val="28"/>
          <w:rtl/>
        </w:rPr>
        <w:t xml:space="preserve"> </w:t>
      </w:r>
    </w:p>
    <w:p w14:paraId="4564B8EF" w14:textId="54A4F99A" w:rsidR="00A3004C" w:rsidRDefault="00A3004C" w:rsidP="00CA2A9F">
      <w:pPr>
        <w:jc w:val="both"/>
        <w:rPr>
          <w:sz w:val="28"/>
          <w:rtl/>
        </w:rPr>
      </w:pPr>
      <w:r w:rsidRPr="00CA2A9F">
        <w:rPr>
          <w:rFonts w:hint="cs"/>
          <w:b/>
          <w:bCs/>
          <w:sz w:val="28"/>
          <w:rtl/>
        </w:rPr>
        <w:lastRenderedPageBreak/>
        <w:t>سوال:</w:t>
      </w:r>
      <w:r>
        <w:rPr>
          <w:rFonts w:hint="cs"/>
          <w:sz w:val="28"/>
          <w:rtl/>
        </w:rPr>
        <w:t xml:space="preserve"> در مورد قیام روایت «قم منتصبا» وجود دارد و احتمال دارد قول محقق سیستانی مبنی بر وجوب مستقل دانستن قیام، به دلیل وجود این روایت باشد، در حالی که در مورد جلوس چنین روایتی وجود ندارد. </w:t>
      </w:r>
    </w:p>
    <w:p w14:paraId="63B237D2" w14:textId="34ACA068" w:rsidR="00A3004C" w:rsidRDefault="00A3004C" w:rsidP="00CA2A9F">
      <w:pPr>
        <w:jc w:val="both"/>
        <w:rPr>
          <w:sz w:val="28"/>
          <w:rtl/>
        </w:rPr>
      </w:pPr>
      <w:r w:rsidRPr="00CA2A9F">
        <w:rPr>
          <w:rFonts w:hint="cs"/>
          <w:b/>
          <w:bCs/>
          <w:sz w:val="28"/>
          <w:rtl/>
        </w:rPr>
        <w:t>جواب:</w:t>
      </w:r>
      <w:r>
        <w:rPr>
          <w:rFonts w:hint="cs"/>
          <w:sz w:val="28"/>
          <w:rtl/>
        </w:rPr>
        <w:t xml:space="preserve"> محقق سیستانی همانطور که به اطلاق این روایت استناد کرده اند، می توانند به اطلاق ادله جلوس استناد کنند. ایشان به اطلاق روایاتی همچون «قم منتصبا»</w:t>
      </w:r>
      <w:r w:rsidR="00CA2A9F">
        <w:rPr>
          <w:rStyle w:val="ab"/>
          <w:sz w:val="28"/>
          <w:rtl/>
        </w:rPr>
        <w:footnoteReference w:id="4"/>
      </w:r>
      <w:r>
        <w:rPr>
          <w:rFonts w:hint="cs"/>
          <w:sz w:val="28"/>
          <w:rtl/>
        </w:rPr>
        <w:t xml:space="preserve"> و «الصحیح یصلی قائما»</w:t>
      </w:r>
      <w:r w:rsidR="00CA2A9F">
        <w:rPr>
          <w:rStyle w:val="ab"/>
          <w:sz w:val="28"/>
          <w:rtl/>
        </w:rPr>
        <w:footnoteReference w:id="5"/>
      </w:r>
      <w:r>
        <w:rPr>
          <w:rFonts w:hint="cs"/>
          <w:sz w:val="28"/>
          <w:rtl/>
        </w:rPr>
        <w:t xml:space="preserve"> تمسک کرده اند و قیام را جزء مستقل دانسته اند. تفاوتی بین جلوس و قیام وجود ندارد؛ زیرا در جلوس نیز ایشان</w:t>
      </w:r>
      <w:r w:rsidR="0023515C">
        <w:rPr>
          <w:rFonts w:hint="cs"/>
          <w:sz w:val="28"/>
          <w:rtl/>
        </w:rPr>
        <w:t xml:space="preserve"> از </w:t>
      </w:r>
      <w:r w:rsidR="00CA2A9F">
        <w:rPr>
          <w:rFonts w:hint="cs"/>
          <w:sz w:val="28"/>
          <w:rtl/>
        </w:rPr>
        <w:t xml:space="preserve">روایات بیانگر جلوس بین السجدتین </w:t>
      </w:r>
      <w:r>
        <w:rPr>
          <w:rFonts w:hint="cs"/>
          <w:sz w:val="28"/>
          <w:rtl/>
        </w:rPr>
        <w:t>می توانند</w:t>
      </w:r>
      <w:r w:rsidR="0023515C">
        <w:rPr>
          <w:rFonts w:hint="cs"/>
          <w:sz w:val="28"/>
          <w:rtl/>
        </w:rPr>
        <w:t xml:space="preserve"> همین برداشت را</w:t>
      </w:r>
      <w:r>
        <w:rPr>
          <w:rFonts w:hint="cs"/>
          <w:sz w:val="28"/>
          <w:rtl/>
        </w:rPr>
        <w:t xml:space="preserve"> مطرح کنند. </w:t>
      </w:r>
      <w:r w:rsidR="0023515C">
        <w:rPr>
          <w:rFonts w:hint="cs"/>
          <w:sz w:val="28"/>
          <w:rtl/>
        </w:rPr>
        <w:t xml:space="preserve">البته ما ظهور روایات قیام را نیز بر وجوب مستقل نمی دانیم، لکن کلام ایشان چنین است که گفته شد. </w:t>
      </w:r>
    </w:p>
    <w:p w14:paraId="66677BB1" w14:textId="60993E70" w:rsidR="00EE54EA" w:rsidRDefault="00062DB5" w:rsidP="00EB488D">
      <w:pPr>
        <w:ind w:left="360"/>
        <w:jc w:val="both"/>
        <w:rPr>
          <w:sz w:val="28"/>
          <w:rtl/>
        </w:rPr>
      </w:pPr>
      <w:r w:rsidRPr="00BF2D7B">
        <w:rPr>
          <w:rFonts w:hint="cs"/>
          <w:b/>
          <w:bCs/>
          <w:sz w:val="28"/>
          <w:rtl/>
        </w:rPr>
        <w:t>سوال:</w:t>
      </w:r>
      <w:r>
        <w:rPr>
          <w:rFonts w:hint="cs"/>
          <w:sz w:val="28"/>
          <w:rtl/>
        </w:rPr>
        <w:t xml:space="preserve"> عرف که امر مسانخ را زیاده می داند، تفصیل بین شرط و جزء می دهد؟ </w:t>
      </w:r>
    </w:p>
    <w:p w14:paraId="2F797029" w14:textId="37579296" w:rsidR="00062DB5" w:rsidRDefault="00062DB5" w:rsidP="00062DB5">
      <w:pPr>
        <w:ind w:left="360"/>
        <w:jc w:val="both"/>
        <w:rPr>
          <w:sz w:val="28"/>
          <w:rtl/>
        </w:rPr>
      </w:pPr>
      <w:r w:rsidRPr="00BF2D7B">
        <w:rPr>
          <w:rFonts w:hint="cs"/>
          <w:b/>
          <w:bCs/>
          <w:sz w:val="28"/>
          <w:rtl/>
        </w:rPr>
        <w:t>جواب:</w:t>
      </w:r>
      <w:r>
        <w:rPr>
          <w:rFonts w:hint="cs"/>
          <w:sz w:val="28"/>
          <w:rtl/>
        </w:rPr>
        <w:t xml:space="preserve"> بالوجدان کسی که برای برداشتن کتاب از طاقچه در جایی که وظیفه اش نشستن است، می ایستد، عرف نمی گوید زیاده انجام داد. اگر در سجده تلاوت هم که قصد جزئیت در نماز نیست، عرف زیاده بداند که ادعای محقق سیستانی است و همچنین ما به برکت روایت قاسم بن عروه این مطلب را قبول کردیم، این ادعا را نمی توان در مورد قیام های سهوی مطرح کرد. توجیهش این است که بگوییم قیام با سجود و رکوع تفاوت دارد. </w:t>
      </w:r>
    </w:p>
    <w:p w14:paraId="359F4874" w14:textId="19DF1344" w:rsidR="009F788E" w:rsidRDefault="001D6265" w:rsidP="00196E44">
      <w:pPr>
        <w:jc w:val="both"/>
        <w:rPr>
          <w:sz w:val="28"/>
          <w:rtl/>
        </w:rPr>
      </w:pPr>
      <w:r>
        <w:rPr>
          <w:rFonts w:hint="cs"/>
          <w:sz w:val="28"/>
          <w:rtl/>
        </w:rPr>
        <w:t xml:space="preserve">خلاصه اینکه زیاده دو معنا دارد، یک معنای اخص دارد که قصد جزیئت قوام آن است، معنای دیگر معنای اعم است که اتیان به فعل مسانخ ولو بدون قصد جزئیت هم باشد زیاده است. ما می گوییم بعید نیست روایت قاسم بن عروۀ قرینه باشد که زیاده در این روایت، زیاده به معنای اعم است. پس هر زیاده به معنای اعمی نهی دارد، اما قیام در محل بحث جزء مسانخ نیست و فرق می کند با سجود و رکوع، بنابراین زیاده ی آن را عرف زیاده نمی داند و مبطل نیست. </w:t>
      </w:r>
    </w:p>
    <w:p w14:paraId="0D6824AD" w14:textId="55CC392D" w:rsidR="009F788E" w:rsidRDefault="001D6265" w:rsidP="00196E44">
      <w:pPr>
        <w:jc w:val="both"/>
        <w:rPr>
          <w:sz w:val="28"/>
          <w:rtl/>
        </w:rPr>
      </w:pPr>
      <w:r>
        <w:rPr>
          <w:rFonts w:hint="cs"/>
          <w:sz w:val="28"/>
          <w:rtl/>
        </w:rPr>
        <w:t xml:space="preserve">بنابراین اولین وجه عدم مبطلیت قیام سهوی در موضع قعود، بیان محقق خویی بود که قصد جزئیت را مطرح کردند. </w:t>
      </w:r>
    </w:p>
    <w:p w14:paraId="258E2A48" w14:textId="65E4432F" w:rsidR="00196E44" w:rsidRDefault="00196E44" w:rsidP="00E548C4">
      <w:pPr>
        <w:pStyle w:val="40"/>
        <w:rPr>
          <w:rtl/>
        </w:rPr>
      </w:pPr>
      <w:r>
        <w:rPr>
          <w:rFonts w:hint="cs"/>
          <w:rtl/>
        </w:rPr>
        <w:t xml:space="preserve">وجه دوم: حدیث لاتعاد </w:t>
      </w:r>
    </w:p>
    <w:p w14:paraId="105AB23C" w14:textId="7090DAB4" w:rsidR="001D6265" w:rsidRDefault="001D6265" w:rsidP="00196E44">
      <w:pPr>
        <w:jc w:val="both"/>
        <w:rPr>
          <w:sz w:val="28"/>
          <w:rtl/>
        </w:rPr>
      </w:pPr>
      <w:r>
        <w:rPr>
          <w:rFonts w:hint="cs"/>
          <w:sz w:val="28"/>
          <w:rtl/>
        </w:rPr>
        <w:t>وجه دوم عدم بطلان</w:t>
      </w:r>
      <w:r w:rsidR="00196E44">
        <w:rPr>
          <w:rFonts w:hint="cs"/>
          <w:sz w:val="28"/>
          <w:rtl/>
        </w:rPr>
        <w:t xml:space="preserve"> نماز در فرض زیاده سهوی قیام در موضع جلوس</w:t>
      </w:r>
      <w:r>
        <w:rPr>
          <w:rFonts w:hint="cs"/>
          <w:sz w:val="28"/>
          <w:rtl/>
        </w:rPr>
        <w:t>، کلام محقق سیستانی است که حدیث لاتعاد</w:t>
      </w:r>
      <w:r w:rsidR="00374FD8">
        <w:rPr>
          <w:rFonts w:hint="cs"/>
          <w:sz w:val="28"/>
          <w:rtl/>
        </w:rPr>
        <w:t xml:space="preserve"> را مطرح کرده اند. طبق بیان ایشان، حدیث لاتعاد</w:t>
      </w:r>
      <w:r>
        <w:rPr>
          <w:rFonts w:hint="cs"/>
          <w:sz w:val="28"/>
          <w:rtl/>
        </w:rPr>
        <w:t xml:space="preserve"> شامل زیاده قیام سهوی می شود، بلکه ذیل لاتعاد می فرماید </w:t>
      </w:r>
      <w:r w:rsidR="00374FD8">
        <w:rPr>
          <w:rFonts w:hint="cs"/>
          <w:sz w:val="28"/>
          <w:rtl/>
        </w:rPr>
        <w:t>«</w:t>
      </w:r>
      <w:r>
        <w:rPr>
          <w:rFonts w:hint="cs"/>
          <w:sz w:val="28"/>
          <w:rtl/>
        </w:rPr>
        <w:t>السنۀ لا تنقض الفریضۀ</w:t>
      </w:r>
      <w:r w:rsidR="00374FD8">
        <w:rPr>
          <w:rFonts w:hint="cs"/>
          <w:sz w:val="28"/>
          <w:rtl/>
        </w:rPr>
        <w:t>»</w:t>
      </w:r>
      <w:r w:rsidR="00374FD8">
        <w:rPr>
          <w:rStyle w:val="ab"/>
          <w:sz w:val="28"/>
          <w:rtl/>
        </w:rPr>
        <w:footnoteReference w:id="6"/>
      </w:r>
      <w:r>
        <w:rPr>
          <w:rFonts w:hint="cs"/>
          <w:sz w:val="28"/>
          <w:rtl/>
        </w:rPr>
        <w:t xml:space="preserve"> و این جمله بیانگر یک قاعده عامه است که حتی زیاده رکوع و سجود نیز مبطل ن</w:t>
      </w:r>
      <w:r w:rsidR="00374FD8">
        <w:rPr>
          <w:rFonts w:hint="cs"/>
          <w:sz w:val="28"/>
          <w:rtl/>
        </w:rPr>
        <w:t>ماز نیست، زیرا در مورد زیاده</w:t>
      </w:r>
      <w:r>
        <w:rPr>
          <w:rFonts w:hint="cs"/>
          <w:sz w:val="28"/>
          <w:rtl/>
        </w:rPr>
        <w:t xml:space="preserve"> در قرآن نهی </w:t>
      </w:r>
      <w:r>
        <w:rPr>
          <w:rFonts w:hint="cs"/>
          <w:sz w:val="28"/>
          <w:rtl/>
        </w:rPr>
        <w:lastRenderedPageBreak/>
        <w:t xml:space="preserve">نیامده است، پس مانعیت زیاده سنت است و اخلال به آن اخلال به سنت است که طبق ذیل حدیث لاتعاد، فریضه را نقض نخواهد کرد. </w:t>
      </w:r>
    </w:p>
    <w:p w14:paraId="77CFCAC6" w14:textId="77777777" w:rsidR="00862A53" w:rsidRDefault="00862A53" w:rsidP="001D6265">
      <w:pPr>
        <w:ind w:left="360"/>
        <w:jc w:val="both"/>
        <w:rPr>
          <w:sz w:val="28"/>
          <w:rtl/>
        </w:rPr>
      </w:pPr>
      <w:r>
        <w:rPr>
          <w:rFonts w:hint="cs"/>
          <w:sz w:val="28"/>
          <w:rtl/>
        </w:rPr>
        <w:t xml:space="preserve">این وجه از دو جهت دارای اشکال است: </w:t>
      </w:r>
    </w:p>
    <w:p w14:paraId="092B755C" w14:textId="77777777" w:rsidR="00862A53" w:rsidRDefault="001D6265" w:rsidP="00862A53">
      <w:pPr>
        <w:pStyle w:val="af4"/>
        <w:numPr>
          <w:ilvl w:val="0"/>
          <w:numId w:val="23"/>
        </w:numPr>
        <w:jc w:val="both"/>
        <w:rPr>
          <w:sz w:val="28"/>
        </w:rPr>
      </w:pPr>
      <w:r w:rsidRPr="00862A53">
        <w:rPr>
          <w:rFonts w:hint="cs"/>
          <w:sz w:val="28"/>
          <w:rtl/>
        </w:rPr>
        <w:t>برخی</w:t>
      </w:r>
      <w:r w:rsidR="00862A53" w:rsidRPr="00862A53">
        <w:rPr>
          <w:rFonts w:hint="cs"/>
          <w:sz w:val="28"/>
          <w:rtl/>
        </w:rPr>
        <w:t xml:space="preserve"> مانند شیخ عبدالکریم حائری و محقق نایینی</w:t>
      </w:r>
      <w:r w:rsidRPr="00862A53">
        <w:rPr>
          <w:rFonts w:hint="cs"/>
          <w:sz w:val="28"/>
          <w:rtl/>
        </w:rPr>
        <w:t xml:space="preserve"> معتقدند که حدیث لاتعاد شامل </w:t>
      </w:r>
      <w:r w:rsidR="00862A53">
        <w:rPr>
          <w:rFonts w:hint="cs"/>
          <w:sz w:val="28"/>
          <w:rtl/>
        </w:rPr>
        <w:t>زیاده نمی شود و اطلاق ندارد.</w:t>
      </w:r>
    </w:p>
    <w:p w14:paraId="25A687C9" w14:textId="194BBA01" w:rsidR="001D6265" w:rsidRPr="00862A53" w:rsidRDefault="001D6265" w:rsidP="00862A53">
      <w:pPr>
        <w:pStyle w:val="af4"/>
        <w:numPr>
          <w:ilvl w:val="0"/>
          <w:numId w:val="23"/>
        </w:numPr>
        <w:jc w:val="both"/>
        <w:rPr>
          <w:sz w:val="28"/>
          <w:rtl/>
        </w:rPr>
      </w:pPr>
      <w:r w:rsidRPr="00862A53">
        <w:rPr>
          <w:rFonts w:hint="cs"/>
          <w:sz w:val="28"/>
          <w:rtl/>
        </w:rPr>
        <w:t xml:space="preserve">اشکال دوم نیز این است که برفرض اطلاق، با روایت «من زاد فی صلاته فعلیه الإعادۀ» تعارض می کند. </w:t>
      </w:r>
      <w:r w:rsidR="00862A53" w:rsidRPr="00862A53">
        <w:rPr>
          <w:rFonts w:hint="cs"/>
          <w:sz w:val="28"/>
          <w:rtl/>
        </w:rPr>
        <w:t xml:space="preserve">بنابراین وجه محقق سیستانی دو اشکال دارد و ما وارد این بحث که قابل جواب هستند یا خیر نمی شویم. </w:t>
      </w:r>
    </w:p>
    <w:p w14:paraId="56B35ECE" w14:textId="2407F15B" w:rsidR="004E66CE" w:rsidRDefault="004E66CE" w:rsidP="004E66CE">
      <w:pPr>
        <w:pStyle w:val="40"/>
        <w:rPr>
          <w:rtl/>
        </w:rPr>
      </w:pPr>
      <w:r>
        <w:rPr>
          <w:rFonts w:hint="cs"/>
          <w:rtl/>
        </w:rPr>
        <w:t xml:space="preserve">وجه سوم: روایات بیانگر عدم بطلان نماز </w:t>
      </w:r>
    </w:p>
    <w:p w14:paraId="5AEB426B" w14:textId="622F96A7" w:rsidR="00862A53" w:rsidRDefault="00862A53" w:rsidP="004E66CE">
      <w:pPr>
        <w:jc w:val="both"/>
        <w:rPr>
          <w:sz w:val="28"/>
          <w:rtl/>
        </w:rPr>
      </w:pPr>
      <w:r>
        <w:rPr>
          <w:rFonts w:hint="cs"/>
          <w:sz w:val="28"/>
          <w:rtl/>
        </w:rPr>
        <w:t xml:space="preserve">وجه سوم که به نظر ما قوی ترین وجه است، روایاتی است که در مورد زیاده سهوی قیام است؛ از جمله صحیحۀ معاویۀ بن عمار که چنین است: </w:t>
      </w:r>
    </w:p>
    <w:p w14:paraId="7FB7CAF9" w14:textId="7B731B91" w:rsidR="00862A53" w:rsidRPr="00AC72DB" w:rsidRDefault="00862A53" w:rsidP="00AC72DB">
      <w:pPr>
        <w:pStyle w:val="af4"/>
        <w:jc w:val="both"/>
        <w:rPr>
          <w:sz w:val="28"/>
          <w:rtl/>
        </w:rPr>
      </w:pPr>
      <w:r w:rsidRPr="00AC72DB">
        <w:rPr>
          <w:rFonts w:hint="cs"/>
          <w:sz w:val="28"/>
          <w:rtl/>
        </w:rPr>
        <w:t>«</w:t>
      </w:r>
      <w:r w:rsidR="00AC72DB" w:rsidRPr="00AC72DB">
        <w:rPr>
          <w:sz w:val="28"/>
          <w:rtl/>
        </w:rPr>
        <w:t>مُحَمَّدُ بْنُ‌ يَعْقُوبَ‌ عَنْ‌ عَلِيِّ‌ بْنِ‌ إِبْرَاهِيمَ‌ عَنْ‌ مُحَمَّدِ بْنِ‌ عِيسَى عَنْ‌ يُونُسَ‌ عَنْ‌ مُعَاوِيَةَ‌ بْنِ‌ عَمَّارٍ قَالَ‌: سَأَلْتُهُ‌ عَنِ‌ الرَّجُلِ‌ يَسْهُو فَيَقُومُ‌ فِي حَالِ‌ قُعُودٍ أَوْ يَقْعُدُ فِي حَالِ‌ قِيَامٍ‌ قَالَ‌ يَسْجُدُ سَجْدَتَيْنِ‌ بَعْدَ التَّسْلِيمِ‌ وَ هُمَا الْمُرْغِمَتَانِ‌ تُرْغِمَانِ‌ الشَّيْطَانَ‌</w:t>
      </w:r>
      <w:r w:rsidR="00AC72DB" w:rsidRPr="00AC72DB">
        <w:rPr>
          <w:rFonts w:hint="cs"/>
          <w:sz w:val="28"/>
          <w:rtl/>
        </w:rPr>
        <w:t>»</w:t>
      </w:r>
      <w:r w:rsidR="00AC72DB">
        <w:rPr>
          <w:rStyle w:val="ab"/>
          <w:sz w:val="28"/>
          <w:rtl/>
        </w:rPr>
        <w:footnoteReference w:id="7"/>
      </w:r>
    </w:p>
    <w:p w14:paraId="27FEFFBA" w14:textId="52D05159" w:rsidR="004E66CE" w:rsidRDefault="00C32899" w:rsidP="004E66CE">
      <w:pPr>
        <w:jc w:val="both"/>
        <w:rPr>
          <w:sz w:val="28"/>
          <w:rtl/>
        </w:rPr>
      </w:pPr>
      <w:r>
        <w:rPr>
          <w:rFonts w:hint="cs"/>
          <w:sz w:val="28"/>
          <w:rtl/>
        </w:rPr>
        <w:t>حضرت در این روایت، حکم به وجوب سجده سهو کرده اند که مرغم شیطان است، زیرا فراموشی از شیطان است و سجده می کنیم که رغم انف شیطان شده باشد.</w:t>
      </w:r>
    </w:p>
    <w:p w14:paraId="1CCD9AA0" w14:textId="086E4505" w:rsidR="00BC0F5C" w:rsidRDefault="00BC0F5C" w:rsidP="00BC0F5C">
      <w:pPr>
        <w:pStyle w:val="50"/>
        <w:rPr>
          <w:rtl/>
        </w:rPr>
      </w:pPr>
      <w:r>
        <w:rPr>
          <w:rFonts w:hint="cs"/>
          <w:rtl/>
        </w:rPr>
        <w:t xml:space="preserve">بررسی تعارض با سایر روایات </w:t>
      </w:r>
    </w:p>
    <w:p w14:paraId="1F225206" w14:textId="77777777" w:rsidR="00BC0F5C" w:rsidRDefault="004E66CE" w:rsidP="00A747BA">
      <w:pPr>
        <w:jc w:val="both"/>
        <w:rPr>
          <w:sz w:val="28"/>
          <w:rtl/>
        </w:rPr>
      </w:pPr>
      <w:r>
        <w:rPr>
          <w:rFonts w:hint="cs"/>
          <w:sz w:val="28"/>
          <w:rtl/>
        </w:rPr>
        <w:t>گفته می شود</w:t>
      </w:r>
      <w:r w:rsidR="00C32899">
        <w:rPr>
          <w:rFonts w:hint="cs"/>
          <w:sz w:val="28"/>
          <w:rtl/>
        </w:rPr>
        <w:t xml:space="preserve"> این روایت که امر به سجود سهو کرده است، معارض دارد</w:t>
      </w:r>
      <w:r w:rsidR="00A747BA">
        <w:rPr>
          <w:rFonts w:hint="cs"/>
          <w:sz w:val="28"/>
          <w:rtl/>
        </w:rPr>
        <w:t xml:space="preserve"> و از حجیت ساقط است.</w:t>
      </w:r>
      <w:r w:rsidR="00C32899">
        <w:rPr>
          <w:rFonts w:hint="cs"/>
          <w:sz w:val="28"/>
          <w:rtl/>
        </w:rPr>
        <w:t xml:space="preserve"> معارض آن چند روایت است؛ از جمله</w:t>
      </w:r>
      <w:r w:rsidR="00BC0F5C">
        <w:rPr>
          <w:rFonts w:hint="cs"/>
          <w:sz w:val="28"/>
          <w:rtl/>
        </w:rPr>
        <w:t>:</w:t>
      </w:r>
    </w:p>
    <w:p w14:paraId="7645F85C" w14:textId="7C45A46C" w:rsidR="00C32899" w:rsidRPr="00BC0F5C" w:rsidRDefault="00C32899" w:rsidP="00BC0F5C">
      <w:pPr>
        <w:pStyle w:val="af4"/>
        <w:numPr>
          <w:ilvl w:val="0"/>
          <w:numId w:val="26"/>
        </w:numPr>
        <w:jc w:val="both"/>
        <w:rPr>
          <w:sz w:val="28"/>
          <w:rtl/>
        </w:rPr>
      </w:pPr>
      <w:r w:rsidRPr="00BC0F5C">
        <w:rPr>
          <w:rFonts w:hint="cs"/>
          <w:sz w:val="28"/>
          <w:rtl/>
        </w:rPr>
        <w:t xml:space="preserve"> صحیحه حلبی: </w:t>
      </w:r>
    </w:p>
    <w:p w14:paraId="2A0678D7" w14:textId="2CAE7011" w:rsidR="00C32899" w:rsidRPr="00A747BA" w:rsidRDefault="00A747BA" w:rsidP="00A747BA">
      <w:pPr>
        <w:pStyle w:val="af4"/>
        <w:jc w:val="both"/>
        <w:rPr>
          <w:sz w:val="28"/>
          <w:rtl/>
        </w:rPr>
      </w:pPr>
      <w:r>
        <w:rPr>
          <w:rFonts w:hint="cs"/>
          <w:sz w:val="28"/>
          <w:rtl/>
        </w:rPr>
        <w:t>«</w:t>
      </w:r>
      <w:r w:rsidRPr="00A747BA">
        <w:rPr>
          <w:sz w:val="28"/>
          <w:rtl/>
        </w:rPr>
        <w:t>عَلِيُّ بْنُ إِبْرَاهِيمَ عَنْ أَبِيهِ عَنِ ابْنِ أَبِي عُمَيْرٍ عَنْ حَمَّادِ بْنِ عُثْمَانَ عَنِ الْحَلَبِيِّ عَنْ أَبِي عَبْدِ اللَّهِ ع قَالَ: إِذَا قُمْتَ فِي الرَّكْعَتَيْنِ مِنَ الظُّهْرِ أَوْ غَيْرِهِمَا وَ لَمْ تَتَشَهَّدْ فِيهِمَا فَذَكَرْتَ ذَلِكَ فِي الرَّكْعَةِ الثَّالِثَةِ قَبْلَ أَنْ تَرْكَعَ فَاجْلِسْ فَتَشَهَّدْ وَ قُمْ فَأَتِمَّ صَلَاتَكَ فَإِنْ أَنْتَ لَمْ تَذْكُرْ حَتَّى تَرْكَعَ فَامْضِ فِي صَلَاتِكَ حَتَّى تَفْرُغَ فَإِذَا فَرَغْتَ فَاسْجُدْ سَجْدَتَيِ السَّهْوِ بَعْدَ التَّسْلِيمِ قَبْلَ أَنْ تَتَكَلَّمَ</w:t>
      </w:r>
      <w:r w:rsidRPr="00A747BA">
        <w:rPr>
          <w:rFonts w:hint="cs"/>
          <w:sz w:val="28"/>
          <w:rtl/>
        </w:rPr>
        <w:t>»</w:t>
      </w:r>
      <w:r>
        <w:rPr>
          <w:rStyle w:val="ab"/>
          <w:sz w:val="28"/>
          <w:rtl/>
        </w:rPr>
        <w:footnoteReference w:id="8"/>
      </w:r>
    </w:p>
    <w:p w14:paraId="7E4F69B7" w14:textId="429F7CB2" w:rsidR="00C32899" w:rsidRDefault="00C32899" w:rsidP="00BC0F5C">
      <w:pPr>
        <w:jc w:val="both"/>
        <w:rPr>
          <w:sz w:val="28"/>
          <w:rtl/>
        </w:rPr>
      </w:pPr>
      <w:r>
        <w:rPr>
          <w:rFonts w:hint="cs"/>
          <w:sz w:val="28"/>
          <w:rtl/>
        </w:rPr>
        <w:t xml:space="preserve">اینکه امام فرمودند اگر قبل از رکوع متوجه شدی نمازت را تمام کن ولی اگر بعد از رکوع متوجه شدی، بخوان و بعد دو سجده سهو به جای آور، نشانگر این است که در فرض اول دو سجده سهو لازم نیست. </w:t>
      </w:r>
      <w:r w:rsidR="00BC0F5C">
        <w:rPr>
          <w:rFonts w:hint="cs"/>
          <w:sz w:val="28"/>
          <w:rtl/>
        </w:rPr>
        <w:t xml:space="preserve">بنابراین از لحاظ مدلول مطابقی با روایت معاویه </w:t>
      </w:r>
      <w:r w:rsidR="00BC0F5C">
        <w:rPr>
          <w:rFonts w:hint="cs"/>
          <w:sz w:val="28"/>
          <w:rtl/>
        </w:rPr>
        <w:lastRenderedPageBreak/>
        <w:t xml:space="preserve">بن عمار معارضه می کند؛ </w:t>
      </w:r>
      <w:r>
        <w:rPr>
          <w:rFonts w:hint="cs"/>
          <w:sz w:val="28"/>
          <w:rtl/>
        </w:rPr>
        <w:t xml:space="preserve">چرا که یک روایت می گوید سجده سهو به جای آور، دیگری می گوید سجده سهو به جا نیاور، بنابراین در مدلول مطابقی با هم تعارض دارند، گرچه در یک امر انتزاعی که همان صحت صلاۀ است با هم مشترک هستند. </w:t>
      </w:r>
      <w:r w:rsidR="00BC0F5C">
        <w:rPr>
          <w:rFonts w:hint="cs"/>
          <w:sz w:val="28"/>
          <w:rtl/>
        </w:rPr>
        <w:t xml:space="preserve">ولی صرف اشتراک در امر انتزاعی مهم نیست، مهم این است که در مدلول مطابقی تعارض می کنند و باید ساقط شوند. </w:t>
      </w:r>
    </w:p>
    <w:p w14:paraId="5A112FF4" w14:textId="310394D8" w:rsidR="00BC0F5C" w:rsidRDefault="00BC0F5C" w:rsidP="00BC0F5C">
      <w:pPr>
        <w:pStyle w:val="af4"/>
        <w:numPr>
          <w:ilvl w:val="0"/>
          <w:numId w:val="26"/>
        </w:numPr>
        <w:jc w:val="both"/>
        <w:rPr>
          <w:sz w:val="28"/>
        </w:rPr>
      </w:pPr>
      <w:r>
        <w:rPr>
          <w:rFonts w:hint="cs"/>
          <w:sz w:val="28"/>
          <w:rtl/>
        </w:rPr>
        <w:t>صحیحۀ أبی بصیر</w:t>
      </w:r>
    </w:p>
    <w:p w14:paraId="7171EEBE" w14:textId="6D6FF958" w:rsidR="00BC0F5C" w:rsidRPr="00BC0F5C" w:rsidRDefault="00BC0F5C" w:rsidP="00BC0F5C">
      <w:pPr>
        <w:pStyle w:val="af4"/>
        <w:jc w:val="both"/>
        <w:rPr>
          <w:sz w:val="28"/>
          <w:rtl/>
        </w:rPr>
      </w:pPr>
      <w:r w:rsidRPr="00BC0F5C">
        <w:rPr>
          <w:rFonts w:hint="cs"/>
          <w:sz w:val="28"/>
          <w:rtl/>
        </w:rPr>
        <w:t>«</w:t>
      </w:r>
      <w:r w:rsidRPr="00BC0F5C">
        <w:rPr>
          <w:sz w:val="28"/>
          <w:rtl/>
        </w:rPr>
        <w:t>وَ رَوَى ابْنُ مُسْكَانَ عَنْ أَبِي بَصِيرٍ قَالَ: سَأَلْتُ أَبَا عَبْدِ اللَّهِ ع عَمَّنْ نَسِيَ أَنْ يَسْجُدَ وَاحِدَةً فَذَكَرَهَا وَ هُوَ قَائِمٌ قَالَ يَسْجُدُهَا إِذَا ذَكَرَهَا وَ لَمْ يَرْكَعْ فَإِنْ كَانَ قَدْ رَكَعَ فَلْيَمْضِ عَلَى صَلَاتِهِ فَإِذَا انْصَرَفَ قَضَاهَا وَحْدَهَا وَ لَيْسَ عَلَيْهِ سَهْوٌ</w:t>
      </w:r>
      <w:r w:rsidRPr="00BC0F5C">
        <w:rPr>
          <w:rFonts w:hint="cs"/>
          <w:sz w:val="28"/>
          <w:rtl/>
        </w:rPr>
        <w:t>»</w:t>
      </w:r>
      <w:r>
        <w:rPr>
          <w:rStyle w:val="ab"/>
          <w:sz w:val="28"/>
          <w:rtl/>
        </w:rPr>
        <w:footnoteReference w:id="9"/>
      </w:r>
    </w:p>
    <w:p w14:paraId="6FA16E32" w14:textId="77777777" w:rsidR="00396F5E" w:rsidRDefault="00BC0F5C" w:rsidP="00BC0F5C">
      <w:pPr>
        <w:jc w:val="both"/>
        <w:rPr>
          <w:sz w:val="28"/>
          <w:rtl/>
        </w:rPr>
      </w:pPr>
      <w:r>
        <w:rPr>
          <w:rFonts w:hint="cs"/>
          <w:sz w:val="28"/>
          <w:rtl/>
        </w:rPr>
        <w:t xml:space="preserve">این روایت طبق نقل مرحوم صدوق صحیح السند است؛ چرا که سند صدوق رحمه الله به ابن مسکان تمام است. ایشان در مشیخه می فرمایند: </w:t>
      </w:r>
    </w:p>
    <w:p w14:paraId="42CD5EBB" w14:textId="2A3E2192" w:rsidR="00BC0F5C" w:rsidRPr="00396F5E" w:rsidRDefault="00BC0F5C" w:rsidP="00396F5E">
      <w:pPr>
        <w:pStyle w:val="af4"/>
        <w:jc w:val="both"/>
        <w:rPr>
          <w:sz w:val="28"/>
          <w:rtl/>
        </w:rPr>
      </w:pPr>
      <w:r w:rsidRPr="00396F5E">
        <w:rPr>
          <w:rStyle w:val="af8"/>
          <w:rFonts w:hint="cs"/>
          <w:rtl/>
        </w:rPr>
        <w:t>«</w:t>
      </w:r>
      <w:r w:rsidRPr="00396F5E">
        <w:rPr>
          <w:rStyle w:val="af8"/>
          <w:rtl/>
        </w:rPr>
        <w:t>و ما كان فيه عن عبد اللّه بن مسكان فقد رويته عن أبي؛ و محمّد بن الحسن- رضي اللّه عنهما- عن محمّد بن يحيى العطّار، عن محمّد بن الحسين بن أبي الخطّاب، عن صفوان بن‏</w:t>
      </w:r>
      <w:r w:rsidRPr="00396F5E">
        <w:rPr>
          <w:rStyle w:val="af8"/>
        </w:rPr>
        <w:t xml:space="preserve">  </w:t>
      </w:r>
      <w:r w:rsidRPr="00396F5E">
        <w:rPr>
          <w:rStyle w:val="af8"/>
          <w:rtl/>
        </w:rPr>
        <w:t>يحيى، عن عبد اللّه بن مسكان، و هو كوفيّ من موالي عنزة و يقال إنّه من موالي عجل</w:t>
      </w:r>
      <w:r w:rsidRPr="00396F5E">
        <w:rPr>
          <w:sz w:val="28"/>
          <w:rtl/>
        </w:rPr>
        <w:t>‏</w:t>
      </w:r>
      <w:r w:rsidRPr="00396F5E">
        <w:rPr>
          <w:rFonts w:hint="cs"/>
          <w:sz w:val="28"/>
          <w:rtl/>
        </w:rPr>
        <w:t>»</w:t>
      </w:r>
      <w:r w:rsidR="00396F5E">
        <w:rPr>
          <w:rStyle w:val="ab"/>
          <w:sz w:val="28"/>
          <w:rtl/>
        </w:rPr>
        <w:footnoteReference w:id="10"/>
      </w:r>
    </w:p>
    <w:p w14:paraId="7758D445" w14:textId="41E5601A" w:rsidR="00C32899" w:rsidRDefault="00396F5E" w:rsidP="00396F5E">
      <w:pPr>
        <w:jc w:val="both"/>
        <w:rPr>
          <w:sz w:val="28"/>
          <w:rtl/>
        </w:rPr>
      </w:pPr>
      <w:r>
        <w:rPr>
          <w:rFonts w:hint="cs"/>
          <w:sz w:val="28"/>
          <w:rtl/>
        </w:rPr>
        <w:t xml:space="preserve">در این روایت مکلف </w:t>
      </w:r>
      <w:r w:rsidR="00C32899">
        <w:rPr>
          <w:rFonts w:hint="cs"/>
          <w:sz w:val="28"/>
          <w:rtl/>
        </w:rPr>
        <w:t xml:space="preserve">یک سجده را به جا آورده است و فراموش کرده و ایستاده است، حضرت فرمودند اگر قبل از رکوع ملتفت شود برگردد و سجده ثانیه را به جای آورد، ولی اگر رکوع را به جا آورده بود و بعد از رکوع متوجه شد، نمازش را به اتمام برساند و بعد از نماز قضای آن سجده منسیه را به جا آورد و دیگر سجده سهو بر او واجب نیست. </w:t>
      </w:r>
      <w:r>
        <w:rPr>
          <w:rFonts w:hint="cs"/>
          <w:sz w:val="28"/>
          <w:rtl/>
        </w:rPr>
        <w:t xml:space="preserve">این روایت نیز از نظر دلالت مطابقی با روایت معاویۀ بن عمار در تعارض است. </w:t>
      </w:r>
    </w:p>
    <w:p w14:paraId="17A48F8D" w14:textId="123F2DEC" w:rsidR="00396F5E" w:rsidRPr="00396F5E" w:rsidRDefault="00396F5E" w:rsidP="00396F5E">
      <w:pPr>
        <w:pStyle w:val="af4"/>
        <w:numPr>
          <w:ilvl w:val="0"/>
          <w:numId w:val="26"/>
        </w:numPr>
        <w:jc w:val="both"/>
        <w:rPr>
          <w:sz w:val="28"/>
          <w:rtl/>
        </w:rPr>
      </w:pPr>
      <w:r>
        <w:rPr>
          <w:rFonts w:hint="cs"/>
          <w:sz w:val="28"/>
          <w:rtl/>
        </w:rPr>
        <w:t xml:space="preserve">روایت محمد بن سنان </w:t>
      </w:r>
    </w:p>
    <w:p w14:paraId="55BF99F3" w14:textId="3C006919" w:rsidR="00C32899" w:rsidRDefault="00C32899" w:rsidP="00C32899">
      <w:pPr>
        <w:ind w:left="360"/>
        <w:jc w:val="both"/>
        <w:rPr>
          <w:sz w:val="28"/>
          <w:rtl/>
        </w:rPr>
      </w:pPr>
      <w:r>
        <w:rPr>
          <w:rFonts w:hint="cs"/>
          <w:sz w:val="28"/>
          <w:rtl/>
        </w:rPr>
        <w:t xml:space="preserve">روایت دیگر نیز که در سند آن محمد بن سنان وجود دارد و در مورد او اختلاف است، چنین است: </w:t>
      </w:r>
    </w:p>
    <w:p w14:paraId="76CCADA9" w14:textId="262E65FF" w:rsidR="00C32899" w:rsidRPr="00396F5E" w:rsidRDefault="00396F5E" w:rsidP="00396F5E">
      <w:pPr>
        <w:pStyle w:val="af4"/>
        <w:jc w:val="both"/>
        <w:rPr>
          <w:sz w:val="28"/>
          <w:rtl/>
        </w:rPr>
      </w:pPr>
      <w:r w:rsidRPr="00396F5E">
        <w:rPr>
          <w:rFonts w:hint="cs"/>
          <w:sz w:val="28"/>
          <w:rtl/>
        </w:rPr>
        <w:t>«</w:t>
      </w:r>
      <w:r w:rsidRPr="00396F5E">
        <w:rPr>
          <w:sz w:val="28"/>
          <w:rtl/>
        </w:rPr>
        <w:t>سَعْدٌ عَنْ أَحْمَدَ بْنِ مُحَمَّدٍ عَنِ الْحُسَيْنِ بْنِ سَعِيدٍ عَنْ مُحَمَّدِ بْنِ سِنَانٍ عَنْ عَبْدِ اللَّهِ بْنِ مُسْكَانَ عَنْ مُحَمَّدِ بْنِ عَلِيٍّ الْحَلَبِيِّ قَالَ: سَأَلْتُ أَبَا عَبْدِ اللَّهِ ع- عَنِ الرَّجُلِ يَسْهُو فِي الصَّلَاةِ فَيَنْسَى التَّشَهُّدَ فَقَالَ يَرْجِعُ فَيَتَشَهَّدُ قُلْتُ أَ يَسْجُدُ سَجْدَتَيِ السَّهْوِ فَقَالَ لَا لَيْسَ فِي هَذَا سَجْدَتَا السَّهْوِ</w:t>
      </w:r>
      <w:r w:rsidRPr="00396F5E">
        <w:rPr>
          <w:rFonts w:hint="cs"/>
          <w:sz w:val="28"/>
          <w:rtl/>
        </w:rPr>
        <w:t>»</w:t>
      </w:r>
      <w:r>
        <w:rPr>
          <w:rStyle w:val="ab"/>
          <w:sz w:val="28"/>
          <w:rtl/>
        </w:rPr>
        <w:footnoteReference w:id="11"/>
      </w:r>
    </w:p>
    <w:p w14:paraId="08B21FBA" w14:textId="77777777" w:rsidR="00396F5E" w:rsidRDefault="00C32899" w:rsidP="00396F5E">
      <w:pPr>
        <w:jc w:val="both"/>
        <w:rPr>
          <w:sz w:val="28"/>
          <w:rtl/>
        </w:rPr>
      </w:pPr>
      <w:r>
        <w:rPr>
          <w:rFonts w:hint="cs"/>
          <w:sz w:val="28"/>
          <w:rtl/>
        </w:rPr>
        <w:t xml:space="preserve">حضرت در این روایت نیز وجوب سجده سهو را مرتفع دانستند. </w:t>
      </w:r>
      <w:r w:rsidR="00396F5E">
        <w:rPr>
          <w:rFonts w:hint="cs"/>
          <w:sz w:val="28"/>
          <w:rtl/>
        </w:rPr>
        <w:t xml:space="preserve">بنابراین ادعا می شود که روایت معاویۀ بن عمار با این روایات معارض است و از اعتبار ساقط می شود. </w:t>
      </w:r>
    </w:p>
    <w:p w14:paraId="7A0E1F27" w14:textId="72B14C91" w:rsidR="00697127" w:rsidRDefault="00E829B8" w:rsidP="00396F5E">
      <w:pPr>
        <w:jc w:val="both"/>
        <w:rPr>
          <w:sz w:val="28"/>
          <w:rtl/>
        </w:rPr>
      </w:pPr>
      <w:r>
        <w:rPr>
          <w:rFonts w:hint="cs"/>
          <w:sz w:val="28"/>
          <w:rtl/>
        </w:rPr>
        <w:lastRenderedPageBreak/>
        <w:t>عمده جواب از این اشکال تعارض این است که این روای</w:t>
      </w:r>
      <w:r w:rsidR="00396F5E">
        <w:rPr>
          <w:rFonts w:hint="cs"/>
          <w:sz w:val="28"/>
          <w:rtl/>
        </w:rPr>
        <w:t xml:space="preserve">ات جمع عرفی دارند؛ توضیح اینکه </w:t>
      </w:r>
      <w:r>
        <w:rPr>
          <w:rFonts w:hint="cs"/>
          <w:sz w:val="28"/>
          <w:rtl/>
        </w:rPr>
        <w:t xml:space="preserve">روایتی که سجده سهو را مطرح می کند حمل بر استحباب سجود سهو می شود و روایات دیگر وجوب سجود سهو را مرتفع می دانستند. </w:t>
      </w:r>
    </w:p>
    <w:p w14:paraId="6D4C4649" w14:textId="04C3469F" w:rsidR="00396F5E" w:rsidRDefault="00AD74D4" w:rsidP="00396F5E">
      <w:pPr>
        <w:jc w:val="both"/>
        <w:rPr>
          <w:sz w:val="28"/>
          <w:rtl/>
        </w:rPr>
      </w:pPr>
      <w:r>
        <w:rPr>
          <w:rFonts w:hint="cs"/>
          <w:sz w:val="28"/>
          <w:rtl/>
        </w:rPr>
        <w:t xml:space="preserve">بنابراین روایت صحیحه معاویه بن عمار، ساقط نمی شود و بر اساس این روایات عدم مبطلیت زیاده سهوی قیام در موضع قعود دانسته می شود. تاکنون بحث در مثال اول بود که زیاده قیام در غیر موضع خود بود. </w:t>
      </w:r>
    </w:p>
    <w:p w14:paraId="40F157F7" w14:textId="73F55F23" w:rsidR="00396F5E" w:rsidRDefault="00396F5E" w:rsidP="00396F5E">
      <w:pPr>
        <w:pStyle w:val="20"/>
        <w:rPr>
          <w:rtl/>
        </w:rPr>
      </w:pPr>
      <w:bookmarkStart w:id="4" w:name="_Toc81983269"/>
      <w:r>
        <w:rPr>
          <w:rFonts w:hint="cs"/>
          <w:rtl/>
        </w:rPr>
        <w:t>بررسی مثال دوم کلام سید یزدی رحمه الله</w:t>
      </w:r>
      <w:bookmarkEnd w:id="4"/>
      <w:r>
        <w:rPr>
          <w:rFonts w:hint="cs"/>
          <w:rtl/>
        </w:rPr>
        <w:t xml:space="preserve"> </w:t>
      </w:r>
    </w:p>
    <w:p w14:paraId="4F8CCD0E" w14:textId="09133553" w:rsidR="004C5F66" w:rsidRDefault="00AD74D4" w:rsidP="00396F5E">
      <w:pPr>
        <w:jc w:val="both"/>
        <w:rPr>
          <w:sz w:val="28"/>
          <w:rtl/>
        </w:rPr>
      </w:pPr>
      <w:r>
        <w:rPr>
          <w:rFonts w:hint="cs"/>
          <w:sz w:val="28"/>
          <w:rtl/>
        </w:rPr>
        <w:t xml:space="preserve">مثال دومی که سید مطرح کرده است زیاده قیام غیر رکنی است. محقق سیستانی فرموده است که این فرض زیاده قیام ندارد، چرا که نظر ما این است که از اول تکبیر تا رکوع یک واجب ممتد به نام قیام داریم که قابل تعدد و زیاده نیست. </w:t>
      </w:r>
      <w:r w:rsidR="004C5F66">
        <w:rPr>
          <w:rFonts w:hint="cs"/>
          <w:sz w:val="28"/>
          <w:rtl/>
        </w:rPr>
        <w:t xml:space="preserve">بلی، نقیصه قیام در آن قابل فرض است مثل اینکه کسی وسط قیام بنشیند، ولی زیاده در آن معنا ندارد. </w:t>
      </w:r>
      <w:r w:rsidR="001C368A">
        <w:rPr>
          <w:rFonts w:hint="cs"/>
          <w:sz w:val="28"/>
          <w:rtl/>
        </w:rPr>
        <w:t xml:space="preserve">اگر مثال بحث منحصر به این مثال بود، کلام محقق سیستانی طبق مبنای خود صحیح بود، لکن مثال دیگری نیز می توان مطرح کرد و آن جایی است </w:t>
      </w:r>
      <w:r w:rsidR="004C5F66">
        <w:rPr>
          <w:rFonts w:hint="cs"/>
          <w:sz w:val="28"/>
          <w:rtl/>
        </w:rPr>
        <w:t xml:space="preserve">که کسی دو بار قیام بعد از رکوع بکند، مثل اینکه بعد از رکوع برخیزد، سپس بنشیند و دومرتبه برخیزد، آیا این مثال مصداق زیاده قیام غیر رکنی است یا خیر؟ در جلسه ی آینده مطرح می شود ان شاءالله. </w:t>
      </w:r>
    </w:p>
    <w:p w14:paraId="3F16AA4A" w14:textId="77777777" w:rsidR="00697127" w:rsidRDefault="00697127" w:rsidP="00C32899">
      <w:pPr>
        <w:ind w:left="360"/>
        <w:jc w:val="both"/>
        <w:rPr>
          <w:sz w:val="28"/>
          <w:rtl/>
        </w:rPr>
      </w:pPr>
    </w:p>
    <w:p w14:paraId="3EFB9AEB" w14:textId="77777777" w:rsidR="009F788E" w:rsidRDefault="009F788E" w:rsidP="00062DB5">
      <w:pPr>
        <w:ind w:left="360"/>
        <w:jc w:val="both"/>
        <w:rPr>
          <w:sz w:val="28"/>
          <w:rtl/>
        </w:rPr>
      </w:pPr>
    </w:p>
    <w:p w14:paraId="1B16AB13" w14:textId="6C20BA07" w:rsidR="00EE54EA" w:rsidRDefault="00EE54EA" w:rsidP="00EB488D">
      <w:pPr>
        <w:ind w:left="360"/>
        <w:jc w:val="both"/>
        <w:rPr>
          <w:sz w:val="28"/>
          <w:rtl/>
        </w:rPr>
      </w:pPr>
    </w:p>
    <w:p w14:paraId="3E8D89FE" w14:textId="77777777" w:rsidR="00EE54EA" w:rsidRDefault="00EE54EA" w:rsidP="00EB488D">
      <w:pPr>
        <w:ind w:left="360"/>
        <w:jc w:val="both"/>
        <w:rPr>
          <w:sz w:val="28"/>
          <w:rtl/>
        </w:rPr>
      </w:pPr>
    </w:p>
    <w:p w14:paraId="4FB14C80" w14:textId="2D6508DA" w:rsidR="00EB488D" w:rsidRDefault="00EB488D" w:rsidP="00EB488D">
      <w:pPr>
        <w:ind w:left="360"/>
        <w:jc w:val="both"/>
        <w:rPr>
          <w:sz w:val="28"/>
          <w:rtl/>
        </w:rPr>
      </w:pPr>
    </w:p>
    <w:p w14:paraId="18115D14" w14:textId="77777777" w:rsidR="00EB488D" w:rsidRPr="007A51AD" w:rsidRDefault="00EB488D" w:rsidP="00EB488D">
      <w:pPr>
        <w:ind w:left="360"/>
        <w:jc w:val="both"/>
        <w:rPr>
          <w:sz w:val="28"/>
          <w:rtl/>
        </w:rPr>
      </w:pPr>
    </w:p>
    <w:sectPr w:rsidR="00EB488D" w:rsidRPr="007A51AD"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DAFA5" w14:textId="77777777" w:rsidR="00A155A0" w:rsidRDefault="00A155A0" w:rsidP="008B750B">
      <w:pPr>
        <w:spacing w:line="240" w:lineRule="auto"/>
      </w:pPr>
      <w:r>
        <w:separator/>
      </w:r>
    </w:p>
  </w:endnote>
  <w:endnote w:type="continuationSeparator" w:id="0">
    <w:p w14:paraId="167887AA" w14:textId="77777777" w:rsidR="00A155A0" w:rsidRDefault="00A155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7"/>
      <w:gridCol w:w="2204"/>
    </w:tblGrid>
    <w:tr w:rsidR="001D6265" w:rsidRPr="006D44C1" w14:paraId="1D616E19" w14:textId="77777777" w:rsidTr="001D6265">
      <w:tc>
        <w:tcPr>
          <w:tcW w:w="3307" w:type="dxa"/>
          <w:tcBorders>
            <w:top w:val="nil"/>
            <w:left w:val="nil"/>
            <w:bottom w:val="nil"/>
            <w:right w:val="nil"/>
          </w:tcBorders>
        </w:tcPr>
        <w:p w14:paraId="229FDC09" w14:textId="7BF9C27F" w:rsidR="001D6265" w:rsidRDefault="001D6265" w:rsidP="006D44C1">
          <w:pPr>
            <w:pStyle w:val="a6"/>
            <w:rPr>
              <w:rtl/>
            </w:rPr>
          </w:pPr>
          <w:r w:rsidRPr="006D44C1">
            <w:rPr>
              <w:rFonts w:hint="cs"/>
              <w:color w:val="808080" w:themeColor="background1" w:themeShade="80"/>
              <w:rtl/>
            </w:rPr>
            <w:t>مدرس</w:t>
          </w:r>
          <w:r>
            <w:rPr>
              <w:rFonts w:hint="cs"/>
              <w:color w:val="808080" w:themeColor="background1" w:themeShade="80"/>
              <w:rtl/>
            </w:rPr>
            <w:t xml:space="preserve">ه فقهی امام محمدباقر </w:t>
          </w:r>
          <w:r w:rsidRPr="009F788E">
            <w:rPr>
              <w:rFonts w:hint="cs"/>
              <w:color w:val="808080" w:themeColor="background1" w:themeShade="80"/>
              <w:szCs w:val="22"/>
              <w:rtl/>
            </w:rPr>
            <w:t>علیه السلام</w:t>
          </w:r>
        </w:p>
      </w:tc>
      <w:tc>
        <w:tcPr>
          <w:tcW w:w="2204" w:type="dxa"/>
          <w:tcBorders>
            <w:top w:val="nil"/>
            <w:left w:val="nil"/>
            <w:bottom w:val="nil"/>
            <w:right w:val="nil"/>
          </w:tcBorders>
          <w:vAlign w:val="center"/>
        </w:tcPr>
        <w:p w14:paraId="69C90388" w14:textId="629BB0A1" w:rsidR="001D6265" w:rsidRDefault="001D6265" w:rsidP="006D44C1">
          <w:pPr>
            <w:pStyle w:val="a6"/>
            <w:jc w:val="right"/>
            <w:rPr>
              <w:rtl/>
            </w:rPr>
          </w:pPr>
          <w:r>
            <w:rPr>
              <w:rFonts w:hint="cs"/>
              <w:rtl/>
            </w:rPr>
            <w:t xml:space="preserve">صفحه </w:t>
          </w:r>
          <w:r>
            <w:fldChar w:fldCharType="begin"/>
          </w:r>
          <w:r>
            <w:instrText>PAGE   \* MERGEFORMAT</w:instrText>
          </w:r>
          <w:r>
            <w:fldChar w:fldCharType="separate"/>
          </w:r>
          <w:r w:rsidR="00190B04" w:rsidRPr="00190B04">
            <w:rPr>
              <w:noProof/>
              <w:rtl/>
              <w:lang w:val="fa-IR"/>
            </w:rPr>
            <w:t>1</w:t>
          </w:r>
          <w:r>
            <w:rPr>
              <w:noProof/>
            </w:rPr>
            <w:fldChar w:fldCharType="end"/>
          </w:r>
        </w:p>
      </w:tc>
      <w:bookmarkStart w:id="5" w:name="BokAdres"/>
      <w:bookmarkEnd w:id="5"/>
    </w:tr>
  </w:tbl>
  <w:p w14:paraId="3DC96C88" w14:textId="77777777" w:rsidR="00AF102F" w:rsidRDefault="00AF102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F276" w14:textId="77777777" w:rsidR="00A155A0" w:rsidRDefault="00A155A0" w:rsidP="008B750B">
      <w:pPr>
        <w:spacing w:line="240" w:lineRule="auto"/>
      </w:pPr>
      <w:r>
        <w:separator/>
      </w:r>
    </w:p>
  </w:footnote>
  <w:footnote w:type="continuationSeparator" w:id="0">
    <w:p w14:paraId="229FE533" w14:textId="77777777" w:rsidR="00A155A0" w:rsidRDefault="00A155A0" w:rsidP="008B750B">
      <w:pPr>
        <w:spacing w:line="240" w:lineRule="auto"/>
      </w:pPr>
      <w:r>
        <w:continuationSeparator/>
      </w:r>
    </w:p>
  </w:footnote>
  <w:footnote w:id="1">
    <w:p w14:paraId="5A42CC16" w14:textId="0BE42234" w:rsidR="008119BA" w:rsidRDefault="008119BA">
      <w:pPr>
        <w:pStyle w:val="a9"/>
      </w:pPr>
      <w:r>
        <w:rPr>
          <w:rStyle w:val="ab"/>
        </w:rPr>
        <w:footnoteRef/>
      </w:r>
      <w:r>
        <w:rPr>
          <w:rtl/>
        </w:rPr>
        <w:t xml:space="preserve"> </w:t>
      </w:r>
      <w:r>
        <w:rPr>
          <w:rFonts w:hint="cs"/>
          <w:rtl/>
        </w:rPr>
        <w:t xml:space="preserve">. </w:t>
      </w:r>
      <w:r w:rsidRPr="008119BA">
        <w:rPr>
          <w:rtl/>
        </w:rPr>
        <w:t>العروة الوثق</w:t>
      </w:r>
      <w:r w:rsidRPr="008119BA">
        <w:rPr>
          <w:rFonts w:hint="cs"/>
          <w:rtl/>
        </w:rPr>
        <w:t>ی</w:t>
      </w:r>
      <w:r w:rsidRPr="008119BA">
        <w:rPr>
          <w:rtl/>
        </w:rPr>
        <w:t xml:space="preserve"> (أعلام العصر، مؤسسة الأعلمي)، جلد: ۱، صفحه: ۶۳۴</w:t>
      </w:r>
      <w:r>
        <w:rPr>
          <w:rFonts w:hint="cs"/>
          <w:rtl/>
        </w:rPr>
        <w:t xml:space="preserve">. </w:t>
      </w:r>
    </w:p>
  </w:footnote>
  <w:footnote w:id="2">
    <w:p w14:paraId="66CE3CB1" w14:textId="2199BCC6" w:rsidR="006A0C55" w:rsidRDefault="006A0C55" w:rsidP="006A0C55">
      <w:pPr>
        <w:pStyle w:val="a9"/>
      </w:pPr>
      <w:r>
        <w:rPr>
          <w:rStyle w:val="ab"/>
        </w:rPr>
        <w:footnoteRef/>
      </w:r>
      <w:r>
        <w:rPr>
          <w:rtl/>
        </w:rPr>
        <w:t xml:space="preserve"> </w:t>
      </w:r>
      <w:r>
        <w:t>.</w:t>
      </w:r>
      <w:r w:rsidRPr="006A0C55">
        <w:rPr>
          <w:rtl/>
        </w:rPr>
        <w:t>من لا يحضره الفقيه، ج‏1، ص: 340</w:t>
      </w:r>
      <w:r>
        <w:t xml:space="preserve">. </w:t>
      </w:r>
    </w:p>
  </w:footnote>
  <w:footnote w:id="3">
    <w:p w14:paraId="61CB8A68" w14:textId="5DAC88C7" w:rsidR="006A0C55" w:rsidRDefault="006A0C55" w:rsidP="006A0C55">
      <w:pPr>
        <w:pStyle w:val="a9"/>
      </w:pPr>
      <w:r>
        <w:rPr>
          <w:rStyle w:val="ab"/>
        </w:rPr>
        <w:footnoteRef/>
      </w:r>
      <w:r>
        <w:rPr>
          <w:rtl/>
        </w:rPr>
        <w:t xml:space="preserve"> </w:t>
      </w:r>
      <w:r>
        <w:rPr>
          <w:rFonts w:hint="cs"/>
          <w:rtl/>
        </w:rPr>
        <w:t xml:space="preserve">. </w:t>
      </w:r>
      <w:r w:rsidRPr="006A0C55">
        <w:rPr>
          <w:rtl/>
        </w:rPr>
        <w:t>الكافي (ط - الإسلامية)، ج‏3، ص: 318</w:t>
      </w:r>
      <w:r>
        <w:rPr>
          <w:rFonts w:hint="cs"/>
          <w:rtl/>
        </w:rPr>
        <w:t xml:space="preserve">. </w:t>
      </w:r>
    </w:p>
  </w:footnote>
  <w:footnote w:id="4">
    <w:p w14:paraId="54D7D1DF" w14:textId="7F7A1FA3" w:rsidR="00CA2A9F" w:rsidRDefault="00CA2A9F" w:rsidP="00CA2A9F">
      <w:pPr>
        <w:pStyle w:val="a9"/>
      </w:pPr>
      <w:r>
        <w:rPr>
          <w:rStyle w:val="ab"/>
        </w:rPr>
        <w:footnoteRef/>
      </w:r>
      <w:r>
        <w:rPr>
          <w:rtl/>
        </w:rPr>
        <w:t xml:space="preserve"> </w:t>
      </w:r>
      <w:r>
        <w:t>.</w:t>
      </w:r>
      <w:r>
        <w:rPr>
          <w:rtl/>
        </w:rPr>
        <w:t xml:space="preserve"> </w:t>
      </w:r>
      <w:r w:rsidRPr="00CA2A9F">
        <w:rPr>
          <w:rtl/>
        </w:rPr>
        <w:t>من لا يحضره الفقيه، ج‏1، ص: 303</w:t>
      </w:r>
      <w:r>
        <w:t xml:space="preserve">. </w:t>
      </w:r>
    </w:p>
  </w:footnote>
  <w:footnote w:id="5">
    <w:p w14:paraId="30DC000D" w14:textId="6DC0715F" w:rsidR="00CA2A9F" w:rsidRDefault="00CA2A9F" w:rsidP="00CA2A9F">
      <w:pPr>
        <w:pStyle w:val="a9"/>
      </w:pPr>
      <w:r>
        <w:rPr>
          <w:rStyle w:val="ab"/>
        </w:rPr>
        <w:footnoteRef/>
      </w:r>
      <w:r>
        <w:rPr>
          <w:rtl/>
        </w:rPr>
        <w:t xml:space="preserve"> </w:t>
      </w:r>
      <w:r>
        <w:t>.</w:t>
      </w:r>
      <w:r w:rsidRPr="00CA2A9F">
        <w:rPr>
          <w:rtl/>
        </w:rPr>
        <w:t>تهذيب الأحكام (تحقيق خرسان)، ج‏2، ص: 169</w:t>
      </w:r>
      <w:r>
        <w:t xml:space="preserve">. </w:t>
      </w:r>
    </w:p>
  </w:footnote>
  <w:footnote w:id="6">
    <w:p w14:paraId="0023230E" w14:textId="77777777" w:rsidR="00374FD8" w:rsidRDefault="00374FD8" w:rsidP="00374FD8">
      <w:pPr>
        <w:pStyle w:val="a9"/>
      </w:pPr>
      <w:r>
        <w:rPr>
          <w:rStyle w:val="ab"/>
        </w:rPr>
        <w:footnoteRef/>
      </w:r>
      <w:r>
        <w:rPr>
          <w:rtl/>
        </w:rPr>
        <w:t xml:space="preserve"> </w:t>
      </w:r>
      <w:r>
        <w:t>.</w:t>
      </w:r>
      <w:r w:rsidRPr="006A0C55">
        <w:rPr>
          <w:rtl/>
        </w:rPr>
        <w:t>من لا يحضره الفقيه، ج‏1، ص: 340</w:t>
      </w:r>
      <w:r>
        <w:t xml:space="preserve">. </w:t>
      </w:r>
    </w:p>
  </w:footnote>
  <w:footnote w:id="7">
    <w:p w14:paraId="09F57833" w14:textId="4355A59C" w:rsidR="00AC72DB" w:rsidRDefault="00AC72DB">
      <w:pPr>
        <w:pStyle w:val="a9"/>
      </w:pPr>
      <w:r>
        <w:rPr>
          <w:rStyle w:val="ab"/>
        </w:rPr>
        <w:footnoteRef/>
      </w:r>
      <w:r>
        <w:rPr>
          <w:rtl/>
        </w:rPr>
        <w:t xml:space="preserve"> </w:t>
      </w:r>
      <w:r>
        <w:rPr>
          <w:rFonts w:hint="cs"/>
          <w:rtl/>
        </w:rPr>
        <w:t xml:space="preserve">. </w:t>
      </w:r>
      <w:r w:rsidRPr="00AC72DB">
        <w:rPr>
          <w:rtl/>
        </w:rPr>
        <w:t>تفص</w:t>
      </w:r>
      <w:r w:rsidRPr="00AC72DB">
        <w:rPr>
          <w:rFonts w:hint="cs"/>
          <w:rtl/>
        </w:rPr>
        <w:t>ی</w:t>
      </w:r>
      <w:r w:rsidRPr="00AC72DB">
        <w:rPr>
          <w:rFonts w:hint="eastAsia"/>
          <w:rtl/>
        </w:rPr>
        <w:t>ل</w:t>
      </w:r>
      <w:r w:rsidRPr="00AC72DB">
        <w:rPr>
          <w:rtl/>
        </w:rPr>
        <w:t xml:space="preserve"> وسائل الش</w:t>
      </w:r>
      <w:r w:rsidRPr="00AC72DB">
        <w:rPr>
          <w:rFonts w:hint="cs"/>
          <w:rtl/>
        </w:rPr>
        <w:t>ی</w:t>
      </w:r>
      <w:r w:rsidRPr="00AC72DB">
        <w:rPr>
          <w:rFonts w:hint="eastAsia"/>
          <w:rtl/>
        </w:rPr>
        <w:t>عة</w:t>
      </w:r>
      <w:r w:rsidRPr="00AC72DB">
        <w:rPr>
          <w:rtl/>
        </w:rPr>
        <w:t xml:space="preserve"> إل</w:t>
      </w:r>
      <w:r w:rsidRPr="00AC72DB">
        <w:rPr>
          <w:rFonts w:hint="cs"/>
          <w:rtl/>
        </w:rPr>
        <w:t>ی</w:t>
      </w:r>
      <w:r w:rsidRPr="00AC72DB">
        <w:rPr>
          <w:rtl/>
        </w:rPr>
        <w:t xml:space="preserve"> تحص</w:t>
      </w:r>
      <w:r w:rsidRPr="00AC72DB">
        <w:rPr>
          <w:rFonts w:hint="cs"/>
          <w:rtl/>
        </w:rPr>
        <w:t>ی</w:t>
      </w:r>
      <w:r w:rsidRPr="00AC72DB">
        <w:rPr>
          <w:rFonts w:hint="eastAsia"/>
          <w:rtl/>
        </w:rPr>
        <w:t>ل</w:t>
      </w:r>
      <w:r w:rsidRPr="00AC72DB">
        <w:rPr>
          <w:rtl/>
        </w:rPr>
        <w:t xml:space="preserve"> مسائل الشر</w:t>
      </w:r>
      <w:r w:rsidRPr="00AC72DB">
        <w:rPr>
          <w:rFonts w:hint="cs"/>
          <w:rtl/>
        </w:rPr>
        <w:t>ی</w:t>
      </w:r>
      <w:r w:rsidRPr="00AC72DB">
        <w:rPr>
          <w:rFonts w:hint="eastAsia"/>
          <w:rtl/>
        </w:rPr>
        <w:t>عة،</w:t>
      </w:r>
      <w:r w:rsidRPr="00AC72DB">
        <w:rPr>
          <w:rtl/>
        </w:rPr>
        <w:t xml:space="preserve"> جلد: ۸، صفحه: ۲۵۰</w:t>
      </w:r>
      <w:r>
        <w:rPr>
          <w:rFonts w:hint="cs"/>
          <w:rtl/>
        </w:rPr>
        <w:t xml:space="preserve">. </w:t>
      </w:r>
    </w:p>
  </w:footnote>
  <w:footnote w:id="8">
    <w:p w14:paraId="3B0DF665" w14:textId="0736E0FC" w:rsidR="00A747BA" w:rsidRDefault="00A747BA" w:rsidP="00A747BA">
      <w:pPr>
        <w:pStyle w:val="a9"/>
      </w:pPr>
      <w:r>
        <w:rPr>
          <w:rStyle w:val="ab"/>
        </w:rPr>
        <w:footnoteRef/>
      </w:r>
      <w:r>
        <w:rPr>
          <w:rtl/>
        </w:rPr>
        <w:t xml:space="preserve"> </w:t>
      </w:r>
      <w:r>
        <w:rPr>
          <w:rFonts w:hint="cs"/>
          <w:rtl/>
        </w:rPr>
        <w:t>.</w:t>
      </w:r>
      <w:r>
        <w:rPr>
          <w:rtl/>
        </w:rPr>
        <w:t xml:space="preserve"> </w:t>
      </w:r>
      <w:r w:rsidRPr="00A747BA">
        <w:rPr>
          <w:rtl/>
        </w:rPr>
        <w:t>الكافي (ط - الإسلامية)، ج‏3، ص: 357</w:t>
      </w:r>
      <w:r>
        <w:rPr>
          <w:rFonts w:hint="cs"/>
          <w:rtl/>
        </w:rPr>
        <w:t xml:space="preserve">. </w:t>
      </w:r>
    </w:p>
  </w:footnote>
  <w:footnote w:id="9">
    <w:p w14:paraId="7BBD8D6A" w14:textId="00431897" w:rsidR="00BC0F5C" w:rsidRDefault="00BC0F5C" w:rsidP="00BC0F5C">
      <w:pPr>
        <w:pStyle w:val="a9"/>
      </w:pPr>
      <w:r>
        <w:rPr>
          <w:rStyle w:val="ab"/>
        </w:rPr>
        <w:footnoteRef/>
      </w:r>
      <w:r>
        <w:rPr>
          <w:rtl/>
        </w:rPr>
        <w:t xml:space="preserve"> </w:t>
      </w:r>
      <w:r>
        <w:rPr>
          <w:rFonts w:hint="cs"/>
          <w:rtl/>
        </w:rPr>
        <w:t xml:space="preserve">. </w:t>
      </w:r>
      <w:r w:rsidRPr="00BC0F5C">
        <w:rPr>
          <w:rtl/>
        </w:rPr>
        <w:t>من لا يحضره الفقيه، ج‏1، ص: 346</w:t>
      </w:r>
      <w:r>
        <w:rPr>
          <w:rFonts w:hint="cs"/>
          <w:rtl/>
        </w:rPr>
        <w:t xml:space="preserve">. </w:t>
      </w:r>
    </w:p>
  </w:footnote>
  <w:footnote w:id="10">
    <w:p w14:paraId="2C9A9DBB" w14:textId="344784AE" w:rsidR="00396F5E" w:rsidRDefault="00396F5E" w:rsidP="00396F5E">
      <w:pPr>
        <w:pStyle w:val="a9"/>
      </w:pPr>
      <w:r>
        <w:rPr>
          <w:rStyle w:val="ab"/>
        </w:rPr>
        <w:footnoteRef/>
      </w:r>
      <w:r>
        <w:rPr>
          <w:rtl/>
        </w:rPr>
        <w:t xml:space="preserve"> </w:t>
      </w:r>
      <w:r>
        <w:rPr>
          <w:rFonts w:hint="cs"/>
          <w:rtl/>
        </w:rPr>
        <w:t xml:space="preserve">. </w:t>
      </w:r>
      <w:r w:rsidRPr="00396F5E">
        <w:rPr>
          <w:rtl/>
        </w:rPr>
        <w:t>من لا يحضره الفقيه، ج‏4، ص: 461</w:t>
      </w:r>
      <w:r>
        <w:rPr>
          <w:rFonts w:hint="cs"/>
          <w:rtl/>
        </w:rPr>
        <w:t xml:space="preserve">. </w:t>
      </w:r>
    </w:p>
  </w:footnote>
  <w:footnote w:id="11">
    <w:p w14:paraId="5D0BA3F4" w14:textId="3F96CE04" w:rsidR="00396F5E" w:rsidRDefault="00396F5E" w:rsidP="00396F5E">
      <w:pPr>
        <w:pStyle w:val="a9"/>
      </w:pPr>
      <w:r>
        <w:rPr>
          <w:rStyle w:val="ab"/>
        </w:rPr>
        <w:footnoteRef/>
      </w:r>
      <w:r>
        <w:rPr>
          <w:rtl/>
        </w:rPr>
        <w:t xml:space="preserve"> </w:t>
      </w:r>
      <w:r>
        <w:rPr>
          <w:rFonts w:hint="cs"/>
          <w:rtl/>
        </w:rPr>
        <w:t>.</w:t>
      </w:r>
      <w:r w:rsidRPr="00396F5E">
        <w:rPr>
          <w:rtl/>
        </w:rPr>
        <w:t>تهذيب الأحكام (تحقيق خرسان)، ج‏2، ص: 158</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8300" w14:textId="6433B358" w:rsidR="00AF102F" w:rsidRPr="00F16B53" w:rsidRDefault="00EE54EA" w:rsidP="008119B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A014DB"/>
    <w:multiLevelType w:val="hybridMultilevel"/>
    <w:tmpl w:val="E69A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76F4E"/>
    <w:multiLevelType w:val="hybridMultilevel"/>
    <w:tmpl w:val="41E0AFA0"/>
    <w:lvl w:ilvl="0" w:tplc="BA586D3E">
      <w:numFmt w:val="bullet"/>
      <w:lvlText w:val="-"/>
      <w:lvlJc w:val="left"/>
      <w:pPr>
        <w:ind w:left="783" w:hanging="360"/>
      </w:pPr>
      <w:rPr>
        <w:rFonts w:ascii="Calibri" w:eastAsia="Calibri" w:hAnsi="Calibri" w:cs="B Badr"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1D237948"/>
    <w:multiLevelType w:val="hybridMultilevel"/>
    <w:tmpl w:val="BB728CE6"/>
    <w:lvl w:ilvl="0" w:tplc="C6E6F0CE">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nsid w:val="2EC0413A"/>
    <w:multiLevelType w:val="hybridMultilevel"/>
    <w:tmpl w:val="CA8868B0"/>
    <w:lvl w:ilvl="0" w:tplc="FAA659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02DAE"/>
    <w:multiLevelType w:val="hybridMultilevel"/>
    <w:tmpl w:val="CE24E07A"/>
    <w:lvl w:ilvl="0" w:tplc="18FA9894">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E4045"/>
    <w:multiLevelType w:val="hybridMultilevel"/>
    <w:tmpl w:val="4ED2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B53F8"/>
    <w:multiLevelType w:val="hybridMultilevel"/>
    <w:tmpl w:val="A3F6C68E"/>
    <w:lvl w:ilvl="0" w:tplc="1F7AD3D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231FC"/>
    <w:multiLevelType w:val="hybridMultilevel"/>
    <w:tmpl w:val="EFD8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A7B6C"/>
    <w:multiLevelType w:val="hybridMultilevel"/>
    <w:tmpl w:val="3FD8B8A6"/>
    <w:lvl w:ilvl="0" w:tplc="75E2C9E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56DE7"/>
    <w:multiLevelType w:val="hybridMultilevel"/>
    <w:tmpl w:val="F228B20A"/>
    <w:lvl w:ilvl="0" w:tplc="469EA9F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03156"/>
    <w:multiLevelType w:val="hybridMultilevel"/>
    <w:tmpl w:val="C8062C40"/>
    <w:lvl w:ilvl="0" w:tplc="F5F68C3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5">
    <w:nsid w:val="76E73D1B"/>
    <w:multiLevelType w:val="hybridMultilevel"/>
    <w:tmpl w:val="5C0221AA"/>
    <w:lvl w:ilvl="0" w:tplc="637CFB9C">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7A167D86"/>
    <w:multiLevelType w:val="hybridMultilevel"/>
    <w:tmpl w:val="D38E7BFC"/>
    <w:lvl w:ilvl="0" w:tplc="5C4EB26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F17E0"/>
    <w:multiLevelType w:val="hybridMultilevel"/>
    <w:tmpl w:val="739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8"/>
  </w:num>
  <w:num w:numId="14">
    <w:abstractNumId w:val="19"/>
  </w:num>
  <w:num w:numId="15">
    <w:abstractNumId w:val="21"/>
  </w:num>
  <w:num w:numId="16">
    <w:abstractNumId w:val="24"/>
  </w:num>
  <w:num w:numId="17">
    <w:abstractNumId w:val="13"/>
  </w:num>
  <w:num w:numId="18">
    <w:abstractNumId w:val="15"/>
  </w:num>
  <w:num w:numId="19">
    <w:abstractNumId w:val="25"/>
  </w:num>
  <w:num w:numId="20">
    <w:abstractNumId w:val="12"/>
  </w:num>
  <w:num w:numId="21">
    <w:abstractNumId w:val="27"/>
  </w:num>
  <w:num w:numId="22">
    <w:abstractNumId w:val="11"/>
  </w:num>
  <w:num w:numId="23">
    <w:abstractNumId w:val="20"/>
  </w:num>
  <w:num w:numId="24">
    <w:abstractNumId w:val="22"/>
  </w:num>
  <w:num w:numId="25">
    <w:abstractNumId w:val="14"/>
  </w:num>
  <w:num w:numId="26">
    <w:abstractNumId w:val="17"/>
  </w:num>
  <w:num w:numId="27">
    <w:abstractNumId w:val="26"/>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398C"/>
    <w:rsid w:val="00025777"/>
    <w:rsid w:val="00025B70"/>
    <w:rsid w:val="000310BF"/>
    <w:rsid w:val="000353D7"/>
    <w:rsid w:val="00055496"/>
    <w:rsid w:val="00062DB5"/>
    <w:rsid w:val="00080A41"/>
    <w:rsid w:val="00082514"/>
    <w:rsid w:val="0008299B"/>
    <w:rsid w:val="000913AA"/>
    <w:rsid w:val="00094847"/>
    <w:rsid w:val="00096C63"/>
    <w:rsid w:val="000A0D9F"/>
    <w:rsid w:val="000B5DB5"/>
    <w:rsid w:val="000C0B1F"/>
    <w:rsid w:val="000C3947"/>
    <w:rsid w:val="000D2A37"/>
    <w:rsid w:val="000D30E9"/>
    <w:rsid w:val="000D6818"/>
    <w:rsid w:val="000E335E"/>
    <w:rsid w:val="000F16CF"/>
    <w:rsid w:val="000F549F"/>
    <w:rsid w:val="000F5BAC"/>
    <w:rsid w:val="00100CFC"/>
    <w:rsid w:val="00102585"/>
    <w:rsid w:val="00114AB7"/>
    <w:rsid w:val="00116B2B"/>
    <w:rsid w:val="00124E3D"/>
    <w:rsid w:val="00127E95"/>
    <w:rsid w:val="00130659"/>
    <w:rsid w:val="001347C7"/>
    <w:rsid w:val="001356B0"/>
    <w:rsid w:val="00151937"/>
    <w:rsid w:val="00165491"/>
    <w:rsid w:val="00177064"/>
    <w:rsid w:val="00181844"/>
    <w:rsid w:val="001837E9"/>
    <w:rsid w:val="00187DFA"/>
    <w:rsid w:val="00190B04"/>
    <w:rsid w:val="0019596D"/>
    <w:rsid w:val="00196E44"/>
    <w:rsid w:val="001A1BC1"/>
    <w:rsid w:val="001A1EA5"/>
    <w:rsid w:val="001A2574"/>
    <w:rsid w:val="001A27D7"/>
    <w:rsid w:val="001A294E"/>
    <w:rsid w:val="001A4ED8"/>
    <w:rsid w:val="001B2488"/>
    <w:rsid w:val="001B6799"/>
    <w:rsid w:val="001C1362"/>
    <w:rsid w:val="001C368A"/>
    <w:rsid w:val="001D2E9A"/>
    <w:rsid w:val="001D597F"/>
    <w:rsid w:val="001D6265"/>
    <w:rsid w:val="001E3FD4"/>
    <w:rsid w:val="0020241A"/>
    <w:rsid w:val="00203821"/>
    <w:rsid w:val="00206A63"/>
    <w:rsid w:val="00211632"/>
    <w:rsid w:val="0021630D"/>
    <w:rsid w:val="00217390"/>
    <w:rsid w:val="00226F15"/>
    <w:rsid w:val="0023515C"/>
    <w:rsid w:val="0024121B"/>
    <w:rsid w:val="00245840"/>
    <w:rsid w:val="00247D2F"/>
    <w:rsid w:val="00256560"/>
    <w:rsid w:val="00257052"/>
    <w:rsid w:val="0027605E"/>
    <w:rsid w:val="00281E00"/>
    <w:rsid w:val="002849BE"/>
    <w:rsid w:val="002944A3"/>
    <w:rsid w:val="00294A52"/>
    <w:rsid w:val="002A3EEE"/>
    <w:rsid w:val="002B575F"/>
    <w:rsid w:val="002B729B"/>
    <w:rsid w:val="002C1A15"/>
    <w:rsid w:val="002C23B5"/>
    <w:rsid w:val="002C53A2"/>
    <w:rsid w:val="002D0040"/>
    <w:rsid w:val="002D1D03"/>
    <w:rsid w:val="002D2FA8"/>
    <w:rsid w:val="002E220F"/>
    <w:rsid w:val="002E3E2A"/>
    <w:rsid w:val="002E54A3"/>
    <w:rsid w:val="00307311"/>
    <w:rsid w:val="00307F62"/>
    <w:rsid w:val="00314ECD"/>
    <w:rsid w:val="0032100F"/>
    <w:rsid w:val="00332D0D"/>
    <w:rsid w:val="0033402C"/>
    <w:rsid w:val="00336932"/>
    <w:rsid w:val="00340521"/>
    <w:rsid w:val="00345C73"/>
    <w:rsid w:val="0035095C"/>
    <w:rsid w:val="00354A99"/>
    <w:rsid w:val="003552F0"/>
    <w:rsid w:val="00360311"/>
    <w:rsid w:val="00361922"/>
    <w:rsid w:val="0037339B"/>
    <w:rsid w:val="00374FD8"/>
    <w:rsid w:val="00386C11"/>
    <w:rsid w:val="003967CC"/>
    <w:rsid w:val="00396F5E"/>
    <w:rsid w:val="00397466"/>
    <w:rsid w:val="003A3806"/>
    <w:rsid w:val="003A6148"/>
    <w:rsid w:val="003C33F6"/>
    <w:rsid w:val="003C3D2E"/>
    <w:rsid w:val="003C43A5"/>
    <w:rsid w:val="003E1C5C"/>
    <w:rsid w:val="003E6650"/>
    <w:rsid w:val="003F452D"/>
    <w:rsid w:val="003F5B46"/>
    <w:rsid w:val="00401363"/>
    <w:rsid w:val="00402E47"/>
    <w:rsid w:val="00425015"/>
    <w:rsid w:val="00430994"/>
    <w:rsid w:val="00441B6D"/>
    <w:rsid w:val="004556EF"/>
    <w:rsid w:val="0045748E"/>
    <w:rsid w:val="00462B07"/>
    <w:rsid w:val="00463C4E"/>
    <w:rsid w:val="00465BD2"/>
    <w:rsid w:val="004715C8"/>
    <w:rsid w:val="00481C31"/>
    <w:rsid w:val="00482FC1"/>
    <w:rsid w:val="00483027"/>
    <w:rsid w:val="004871AA"/>
    <w:rsid w:val="004918D7"/>
    <w:rsid w:val="004926E1"/>
    <w:rsid w:val="004A2FEA"/>
    <w:rsid w:val="004B588D"/>
    <w:rsid w:val="004C5F66"/>
    <w:rsid w:val="004D2DD7"/>
    <w:rsid w:val="004D7307"/>
    <w:rsid w:val="004D75C5"/>
    <w:rsid w:val="004E2186"/>
    <w:rsid w:val="004E66CE"/>
    <w:rsid w:val="004E66FB"/>
    <w:rsid w:val="004F470A"/>
    <w:rsid w:val="004F4C59"/>
    <w:rsid w:val="00500C8F"/>
    <w:rsid w:val="00501909"/>
    <w:rsid w:val="00507BBB"/>
    <w:rsid w:val="00511D2D"/>
    <w:rsid w:val="005128DF"/>
    <w:rsid w:val="0051592A"/>
    <w:rsid w:val="005206FE"/>
    <w:rsid w:val="005257ED"/>
    <w:rsid w:val="005306F8"/>
    <w:rsid w:val="0054023D"/>
    <w:rsid w:val="005426BF"/>
    <w:rsid w:val="0056213C"/>
    <w:rsid w:val="00566AEA"/>
    <w:rsid w:val="00580C24"/>
    <w:rsid w:val="00582CFD"/>
    <w:rsid w:val="00587A9A"/>
    <w:rsid w:val="005968EF"/>
    <w:rsid w:val="00596C1E"/>
    <w:rsid w:val="005A2E26"/>
    <w:rsid w:val="005B7BCA"/>
    <w:rsid w:val="005C0DAE"/>
    <w:rsid w:val="005C188E"/>
    <w:rsid w:val="005D2349"/>
    <w:rsid w:val="005E1B60"/>
    <w:rsid w:val="005E5507"/>
    <w:rsid w:val="005E607B"/>
    <w:rsid w:val="005F0A8D"/>
    <w:rsid w:val="006010E0"/>
    <w:rsid w:val="00601229"/>
    <w:rsid w:val="00603B67"/>
    <w:rsid w:val="0060764D"/>
    <w:rsid w:val="006162A2"/>
    <w:rsid w:val="006162C1"/>
    <w:rsid w:val="006240DA"/>
    <w:rsid w:val="0063009F"/>
    <w:rsid w:val="0063256E"/>
    <w:rsid w:val="00633F04"/>
    <w:rsid w:val="00635219"/>
    <w:rsid w:val="00635EC0"/>
    <w:rsid w:val="00640B58"/>
    <w:rsid w:val="00651B02"/>
    <w:rsid w:val="00651B19"/>
    <w:rsid w:val="00652B2F"/>
    <w:rsid w:val="006534AE"/>
    <w:rsid w:val="006605DA"/>
    <w:rsid w:val="00660A29"/>
    <w:rsid w:val="00692F72"/>
    <w:rsid w:val="00695519"/>
    <w:rsid w:val="00697127"/>
    <w:rsid w:val="006A0C55"/>
    <w:rsid w:val="006A4134"/>
    <w:rsid w:val="006A5DDA"/>
    <w:rsid w:val="006A6701"/>
    <w:rsid w:val="006B21F4"/>
    <w:rsid w:val="006B3753"/>
    <w:rsid w:val="006B7AD6"/>
    <w:rsid w:val="006C50FD"/>
    <w:rsid w:val="006D1DD4"/>
    <w:rsid w:val="006D4014"/>
    <w:rsid w:val="006D44C1"/>
    <w:rsid w:val="006D5804"/>
    <w:rsid w:val="006E5651"/>
    <w:rsid w:val="006E5B85"/>
    <w:rsid w:val="006F026A"/>
    <w:rsid w:val="0070265B"/>
    <w:rsid w:val="00704813"/>
    <w:rsid w:val="007171D1"/>
    <w:rsid w:val="0072290D"/>
    <w:rsid w:val="00723D6D"/>
    <w:rsid w:val="00724537"/>
    <w:rsid w:val="00731724"/>
    <w:rsid w:val="0073474B"/>
    <w:rsid w:val="00735511"/>
    <w:rsid w:val="00737208"/>
    <w:rsid w:val="00744DE6"/>
    <w:rsid w:val="00762452"/>
    <w:rsid w:val="007639E0"/>
    <w:rsid w:val="00773F6C"/>
    <w:rsid w:val="00775507"/>
    <w:rsid w:val="00783473"/>
    <w:rsid w:val="0078594B"/>
    <w:rsid w:val="00795D8B"/>
    <w:rsid w:val="00795E02"/>
    <w:rsid w:val="007979D0"/>
    <w:rsid w:val="007A4E18"/>
    <w:rsid w:val="007A51AD"/>
    <w:rsid w:val="007A7B8C"/>
    <w:rsid w:val="007B4D1F"/>
    <w:rsid w:val="007C6D9E"/>
    <w:rsid w:val="007D1C43"/>
    <w:rsid w:val="007D6C53"/>
    <w:rsid w:val="007E1564"/>
    <w:rsid w:val="007E1E87"/>
    <w:rsid w:val="007E5B3F"/>
    <w:rsid w:val="007F2257"/>
    <w:rsid w:val="0080091D"/>
    <w:rsid w:val="00804108"/>
    <w:rsid w:val="00804FC4"/>
    <w:rsid w:val="008119BA"/>
    <w:rsid w:val="00814231"/>
    <w:rsid w:val="00816367"/>
    <w:rsid w:val="00816A0B"/>
    <w:rsid w:val="00824B22"/>
    <w:rsid w:val="008265A5"/>
    <w:rsid w:val="00830C53"/>
    <w:rsid w:val="00831301"/>
    <w:rsid w:val="00837FAA"/>
    <w:rsid w:val="00841F77"/>
    <w:rsid w:val="0085060E"/>
    <w:rsid w:val="00851AA3"/>
    <w:rsid w:val="0085276D"/>
    <w:rsid w:val="00862A53"/>
    <w:rsid w:val="00863390"/>
    <w:rsid w:val="0086385C"/>
    <w:rsid w:val="00867E5F"/>
    <w:rsid w:val="00871916"/>
    <w:rsid w:val="00875DD5"/>
    <w:rsid w:val="00875FB1"/>
    <w:rsid w:val="008956DD"/>
    <w:rsid w:val="008A1E66"/>
    <w:rsid w:val="008A510E"/>
    <w:rsid w:val="008A522A"/>
    <w:rsid w:val="008B4464"/>
    <w:rsid w:val="008B750B"/>
    <w:rsid w:val="008C3162"/>
    <w:rsid w:val="008D1F14"/>
    <w:rsid w:val="008E3924"/>
    <w:rsid w:val="008F13F7"/>
    <w:rsid w:val="008F5B4D"/>
    <w:rsid w:val="00907425"/>
    <w:rsid w:val="009210C5"/>
    <w:rsid w:val="00923C34"/>
    <w:rsid w:val="00924152"/>
    <w:rsid w:val="0092513D"/>
    <w:rsid w:val="00927A9F"/>
    <w:rsid w:val="00927BC7"/>
    <w:rsid w:val="009335CC"/>
    <w:rsid w:val="00935A55"/>
    <w:rsid w:val="00941CEB"/>
    <w:rsid w:val="00942937"/>
    <w:rsid w:val="0094720F"/>
    <w:rsid w:val="00953B28"/>
    <w:rsid w:val="00954322"/>
    <w:rsid w:val="00957CAA"/>
    <w:rsid w:val="00961C91"/>
    <w:rsid w:val="0096778A"/>
    <w:rsid w:val="00972B15"/>
    <w:rsid w:val="00977656"/>
    <w:rsid w:val="009846A7"/>
    <w:rsid w:val="0098794D"/>
    <w:rsid w:val="0099497B"/>
    <w:rsid w:val="009A43BA"/>
    <w:rsid w:val="009B0D05"/>
    <w:rsid w:val="009B4CA6"/>
    <w:rsid w:val="009B79F8"/>
    <w:rsid w:val="009C66D5"/>
    <w:rsid w:val="009D13FD"/>
    <w:rsid w:val="009D266A"/>
    <w:rsid w:val="009D7634"/>
    <w:rsid w:val="009E4831"/>
    <w:rsid w:val="009F788E"/>
    <w:rsid w:val="009F7E07"/>
    <w:rsid w:val="00A01522"/>
    <w:rsid w:val="00A10A11"/>
    <w:rsid w:val="00A13C6A"/>
    <w:rsid w:val="00A155A0"/>
    <w:rsid w:val="00A17B09"/>
    <w:rsid w:val="00A22EDB"/>
    <w:rsid w:val="00A3004C"/>
    <w:rsid w:val="00A457C6"/>
    <w:rsid w:val="00A46AD0"/>
    <w:rsid w:val="00A47063"/>
    <w:rsid w:val="00A473A8"/>
    <w:rsid w:val="00A513F0"/>
    <w:rsid w:val="00A54FCF"/>
    <w:rsid w:val="00A61AC8"/>
    <w:rsid w:val="00A6366F"/>
    <w:rsid w:val="00A65D4C"/>
    <w:rsid w:val="00A70512"/>
    <w:rsid w:val="00A71333"/>
    <w:rsid w:val="00A747BA"/>
    <w:rsid w:val="00A80E84"/>
    <w:rsid w:val="00AA1F60"/>
    <w:rsid w:val="00AA40D7"/>
    <w:rsid w:val="00AA66CA"/>
    <w:rsid w:val="00AB45C4"/>
    <w:rsid w:val="00AB5F7D"/>
    <w:rsid w:val="00AC0C50"/>
    <w:rsid w:val="00AC6FE2"/>
    <w:rsid w:val="00AC72DB"/>
    <w:rsid w:val="00AD74D4"/>
    <w:rsid w:val="00AF102F"/>
    <w:rsid w:val="00AF3925"/>
    <w:rsid w:val="00B1296B"/>
    <w:rsid w:val="00B165C7"/>
    <w:rsid w:val="00B20267"/>
    <w:rsid w:val="00B2292F"/>
    <w:rsid w:val="00B43169"/>
    <w:rsid w:val="00B501A8"/>
    <w:rsid w:val="00B55AE4"/>
    <w:rsid w:val="00B70B46"/>
    <w:rsid w:val="00B739B0"/>
    <w:rsid w:val="00B74A7C"/>
    <w:rsid w:val="00B814A3"/>
    <w:rsid w:val="00B87096"/>
    <w:rsid w:val="00B96F38"/>
    <w:rsid w:val="00BC0F5C"/>
    <w:rsid w:val="00BC2862"/>
    <w:rsid w:val="00BC492C"/>
    <w:rsid w:val="00BC716B"/>
    <w:rsid w:val="00BD0E74"/>
    <w:rsid w:val="00BD1E35"/>
    <w:rsid w:val="00BD5F8C"/>
    <w:rsid w:val="00BE29DD"/>
    <w:rsid w:val="00BF11B7"/>
    <w:rsid w:val="00BF2D7B"/>
    <w:rsid w:val="00C066AF"/>
    <w:rsid w:val="00C10E06"/>
    <w:rsid w:val="00C145B8"/>
    <w:rsid w:val="00C2438F"/>
    <w:rsid w:val="00C31AF0"/>
    <w:rsid w:val="00C32899"/>
    <w:rsid w:val="00C32A7E"/>
    <w:rsid w:val="00C34F28"/>
    <w:rsid w:val="00C368DF"/>
    <w:rsid w:val="00C442C5"/>
    <w:rsid w:val="00C44EFA"/>
    <w:rsid w:val="00C57B5C"/>
    <w:rsid w:val="00C57C7C"/>
    <w:rsid w:val="00C61049"/>
    <w:rsid w:val="00C63FFE"/>
    <w:rsid w:val="00C84BD4"/>
    <w:rsid w:val="00C91063"/>
    <w:rsid w:val="00C91EB6"/>
    <w:rsid w:val="00CA10B0"/>
    <w:rsid w:val="00CA2A9F"/>
    <w:rsid w:val="00CA2F8E"/>
    <w:rsid w:val="00CA3EE2"/>
    <w:rsid w:val="00CA7FD5"/>
    <w:rsid w:val="00CB3287"/>
    <w:rsid w:val="00CB33E2"/>
    <w:rsid w:val="00CB4E68"/>
    <w:rsid w:val="00CC2733"/>
    <w:rsid w:val="00CD0050"/>
    <w:rsid w:val="00CD4DA9"/>
    <w:rsid w:val="00CE7481"/>
    <w:rsid w:val="00CF0A8F"/>
    <w:rsid w:val="00CF451A"/>
    <w:rsid w:val="00D048CE"/>
    <w:rsid w:val="00D10998"/>
    <w:rsid w:val="00D15CBD"/>
    <w:rsid w:val="00D221CB"/>
    <w:rsid w:val="00D23391"/>
    <w:rsid w:val="00D31805"/>
    <w:rsid w:val="00D450C5"/>
    <w:rsid w:val="00D552B9"/>
    <w:rsid w:val="00D735B2"/>
    <w:rsid w:val="00D74021"/>
    <w:rsid w:val="00D7529F"/>
    <w:rsid w:val="00D75A51"/>
    <w:rsid w:val="00D76D01"/>
    <w:rsid w:val="00D81E74"/>
    <w:rsid w:val="00D84AFE"/>
    <w:rsid w:val="00D922A9"/>
    <w:rsid w:val="00D9394A"/>
    <w:rsid w:val="00DB0CBB"/>
    <w:rsid w:val="00DB67CC"/>
    <w:rsid w:val="00DB6A05"/>
    <w:rsid w:val="00DC3783"/>
    <w:rsid w:val="00DC7C6D"/>
    <w:rsid w:val="00DE1070"/>
    <w:rsid w:val="00E00219"/>
    <w:rsid w:val="00E0316B"/>
    <w:rsid w:val="00E25E10"/>
    <w:rsid w:val="00E42C07"/>
    <w:rsid w:val="00E46731"/>
    <w:rsid w:val="00E50B41"/>
    <w:rsid w:val="00E5219B"/>
    <w:rsid w:val="00E52BFB"/>
    <w:rsid w:val="00E52D07"/>
    <w:rsid w:val="00E548C4"/>
    <w:rsid w:val="00E5518B"/>
    <w:rsid w:val="00E609FE"/>
    <w:rsid w:val="00E630BE"/>
    <w:rsid w:val="00E64767"/>
    <w:rsid w:val="00E75920"/>
    <w:rsid w:val="00E80D96"/>
    <w:rsid w:val="00E829B8"/>
    <w:rsid w:val="00E871FA"/>
    <w:rsid w:val="00E936A4"/>
    <w:rsid w:val="00E954BB"/>
    <w:rsid w:val="00EA45E7"/>
    <w:rsid w:val="00EB488D"/>
    <w:rsid w:val="00EB78E3"/>
    <w:rsid w:val="00EB7BE3"/>
    <w:rsid w:val="00EC1C4B"/>
    <w:rsid w:val="00EC735A"/>
    <w:rsid w:val="00ED5F38"/>
    <w:rsid w:val="00EE54EA"/>
    <w:rsid w:val="00EF06E7"/>
    <w:rsid w:val="00EF27FE"/>
    <w:rsid w:val="00F07FB6"/>
    <w:rsid w:val="00F10222"/>
    <w:rsid w:val="00F149D0"/>
    <w:rsid w:val="00F16B53"/>
    <w:rsid w:val="00F23282"/>
    <w:rsid w:val="00F25ECD"/>
    <w:rsid w:val="00F318BE"/>
    <w:rsid w:val="00F33297"/>
    <w:rsid w:val="00F343FB"/>
    <w:rsid w:val="00F359FE"/>
    <w:rsid w:val="00F42159"/>
    <w:rsid w:val="00F4256E"/>
    <w:rsid w:val="00F42EE1"/>
    <w:rsid w:val="00F60F1F"/>
    <w:rsid w:val="00F64141"/>
    <w:rsid w:val="00F67508"/>
    <w:rsid w:val="00F71FC9"/>
    <w:rsid w:val="00F73B48"/>
    <w:rsid w:val="00F745B9"/>
    <w:rsid w:val="00F74F51"/>
    <w:rsid w:val="00F842AD"/>
    <w:rsid w:val="00F914EB"/>
    <w:rsid w:val="00F91B85"/>
    <w:rsid w:val="00F938E7"/>
    <w:rsid w:val="00FA20E1"/>
    <w:rsid w:val="00FA3B17"/>
    <w:rsid w:val="00FA5E8D"/>
    <w:rsid w:val="00FA5F3D"/>
    <w:rsid w:val="00FB399E"/>
    <w:rsid w:val="00FB7F50"/>
    <w:rsid w:val="00FC2A85"/>
    <w:rsid w:val="00FC40AF"/>
    <w:rsid w:val="00FC73B9"/>
    <w:rsid w:val="00FD0A16"/>
    <w:rsid w:val="00FD658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C76B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annotation reference"/>
    <w:basedOn w:val="a1"/>
    <w:uiPriority w:val="99"/>
    <w:semiHidden/>
    <w:unhideWhenUsed/>
    <w:rsid w:val="004D7307"/>
    <w:rPr>
      <w:sz w:val="16"/>
      <w:szCs w:val="16"/>
    </w:rPr>
  </w:style>
  <w:style w:type="paragraph" w:styleId="afa">
    <w:name w:val="annotation text"/>
    <w:basedOn w:val="a0"/>
    <w:link w:val="afb"/>
    <w:uiPriority w:val="99"/>
    <w:semiHidden/>
    <w:unhideWhenUsed/>
    <w:rsid w:val="004D7307"/>
    <w:pPr>
      <w:spacing w:line="240" w:lineRule="auto"/>
    </w:pPr>
    <w:rPr>
      <w:sz w:val="20"/>
      <w:szCs w:val="20"/>
    </w:rPr>
  </w:style>
  <w:style w:type="character" w:customStyle="1" w:styleId="afb">
    <w:name w:val="متن نظر نویسه"/>
    <w:basedOn w:val="a1"/>
    <w:link w:val="afa"/>
    <w:uiPriority w:val="99"/>
    <w:semiHidden/>
    <w:rsid w:val="004D7307"/>
    <w:rPr>
      <w:rFonts w:cs="B Badr"/>
    </w:rPr>
  </w:style>
  <w:style w:type="paragraph" w:styleId="afc">
    <w:name w:val="annotation subject"/>
    <w:basedOn w:val="afa"/>
    <w:next w:val="afa"/>
    <w:link w:val="afd"/>
    <w:uiPriority w:val="99"/>
    <w:semiHidden/>
    <w:unhideWhenUsed/>
    <w:rsid w:val="004D7307"/>
    <w:rPr>
      <w:b/>
      <w:bCs/>
    </w:rPr>
  </w:style>
  <w:style w:type="character" w:customStyle="1" w:styleId="afd">
    <w:name w:val="موضوع توضیح نویسه"/>
    <w:basedOn w:val="afb"/>
    <w:link w:val="afc"/>
    <w:uiPriority w:val="99"/>
    <w:semiHidden/>
    <w:rsid w:val="004D7307"/>
    <w:rPr>
      <w:rFonts w:cs="B Badr"/>
      <w:b/>
      <w:bCs/>
    </w:rPr>
  </w:style>
  <w:style w:type="paragraph" w:styleId="afe">
    <w:name w:val="TOC Heading"/>
    <w:basedOn w:val="1"/>
    <w:next w:val="a0"/>
    <w:uiPriority w:val="39"/>
    <w:unhideWhenUsed/>
    <w:qFormat/>
    <w:rsid w:val="00BD1E35"/>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53793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213171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CD14-2CF4-4797-A8EC-67DF4233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134</TotalTime>
  <Pages>7</Pages>
  <Words>1907</Words>
  <Characters>10873</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12755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48</cp:revision>
  <cp:lastPrinted>2021-09-08T04:22:00Z</cp:lastPrinted>
  <dcterms:created xsi:type="dcterms:W3CDTF">2021-09-07T18:04:00Z</dcterms:created>
  <dcterms:modified xsi:type="dcterms:W3CDTF">2023-01-24T05:24:00Z</dcterms:modified>
  <cp:contentStatus>ویرایش 2.5</cp:contentStatus>
  <cp:version>2.7</cp:version>
</cp:coreProperties>
</file>