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/>
          <w:b w:val="0"/>
          <w:bCs w:val="0"/>
          <w:color w:val="auto"/>
          <w:sz w:val="22"/>
          <w:lang w:eastAsia="en-US" w:bidi="fa-IR"/>
        </w:rPr>
        <w:id w:val="-1646807843"/>
        <w:docPartObj>
          <w:docPartGallery w:val="Table of Contents"/>
          <w:docPartUnique/>
        </w:docPartObj>
      </w:sdtPr>
      <w:sdtEndPr>
        <w:rPr>
          <w:noProof/>
          <w:rtl/>
        </w:rPr>
      </w:sdtEndPr>
      <w:sdtContent>
        <w:bookmarkStart w:id="0" w:name="_GoBack" w:displacedByCustomXml="prev"/>
        <w:bookmarkEnd w:id="0" w:displacedByCustomXml="prev"/>
        <w:p w:rsidR="00D20656" w:rsidRDefault="00D20656" w:rsidP="00642264">
          <w:pPr>
            <w:pStyle w:val="TOCHeading"/>
            <w:jc w:val="both"/>
          </w:pPr>
          <w:r>
            <w:t>Contents</w:t>
          </w:r>
        </w:p>
        <w:p w:rsidR="00642264" w:rsidRDefault="00D20656" w:rsidP="00642264">
          <w:pPr>
            <w:pStyle w:val="TOC1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659571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خلاصه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جلسات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گذشته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Toc140659571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1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2264" w:rsidRDefault="00FC5391" w:rsidP="00642264">
          <w:pPr>
            <w:pStyle w:val="TOC1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hyperlink w:anchor="_Toc140659572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مفهوم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استثناء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Toc140659572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1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2264" w:rsidRDefault="00FC5391" w:rsidP="00642264">
          <w:pPr>
            <w:pStyle w:val="TOC3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hyperlink w:anchor="_Toc140659573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کلام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شهی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د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صدر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رحمه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الله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در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حلقات</w:t>
            </w:r>
            <w:r w:rsidR="00642264" w:rsidRPr="00FE6DC2">
              <w:rPr>
                <w:rStyle w:val="Hyperlink"/>
                <w:noProof/>
                <w:rtl/>
              </w:rPr>
              <w:t xml:space="preserve">: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عدم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ثبوت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مفهوم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برای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استثناء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Toc140659573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1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2264" w:rsidRDefault="00FC5391" w:rsidP="00642264">
          <w:pPr>
            <w:pStyle w:val="TOC3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hyperlink w:anchor="_Toc140659574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بررسی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کلام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شهید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صدر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رحمه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الله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در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حلقات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Toc140659574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2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2264" w:rsidRDefault="00FC5391" w:rsidP="00642264">
          <w:pPr>
            <w:pStyle w:val="TOC3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hyperlink w:anchor="_Toc140659575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تفاوت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بی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ن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جمله‌ی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استثنائیه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موجبه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و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نافیه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در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نظارت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به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سایر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عناوین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Toc140659575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2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2264" w:rsidRDefault="00FC5391" w:rsidP="00642264">
          <w:pPr>
            <w:pStyle w:val="TOC3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hyperlink w:anchor="_Toc140659576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مفهوم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حصر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Toc140659576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3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2264" w:rsidRDefault="00FC5391" w:rsidP="00642264">
          <w:pPr>
            <w:pStyle w:val="TOC3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hyperlink w:anchor="_Toc140659577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دلالت</w:t>
            </w:r>
            <w:r w:rsidR="00642264" w:rsidRPr="00FE6DC2">
              <w:rPr>
                <w:rStyle w:val="Hyperlink"/>
                <w:noProof/>
                <w:rtl/>
              </w:rPr>
              <w:t xml:space="preserve"> «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أنما</w:t>
            </w:r>
            <w:r w:rsidR="00642264" w:rsidRPr="00FE6DC2">
              <w:rPr>
                <w:rStyle w:val="Hyperlink"/>
                <w:rFonts w:ascii="NoorLotus" w:hAnsi="NoorLotus" w:hint="cs"/>
                <w:noProof/>
                <w:rtl/>
              </w:rPr>
              <w:t>»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بر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حصر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Toc140659577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5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2264" w:rsidRDefault="00FC5391" w:rsidP="00642264">
          <w:pPr>
            <w:pStyle w:val="TOC3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hyperlink w:anchor="_Toc140659578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عدم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افاده‌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ی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حصر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تقدیم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ما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حقه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التاخیر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Toc140659578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5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2264" w:rsidRDefault="00FC5391" w:rsidP="00642264">
          <w:pPr>
            <w:pStyle w:val="TOC3"/>
            <w:tabs>
              <w:tab w:val="right" w:leader="dot" w:pos="9016"/>
            </w:tabs>
            <w:jc w:val="both"/>
            <w:rPr>
              <w:rFonts w:eastAsiaTheme="minorEastAsia" w:cstheme="minorBidi"/>
              <w:noProof/>
              <w:szCs w:val="22"/>
              <w:rtl/>
            </w:rPr>
          </w:pPr>
          <w:hyperlink w:anchor="_Toc140659579" w:history="1"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دلالت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Arial" w:hAnsi="Arial" w:cs="Arial" w:hint="cs"/>
                <w:noProof/>
                <w:rtl/>
              </w:rPr>
              <w:t>ضم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یر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فصل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بر</w:t>
            </w:r>
            <w:r w:rsidR="00642264" w:rsidRPr="00FE6DC2">
              <w:rPr>
                <w:rStyle w:val="Hyperlink"/>
                <w:noProof/>
                <w:rtl/>
              </w:rPr>
              <w:t xml:space="preserve"> </w:t>
            </w:r>
            <w:r w:rsidR="00642264" w:rsidRPr="00FE6DC2">
              <w:rPr>
                <w:rStyle w:val="Hyperlink"/>
                <w:rFonts w:ascii="Sakkal Majalla" w:hAnsi="Sakkal Majalla" w:cs="Sakkal Majalla" w:hint="cs"/>
                <w:noProof/>
                <w:rtl/>
              </w:rPr>
              <w:t>حصر</w:t>
            </w:r>
            <w:r w:rsidR="00642264">
              <w:rPr>
                <w:noProof/>
                <w:webHidden/>
                <w:rtl/>
              </w:rPr>
              <w:tab/>
            </w:r>
            <w:r w:rsidR="00642264">
              <w:rPr>
                <w:rStyle w:val="Hyperlink"/>
                <w:noProof/>
                <w:rtl/>
              </w:rPr>
              <w:fldChar w:fldCharType="begin"/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noProof/>
                <w:webHidden/>
              </w:rPr>
              <w:instrText>PAGEREF</w:instrText>
            </w:r>
            <w:r w:rsidR="00642264">
              <w:rPr>
                <w:noProof/>
                <w:webHidden/>
                <w:rtl/>
              </w:rPr>
              <w:instrText xml:space="preserve"> _</w:instrText>
            </w:r>
            <w:r w:rsidR="00642264">
              <w:rPr>
                <w:noProof/>
                <w:webHidden/>
              </w:rPr>
              <w:instrText>Toc140659579 \h</w:instrText>
            </w:r>
            <w:r w:rsidR="00642264">
              <w:rPr>
                <w:noProof/>
                <w:webHidden/>
                <w:rtl/>
              </w:rPr>
              <w:instrText xml:space="preserve"> </w:instrText>
            </w:r>
            <w:r w:rsidR="00642264">
              <w:rPr>
                <w:rStyle w:val="Hyperlink"/>
                <w:noProof/>
                <w:rtl/>
              </w:rPr>
            </w:r>
            <w:r w:rsidR="00642264">
              <w:rPr>
                <w:rStyle w:val="Hyperlink"/>
                <w:noProof/>
                <w:rtl/>
              </w:rPr>
              <w:fldChar w:fldCharType="separate"/>
            </w:r>
            <w:r w:rsidR="008474E1">
              <w:rPr>
                <w:noProof/>
                <w:webHidden/>
                <w:rtl/>
              </w:rPr>
              <w:t>6</w:t>
            </w:r>
            <w:r w:rsidR="00642264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0656" w:rsidRDefault="00D20656" w:rsidP="00642264">
          <w:pPr>
            <w:jc w:val="both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42264" w:rsidRPr="00E73A59" w:rsidRDefault="00642264" w:rsidP="00E73A59">
      <w:pPr>
        <w:pStyle w:val="Heading1"/>
        <w:jc w:val="center"/>
        <w:rPr>
          <w:rtl/>
        </w:rPr>
      </w:pPr>
      <w:bookmarkStart w:id="1" w:name="_Toc140659571"/>
      <w:r w:rsidRPr="00E73A59">
        <w:rPr>
          <w:rFonts w:hint="cs"/>
          <w:rtl/>
        </w:rPr>
        <w:t>بسم الله الرحمن الرحیم</w:t>
      </w:r>
    </w:p>
    <w:p w:rsidR="00D72CC7" w:rsidRDefault="006F78B1" w:rsidP="00642264">
      <w:pPr>
        <w:pStyle w:val="Heading1"/>
        <w:jc w:val="both"/>
        <w:rPr>
          <w:rtl/>
        </w:rPr>
      </w:pPr>
      <w:r>
        <w:rPr>
          <w:rFonts w:hint="cs"/>
          <w:rtl/>
        </w:rPr>
        <w:t>خلاصه جلسات گذشته</w:t>
      </w:r>
      <w:bookmarkEnd w:id="1"/>
    </w:p>
    <w:p w:rsidR="006F78B1" w:rsidRDefault="006F78B1" w:rsidP="00642264">
      <w:pPr>
        <w:jc w:val="both"/>
        <w:rPr>
          <w:rtl/>
        </w:rPr>
      </w:pPr>
      <w:r>
        <w:rPr>
          <w:rFonts w:hint="cs"/>
          <w:rtl/>
        </w:rPr>
        <w:t>بحث در مفاهیم بود. صاحب کفایه رحمه الله قائل به عدم مفهوم مطلق برای جمله‌ی شرطیه و وصفیه شدند  و در مقابل مفهوم مطلق برای غایت در صورتی که غایت حکم باشد و استثناء و حصر را پذیرفتند. شهید صدر رحمه الله نیز فقط قائل به مفهوم مطلق برای جمله‌ی شرطیه و استثناء شدند. ولی ما فقط مفهوم مطلق در مفهوم استثناء و حصر پذیرفتیم.</w:t>
      </w:r>
    </w:p>
    <w:p w:rsidR="00D20656" w:rsidRDefault="00D20656" w:rsidP="00642264">
      <w:pPr>
        <w:pStyle w:val="Heading1"/>
        <w:jc w:val="both"/>
        <w:rPr>
          <w:rtl/>
        </w:rPr>
      </w:pPr>
      <w:bookmarkStart w:id="2" w:name="_Toc140659572"/>
      <w:r>
        <w:rPr>
          <w:rFonts w:hint="cs"/>
          <w:rtl/>
        </w:rPr>
        <w:t>مفهوم استثناء</w:t>
      </w:r>
      <w:bookmarkEnd w:id="2"/>
    </w:p>
    <w:p w:rsidR="00D72CC7" w:rsidRDefault="00D72CC7" w:rsidP="00642264">
      <w:pPr>
        <w:pStyle w:val="Heading3"/>
        <w:jc w:val="both"/>
        <w:rPr>
          <w:rtl/>
        </w:rPr>
      </w:pPr>
      <w:bookmarkStart w:id="3" w:name="_Toc140659573"/>
      <w:r>
        <w:rPr>
          <w:rFonts w:hint="cs"/>
          <w:rtl/>
        </w:rPr>
        <w:t>کلام شهید صدر</w:t>
      </w:r>
      <w:r w:rsidR="006F78B1">
        <w:rPr>
          <w:rFonts w:hint="cs"/>
          <w:rtl/>
        </w:rPr>
        <w:t xml:space="preserve"> رحمه الله</w:t>
      </w:r>
      <w:r>
        <w:rPr>
          <w:rFonts w:hint="cs"/>
          <w:rtl/>
        </w:rPr>
        <w:t xml:space="preserve"> در حلقات: عدم ثبوت مفهوم برای استثناء</w:t>
      </w:r>
      <w:bookmarkEnd w:id="3"/>
    </w:p>
    <w:p w:rsidR="00D72CC7" w:rsidRDefault="00D72CC7" w:rsidP="00D815D8">
      <w:pPr>
        <w:jc w:val="both"/>
        <w:rPr>
          <w:rtl/>
        </w:rPr>
      </w:pPr>
      <w:r>
        <w:rPr>
          <w:rFonts w:hint="cs"/>
          <w:rtl/>
        </w:rPr>
        <w:t xml:space="preserve">شهیدصدر </w:t>
      </w:r>
      <w:r w:rsidR="006F78B1">
        <w:rPr>
          <w:rFonts w:hint="cs"/>
          <w:rtl/>
        </w:rPr>
        <w:t xml:space="preserve">رحمه الله </w:t>
      </w:r>
      <w:r w:rsidR="00642264">
        <w:rPr>
          <w:rFonts w:hint="cs"/>
          <w:rtl/>
        </w:rPr>
        <w:t>در بحوث مفهوم مطلق را در شرط</w:t>
      </w:r>
      <w:r w:rsidR="00642264">
        <w:rPr>
          <w:rFonts w:cs="Sakkal Majalla" w:hint="cs"/>
          <w:rtl/>
        </w:rPr>
        <w:t>،</w:t>
      </w:r>
      <w:r>
        <w:rPr>
          <w:rFonts w:hint="cs"/>
          <w:rtl/>
        </w:rPr>
        <w:t xml:space="preserve"> استثناء و حصر پذیرفتند ولی در حلقه ثالثه که بعد از بحوث تالیف شده است مفهوم استثناء را نپذیرفتند. تعبیر ایشان در حلقه</w:t>
      </w:r>
      <w:r w:rsidR="006F78B1">
        <w:rPr>
          <w:rFonts w:hint="cs"/>
          <w:rtl/>
        </w:rPr>
        <w:t xml:space="preserve"> ثالثه این است در مفاد جمله‌</w:t>
      </w:r>
      <w:r>
        <w:rPr>
          <w:rFonts w:hint="cs"/>
          <w:rtl/>
        </w:rPr>
        <w:t>ی استثنائیه یعن</w:t>
      </w:r>
      <w:r w:rsidR="006F78B1">
        <w:rPr>
          <w:rFonts w:hint="cs"/>
          <w:rtl/>
        </w:rPr>
        <w:t xml:space="preserve">ی </w:t>
      </w:r>
      <w:r w:rsidR="00642264">
        <w:rPr>
          <w:rFonts w:hint="cs"/>
          <w:rtl/>
        </w:rPr>
        <w:t>«</w:t>
      </w:r>
      <w:r w:rsidR="006F78B1">
        <w:rPr>
          <w:rFonts w:hint="cs"/>
          <w:rtl/>
        </w:rPr>
        <w:t>یجب اکرام العالم الا الفاسق»</w:t>
      </w:r>
      <w:r w:rsidR="0072304F">
        <w:rPr>
          <w:rFonts w:hint="cs"/>
          <w:rtl/>
        </w:rPr>
        <w:t xml:space="preserve"> دو احتمال وجود دارد: یکی</w:t>
      </w:r>
      <w:r w:rsidR="006F78B1">
        <w:rPr>
          <w:rFonts w:hint="cs"/>
          <w:rtl/>
        </w:rPr>
        <w:t xml:space="preserve"> </w:t>
      </w:r>
      <w:r>
        <w:rPr>
          <w:rFonts w:hint="cs"/>
          <w:rtl/>
        </w:rPr>
        <w:t xml:space="preserve">«وجوب اکرام العالم یستثنی منه </w:t>
      </w:r>
      <w:r>
        <w:rPr>
          <w:rFonts w:hint="cs"/>
          <w:rtl/>
        </w:rPr>
        <w:lastRenderedPageBreak/>
        <w:t>الفاسق»</w:t>
      </w:r>
      <w:r w:rsidR="006F78B1">
        <w:rPr>
          <w:rFonts w:hint="cs"/>
          <w:rtl/>
        </w:rPr>
        <w:t xml:space="preserve"> </w:t>
      </w:r>
      <w:r w:rsidR="0072304F">
        <w:rPr>
          <w:rFonts w:hint="cs"/>
          <w:rtl/>
        </w:rPr>
        <w:t xml:space="preserve">در این صورت جمله‌ی استثنائیه </w:t>
      </w:r>
      <w:r>
        <w:rPr>
          <w:rFonts w:hint="cs"/>
          <w:rtl/>
        </w:rPr>
        <w:t xml:space="preserve">مفهوم مطلق </w:t>
      </w:r>
      <w:r w:rsidR="0072304F">
        <w:rPr>
          <w:rFonts w:hint="cs"/>
          <w:rtl/>
        </w:rPr>
        <w:t>دارد</w:t>
      </w:r>
      <w:r>
        <w:rPr>
          <w:rFonts w:hint="cs"/>
          <w:rtl/>
        </w:rPr>
        <w:t xml:space="preserve"> یعنی</w:t>
      </w:r>
      <w:r w:rsidR="006F78B1">
        <w:rPr>
          <w:rFonts w:hint="cs"/>
          <w:rtl/>
        </w:rPr>
        <w:t xml:space="preserve"> اکرام فاسق را</w:t>
      </w:r>
      <w:r>
        <w:rPr>
          <w:rFonts w:hint="cs"/>
          <w:rtl/>
        </w:rPr>
        <w:t xml:space="preserve"> از سنخ وجوب اکرام عالم، </w:t>
      </w:r>
      <w:r w:rsidR="006F78B1">
        <w:rPr>
          <w:rFonts w:hint="cs"/>
          <w:rtl/>
        </w:rPr>
        <w:t>استثناء می</w:t>
      </w:r>
      <w:r w:rsidR="0072304F">
        <w:rPr>
          <w:rFonts w:hint="cs"/>
          <w:rtl/>
        </w:rPr>
        <w:t xml:space="preserve">‌کند. و دیگری: </w:t>
      </w:r>
      <w:r>
        <w:rPr>
          <w:rFonts w:hint="cs"/>
          <w:rtl/>
        </w:rPr>
        <w:t>«جعلت وجوب اکرام العالم وجوبا مستثنی منه وجوب اکرام الفاسق»</w:t>
      </w:r>
      <w:r w:rsidR="0072304F">
        <w:rPr>
          <w:rFonts w:hint="cs"/>
          <w:rtl/>
        </w:rPr>
        <w:t xml:space="preserve"> در این صورت مفهوم مطلق نخواهد داشت</w:t>
      </w:r>
      <w:r>
        <w:rPr>
          <w:rFonts w:hint="cs"/>
          <w:rtl/>
        </w:rPr>
        <w:t xml:space="preserve"> چون در این صورت مفاد آن جعل یک وجوب خاص موصوف به این صفت </w:t>
      </w:r>
      <w:r w:rsidR="0072304F">
        <w:rPr>
          <w:rFonts w:hint="cs"/>
          <w:rtl/>
        </w:rPr>
        <w:t xml:space="preserve">است </w:t>
      </w:r>
      <w:r w:rsidR="00D815D8">
        <w:rPr>
          <w:rFonts w:hint="cs"/>
          <w:sz w:val="34"/>
          <w:rtl/>
        </w:rPr>
        <w:t xml:space="preserve">اما </w:t>
      </w:r>
      <w:r w:rsidR="00D815D8">
        <w:rPr>
          <w:rFonts w:cs="Sakkal Majalla" w:hint="cs"/>
          <w:sz w:val="34"/>
          <w:rtl/>
        </w:rPr>
        <w:t xml:space="preserve">نمی‌گوید که </w:t>
      </w:r>
      <w:r w:rsidR="00D815D8">
        <w:rPr>
          <w:rFonts w:hint="cs"/>
          <w:sz w:val="34"/>
          <w:rtl/>
        </w:rPr>
        <w:t xml:space="preserve">یک وجوب اکرام عالمی که فاسق </w:t>
      </w:r>
      <w:r w:rsidR="00D815D8">
        <w:rPr>
          <w:rFonts w:cs="Sakkal Majalla" w:hint="cs"/>
          <w:sz w:val="34"/>
          <w:rtl/>
        </w:rPr>
        <w:t xml:space="preserve">از آن </w:t>
      </w:r>
      <w:r w:rsidR="00D815D8">
        <w:rPr>
          <w:rFonts w:hint="cs"/>
          <w:sz w:val="34"/>
          <w:rtl/>
        </w:rPr>
        <w:t xml:space="preserve">مستثنی نباشد جعل نکردیم‌ </w:t>
      </w:r>
      <w:r w:rsidR="0072304F">
        <w:rPr>
          <w:rFonts w:hint="cs"/>
          <w:rtl/>
        </w:rPr>
        <w:t>چون اثبات شیء نفی ماعدا نمی‌</w:t>
      </w:r>
      <w:r>
        <w:rPr>
          <w:rFonts w:hint="cs"/>
          <w:rtl/>
        </w:rPr>
        <w:t>کند و اصح</w:t>
      </w:r>
      <w:r w:rsidR="0072304F">
        <w:rPr>
          <w:rFonts w:hint="cs"/>
          <w:rtl/>
        </w:rPr>
        <w:t>ّ این است که مفاد جمله‌</w:t>
      </w:r>
      <w:r>
        <w:rPr>
          <w:rFonts w:hint="cs"/>
          <w:rtl/>
        </w:rPr>
        <w:t xml:space="preserve">ی استثنائیه همین احتمال دوم </w:t>
      </w:r>
      <w:r w:rsidR="0072304F">
        <w:rPr>
          <w:rFonts w:hint="cs"/>
          <w:rtl/>
        </w:rPr>
        <w:t>است</w:t>
      </w:r>
      <w:r>
        <w:rPr>
          <w:rFonts w:hint="cs"/>
          <w:rtl/>
        </w:rPr>
        <w:t xml:space="preserve"> و نسبت استثناء به این وجوب نسبت ناقصه </w:t>
      </w:r>
      <w:r w:rsidR="0072304F">
        <w:rPr>
          <w:rFonts w:hint="cs"/>
          <w:rtl/>
        </w:rPr>
        <w:t xml:space="preserve">است و لذا مفهوم مطلق ندارد </w:t>
      </w:r>
      <w:r w:rsidR="00D815D8">
        <w:rPr>
          <w:rFonts w:cs="Sakkal Majalla" w:hint="cs"/>
          <w:rtl/>
        </w:rPr>
        <w:t>و این مطلب شبیه این است که شخصی بگوید</w:t>
      </w:r>
      <w:r>
        <w:rPr>
          <w:rFonts w:hint="cs"/>
          <w:rtl/>
        </w:rPr>
        <w:t>:</w:t>
      </w:r>
      <w:r w:rsidR="0072304F">
        <w:rPr>
          <w:rFonts w:hint="cs"/>
          <w:rtl/>
        </w:rPr>
        <w:t xml:space="preserve"> </w:t>
      </w:r>
      <w:r w:rsidR="00D815D8">
        <w:rPr>
          <w:rFonts w:hint="cs"/>
          <w:rtl/>
        </w:rPr>
        <w:t>«الانسان فی الدار عالم» در این صورت باید هر فردی که در خا</w:t>
      </w:r>
      <w:r w:rsidR="00D815D8">
        <w:rPr>
          <w:rFonts w:cs="Sakkal Majalla" w:hint="cs"/>
          <w:rtl/>
        </w:rPr>
        <w:t xml:space="preserve">نه هست عالم باشد تا این جمله صادق باشد چون جمله تامه است اما اگر به نحو وصفی بگوید: </w:t>
      </w:r>
      <w:r>
        <w:rPr>
          <w:rFonts w:hint="cs"/>
          <w:rtl/>
        </w:rPr>
        <w:t xml:space="preserve">و «الانسان العالم فی الدار» </w:t>
      </w:r>
      <w:r w:rsidR="00D815D8">
        <w:rPr>
          <w:rFonts w:cs="Sakkal Majalla" w:hint="cs"/>
          <w:rtl/>
        </w:rPr>
        <w:t xml:space="preserve">چون </w:t>
      </w:r>
      <w:r>
        <w:rPr>
          <w:rFonts w:hint="cs"/>
          <w:rtl/>
        </w:rPr>
        <w:t xml:space="preserve">نسبت </w:t>
      </w:r>
      <w:r w:rsidR="00D815D8">
        <w:rPr>
          <w:rFonts w:cs="Sakkal Majalla" w:hint="cs"/>
          <w:rtl/>
        </w:rPr>
        <w:t>وصفیه</w:t>
      </w:r>
      <w:r>
        <w:rPr>
          <w:rFonts w:hint="cs"/>
          <w:rtl/>
        </w:rPr>
        <w:t xml:space="preserve"> </w:t>
      </w:r>
      <w:r w:rsidR="0072304F">
        <w:rPr>
          <w:rFonts w:hint="cs"/>
          <w:rtl/>
        </w:rPr>
        <w:t>است نفی وجود انسان جاهل در دار نمی‌کند.</w:t>
      </w:r>
      <w:r>
        <w:rPr>
          <w:rStyle w:val="FootnoteReference"/>
          <w:rtl/>
        </w:rPr>
        <w:footnoteReference w:id="1"/>
      </w:r>
    </w:p>
    <w:p w:rsidR="00D72CC7" w:rsidRDefault="00D72CC7" w:rsidP="00642264">
      <w:pPr>
        <w:pStyle w:val="Heading3"/>
        <w:jc w:val="both"/>
        <w:rPr>
          <w:rtl/>
        </w:rPr>
      </w:pPr>
      <w:bookmarkStart w:id="4" w:name="_Toc140659574"/>
      <w:r>
        <w:rPr>
          <w:rFonts w:hint="cs"/>
          <w:rtl/>
        </w:rPr>
        <w:t>بررسی کلام شهید صدر رحمه الله</w:t>
      </w:r>
      <w:r w:rsidR="0072304F">
        <w:rPr>
          <w:rFonts w:hint="cs"/>
          <w:rtl/>
        </w:rPr>
        <w:t xml:space="preserve"> در حلقات</w:t>
      </w:r>
      <w:bookmarkEnd w:id="4"/>
    </w:p>
    <w:p w:rsidR="00D72CC7" w:rsidRDefault="00D72CC7" w:rsidP="00642264">
      <w:pPr>
        <w:jc w:val="both"/>
        <w:rPr>
          <w:rtl/>
        </w:rPr>
      </w:pPr>
      <w:r>
        <w:rPr>
          <w:rFonts w:hint="cs"/>
          <w:rtl/>
        </w:rPr>
        <w:t xml:space="preserve">این کلام خلاف وجدان عرفی است و ظاهر جمله ی استثنائیه نسبت تامه </w:t>
      </w:r>
      <w:r w:rsidR="0072304F">
        <w:rPr>
          <w:rFonts w:hint="cs"/>
          <w:rtl/>
        </w:rPr>
        <w:t>است.</w:t>
      </w:r>
    </w:p>
    <w:p w:rsidR="0072304F" w:rsidRDefault="0072304F" w:rsidP="00642264">
      <w:pPr>
        <w:pStyle w:val="Heading3"/>
        <w:jc w:val="both"/>
        <w:rPr>
          <w:rtl/>
        </w:rPr>
      </w:pPr>
      <w:bookmarkStart w:id="5" w:name="_Toc140659575"/>
      <w:r>
        <w:rPr>
          <w:rFonts w:hint="cs"/>
          <w:rtl/>
        </w:rPr>
        <w:t>تفاوت بین جمله‌ی استثنائیه موجبه و نافیه در نظارت به سایر عناوین</w:t>
      </w:r>
      <w:bookmarkEnd w:id="5"/>
    </w:p>
    <w:p w:rsidR="0072304F" w:rsidRDefault="00D72CC7" w:rsidP="00CA326D">
      <w:pPr>
        <w:jc w:val="both"/>
        <w:rPr>
          <w:rtl/>
        </w:rPr>
      </w:pPr>
      <w:r>
        <w:rPr>
          <w:rFonts w:hint="cs"/>
          <w:rtl/>
        </w:rPr>
        <w:t xml:space="preserve"> البته «یجب اکرام العالم الا الفاسق» فقط ظهور در نفی سنخ وجوب اک</w:t>
      </w:r>
      <w:r w:rsidR="0072304F">
        <w:rPr>
          <w:rFonts w:hint="cs"/>
          <w:rtl/>
        </w:rPr>
        <w:t>رام از فاسق از حیث عالم بودن دارد</w:t>
      </w:r>
      <w:r>
        <w:rPr>
          <w:rFonts w:hint="cs"/>
          <w:rtl/>
        </w:rPr>
        <w:t xml:space="preserve"> و نفی وجوب اکرام دیگر برا</w:t>
      </w:r>
      <w:r w:rsidR="0072304F">
        <w:rPr>
          <w:rFonts w:hint="cs"/>
          <w:rtl/>
        </w:rPr>
        <w:t xml:space="preserve">ی آن از حیث </w:t>
      </w:r>
      <w:r w:rsidR="00CA326D">
        <w:rPr>
          <w:rFonts w:cs="Sakkal Majalla" w:hint="cs"/>
          <w:rtl/>
        </w:rPr>
        <w:t xml:space="preserve">عنوانی دیگر مانند </w:t>
      </w:r>
      <w:r w:rsidR="0072304F">
        <w:rPr>
          <w:rFonts w:hint="cs"/>
          <w:rtl/>
        </w:rPr>
        <w:t>هاشمی بودن نمی‌</w:t>
      </w:r>
      <w:r>
        <w:rPr>
          <w:rFonts w:hint="cs"/>
          <w:rtl/>
        </w:rPr>
        <w:t xml:space="preserve">کند. </w:t>
      </w:r>
    </w:p>
    <w:p w:rsidR="00D72CC7" w:rsidRDefault="00D72CC7" w:rsidP="00642264">
      <w:pPr>
        <w:jc w:val="both"/>
        <w:rPr>
          <w:rtl/>
        </w:rPr>
      </w:pPr>
      <w:r>
        <w:rPr>
          <w:rFonts w:hint="cs"/>
          <w:rtl/>
        </w:rPr>
        <w:t>ب</w:t>
      </w:r>
      <w:r w:rsidR="0072304F">
        <w:rPr>
          <w:rFonts w:hint="cs"/>
          <w:rtl/>
        </w:rPr>
        <w:t>ه‌خلاف جمله‌</w:t>
      </w:r>
      <w:r>
        <w:rPr>
          <w:rFonts w:hint="cs"/>
          <w:rtl/>
        </w:rPr>
        <w:t>ی استثنائیه نافیه مثل«لایجب اکرام العالم الا العادل» واضح است که مفاد آن این است که «لایجب اکرام العالم و یجب اکرام العادل»</w:t>
      </w:r>
      <w:r w:rsidR="0072304F">
        <w:rPr>
          <w:rFonts w:hint="cs"/>
          <w:rtl/>
        </w:rPr>
        <w:t xml:space="preserve"> و </w:t>
      </w:r>
      <w:r>
        <w:rPr>
          <w:rFonts w:hint="cs"/>
          <w:rtl/>
        </w:rPr>
        <w:t>مفاد آن حیثی نیست و به صورت مطلق اثبات وجوب اکرام عالم برا</w:t>
      </w:r>
      <w:r w:rsidR="0072304F">
        <w:rPr>
          <w:rFonts w:hint="cs"/>
          <w:rtl/>
        </w:rPr>
        <w:t>ی عادل و حرمت اکرام غیر عالم</w:t>
      </w:r>
      <w:r w:rsidR="007612F0">
        <w:rPr>
          <w:rFonts w:hint="cs"/>
          <w:rtl/>
        </w:rPr>
        <w:t xml:space="preserve"> عادل</w:t>
      </w:r>
      <w:r w:rsidR="0072304F">
        <w:rPr>
          <w:rFonts w:hint="cs"/>
          <w:rtl/>
        </w:rPr>
        <w:t xml:space="preserve"> می‌</w:t>
      </w:r>
      <w:r>
        <w:rPr>
          <w:rFonts w:hint="cs"/>
          <w:rtl/>
        </w:rPr>
        <w:t>کند نه این که فقط اثبات حرمت اکرام عالم غی</w:t>
      </w:r>
      <w:r w:rsidR="007612F0">
        <w:rPr>
          <w:rFonts w:hint="cs"/>
          <w:rtl/>
        </w:rPr>
        <w:t>ر عادل از حیث غیر عادل بودن کند، یعنی دو جمله‌</w:t>
      </w:r>
      <w:r>
        <w:rPr>
          <w:rFonts w:hint="cs"/>
          <w:rtl/>
        </w:rPr>
        <w:t>ی مست</w:t>
      </w:r>
      <w:r w:rsidR="007612F0">
        <w:rPr>
          <w:rFonts w:hint="cs"/>
          <w:rtl/>
        </w:rPr>
        <w:t xml:space="preserve">قل هستند که هر کدام اطلاق دارد </w:t>
      </w:r>
      <w:r>
        <w:rPr>
          <w:rFonts w:hint="cs"/>
          <w:rtl/>
        </w:rPr>
        <w:t>و لذا نسبت آن با «یحرم اکرام الاموی» عموم و خصوص من وجه است و در مورد</w:t>
      </w:r>
      <w:r w:rsidR="007612F0">
        <w:rPr>
          <w:rFonts w:hint="cs"/>
          <w:rtl/>
        </w:rPr>
        <w:t xml:space="preserve"> اکرام عالم عادل اموی با هم تعارض می‌کنند. و این که در دوره قبل این بیان را حتی نسبت به جمله‌ی استثنائیه موجبه نیز مطرح کردیم و گفتیم</w:t>
      </w:r>
      <w:r w:rsidR="00D4436B">
        <w:rPr>
          <w:rFonts w:hint="cs"/>
          <w:rtl/>
        </w:rPr>
        <w:t xml:space="preserve">« </w:t>
      </w:r>
      <w:r w:rsidR="007612F0">
        <w:rPr>
          <w:rFonts w:hint="cs"/>
          <w:rtl/>
        </w:rPr>
        <w:t>«</w:t>
      </w:r>
      <w:r w:rsidR="007612F0">
        <w:rPr>
          <w:rtl/>
        </w:rPr>
        <w:t>یجب اکرام العالم الا الفاس</w:t>
      </w:r>
      <w:r w:rsidR="00CA326D">
        <w:rPr>
          <w:rFonts w:cs="Sakkal Majalla" w:hint="cs"/>
          <w:rtl/>
        </w:rPr>
        <w:t>ق</w:t>
      </w:r>
      <w:r w:rsidR="007612F0">
        <w:rPr>
          <w:rFonts w:hint="cs"/>
          <w:rtl/>
        </w:rPr>
        <w:t>» منحل به دو قضیه‌ «</w:t>
      </w:r>
      <w:r w:rsidR="007612F0">
        <w:rPr>
          <w:rtl/>
        </w:rPr>
        <w:t>یجب اکرام العالم العادل</w:t>
      </w:r>
      <w:r w:rsidR="007612F0">
        <w:rPr>
          <w:rFonts w:hint="cs"/>
          <w:rtl/>
        </w:rPr>
        <w:t>»</w:t>
      </w:r>
      <w:r w:rsidR="007612F0">
        <w:rPr>
          <w:rtl/>
        </w:rPr>
        <w:t xml:space="preserve"> و </w:t>
      </w:r>
      <w:r w:rsidR="007612F0">
        <w:rPr>
          <w:rFonts w:hint="cs"/>
          <w:rtl/>
        </w:rPr>
        <w:t>«</w:t>
      </w:r>
      <w:r w:rsidR="007612F0">
        <w:rPr>
          <w:rtl/>
        </w:rPr>
        <w:t>لایجب اکرام العالم الفاس</w:t>
      </w:r>
      <w:r w:rsidR="00CA326D">
        <w:rPr>
          <w:rFonts w:cs="Sakkal Majalla" w:hint="cs"/>
          <w:rtl/>
        </w:rPr>
        <w:t>ق</w:t>
      </w:r>
      <w:r w:rsidR="007612F0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7612F0">
        <w:rPr>
          <w:rFonts w:hint="cs"/>
          <w:rtl/>
        </w:rPr>
        <w:t>می‌شود و قضیه‌ی دوم با «یجب اکرام الهاشمی» نسبت ب</w:t>
      </w:r>
      <w:r w:rsidR="00D4436B">
        <w:rPr>
          <w:rFonts w:hint="cs"/>
          <w:rtl/>
        </w:rPr>
        <w:t>ه عالم هاشمی فاسق تعارض می‌کنند»، درست نیست و در این دوره ب</w:t>
      </w:r>
      <w:r w:rsidR="007612F0">
        <w:rPr>
          <w:rFonts w:hint="cs"/>
          <w:rtl/>
        </w:rPr>
        <w:t>ین جمله‌ی موجبه و نافیه تفصیل می‌دهیم زیرا در جمله‌ی موجبه</w:t>
      </w:r>
      <w:r>
        <w:rPr>
          <w:rFonts w:hint="cs"/>
          <w:rtl/>
        </w:rPr>
        <w:t xml:space="preserve"> فقط سنخ حکم موجود در مستثنی منه </w:t>
      </w:r>
      <w:r w:rsidR="007612F0">
        <w:rPr>
          <w:rFonts w:hint="cs"/>
          <w:rtl/>
        </w:rPr>
        <w:t>از همان</w:t>
      </w:r>
      <w:r>
        <w:rPr>
          <w:rFonts w:hint="cs"/>
          <w:rtl/>
        </w:rPr>
        <w:t xml:space="preserve"> ح</w:t>
      </w:r>
      <w:r w:rsidR="007612F0">
        <w:rPr>
          <w:rFonts w:hint="cs"/>
          <w:rtl/>
        </w:rPr>
        <w:t>یث عنوان مذکور در مستثنی منه از مستثنی نفی می‌شود</w:t>
      </w:r>
      <w:r>
        <w:rPr>
          <w:rFonts w:hint="cs"/>
          <w:rtl/>
        </w:rPr>
        <w:t xml:space="preserve"> چون «یجب اکرام </w:t>
      </w:r>
      <w:r>
        <w:rPr>
          <w:rFonts w:hint="cs"/>
          <w:rtl/>
        </w:rPr>
        <w:lastRenderedPageBreak/>
        <w:t>العالم الا الفاسق» ظهو</w:t>
      </w:r>
      <w:r w:rsidR="007612F0">
        <w:rPr>
          <w:rFonts w:hint="cs"/>
          <w:rtl/>
        </w:rPr>
        <w:t>ر در دو جمله‌ی مستقل ندارد یعنی استثناء در این جا یک جمله‌</w:t>
      </w:r>
      <w:r>
        <w:rPr>
          <w:rFonts w:hint="cs"/>
          <w:rtl/>
        </w:rPr>
        <w:t>ی مستقل به نحو</w:t>
      </w:r>
      <w:r w:rsidR="007612F0">
        <w:rPr>
          <w:rFonts w:hint="cs"/>
          <w:rtl/>
        </w:rPr>
        <w:t xml:space="preserve"> </w:t>
      </w:r>
      <w:r>
        <w:rPr>
          <w:rFonts w:hint="cs"/>
          <w:rtl/>
        </w:rPr>
        <w:t>«ل</w:t>
      </w:r>
      <w:r w:rsidR="007612F0">
        <w:rPr>
          <w:rFonts w:hint="cs"/>
          <w:rtl/>
        </w:rPr>
        <w:t>ا یجب اکرام العالم الفاسق» نیست تا در آن اطلاق جاری شود</w:t>
      </w:r>
      <w:r>
        <w:rPr>
          <w:rFonts w:hint="cs"/>
          <w:rtl/>
        </w:rPr>
        <w:t xml:space="preserve"> بلکه آن استثناء از وجوب اکرام عالم </w:t>
      </w:r>
      <w:r w:rsidR="007612F0">
        <w:rPr>
          <w:rFonts w:hint="cs"/>
          <w:rtl/>
        </w:rPr>
        <w:t>است</w:t>
      </w:r>
      <w:r>
        <w:rPr>
          <w:rFonts w:hint="cs"/>
          <w:rtl/>
        </w:rPr>
        <w:t xml:space="preserve"> و ظاهرش نفی </w:t>
      </w:r>
      <w:r w:rsidR="007612F0">
        <w:rPr>
          <w:rFonts w:hint="cs"/>
          <w:rtl/>
        </w:rPr>
        <w:t>همین سنخ حکم اکرام عالم است</w:t>
      </w:r>
      <w:r>
        <w:rPr>
          <w:rFonts w:hint="cs"/>
          <w:rtl/>
        </w:rPr>
        <w:t xml:space="preserve"> و لذا بر خ</w:t>
      </w:r>
      <w:r w:rsidR="007612F0">
        <w:rPr>
          <w:rFonts w:hint="cs"/>
          <w:rtl/>
        </w:rPr>
        <w:t>لاف دوره‌</w:t>
      </w:r>
      <w:r>
        <w:rPr>
          <w:rFonts w:hint="cs"/>
          <w:rtl/>
        </w:rPr>
        <w:t>ی قبل در این دوره بین جمله ی نا</w:t>
      </w:r>
      <w:r w:rsidR="007612F0">
        <w:rPr>
          <w:rFonts w:hint="cs"/>
          <w:rtl/>
        </w:rPr>
        <w:t>فیه و موجبه از این جهت تفصیل می‌</w:t>
      </w:r>
      <w:r>
        <w:rPr>
          <w:rFonts w:hint="cs"/>
          <w:rtl/>
        </w:rPr>
        <w:t xml:space="preserve">دهیم. </w:t>
      </w:r>
    </w:p>
    <w:p w:rsidR="00D72CC7" w:rsidRDefault="00D72CC7" w:rsidP="00642264">
      <w:pPr>
        <w:pStyle w:val="Heading3"/>
        <w:jc w:val="both"/>
        <w:rPr>
          <w:rtl/>
        </w:rPr>
      </w:pPr>
      <w:bookmarkStart w:id="6" w:name="_Toc140659576"/>
      <w:r>
        <w:rPr>
          <w:rFonts w:hint="cs"/>
          <w:rtl/>
        </w:rPr>
        <w:t>مفهوم حصر</w:t>
      </w:r>
      <w:bookmarkEnd w:id="6"/>
    </w:p>
    <w:p w:rsidR="00D72CC7" w:rsidRDefault="007612F0" w:rsidP="00642264">
      <w:pPr>
        <w:jc w:val="both"/>
        <w:rPr>
          <w:rtl/>
        </w:rPr>
      </w:pPr>
      <w:r>
        <w:rPr>
          <w:rFonts w:hint="cs"/>
          <w:rtl/>
        </w:rPr>
        <w:t>اگر جمله‌</w:t>
      </w:r>
      <w:r w:rsidR="00D72CC7">
        <w:rPr>
          <w:rFonts w:hint="cs"/>
          <w:rtl/>
        </w:rPr>
        <w:t xml:space="preserve">ای مفید حصر باشد قطعا دارای مفهوم است لذا فقط باید بحث مصداقی وصغروی کرد که چه </w:t>
      </w:r>
      <w:r>
        <w:rPr>
          <w:rFonts w:hint="cs"/>
          <w:rtl/>
        </w:rPr>
        <w:t xml:space="preserve">چیزی </w:t>
      </w:r>
      <w:r w:rsidR="00D72CC7">
        <w:rPr>
          <w:rFonts w:hint="cs"/>
          <w:rtl/>
        </w:rPr>
        <w:t>مفید حصر است؟</w:t>
      </w:r>
    </w:p>
    <w:p w:rsidR="00D72CC7" w:rsidRDefault="007612F0" w:rsidP="00642264">
      <w:pPr>
        <w:jc w:val="both"/>
        <w:rPr>
          <w:rtl/>
        </w:rPr>
      </w:pPr>
      <w:r>
        <w:rPr>
          <w:rFonts w:hint="cs"/>
          <w:rtl/>
        </w:rPr>
        <w:t>شیخ انصاری ره فرمودند: دلالت «إ</w:t>
      </w:r>
      <w:r w:rsidR="00D72CC7">
        <w:rPr>
          <w:rFonts w:hint="cs"/>
          <w:rtl/>
        </w:rPr>
        <w:t xml:space="preserve">نما» بر حصر ثابت نیست. </w:t>
      </w:r>
    </w:p>
    <w:p w:rsidR="00D72CC7" w:rsidRDefault="00D72CC7" w:rsidP="00CA326D">
      <w:pPr>
        <w:jc w:val="both"/>
      </w:pPr>
      <w:r>
        <w:rPr>
          <w:rFonts w:hint="cs"/>
          <w:rtl/>
        </w:rPr>
        <w:t>ولی ب</w:t>
      </w:r>
      <w:r w:rsidR="007612F0">
        <w:rPr>
          <w:rFonts w:hint="cs"/>
          <w:rtl/>
        </w:rPr>
        <w:t>ه نظر ما «إنما» دلالت بر حصر می‌</w:t>
      </w:r>
      <w:r>
        <w:rPr>
          <w:rFonts w:hint="cs"/>
          <w:rtl/>
        </w:rPr>
        <w:t>کند و شواهد زیادی از آیات و روایات بر این مطلب وجود دارد و در استعمالات «إنما» موردی که منافی با حصر باشد -ولو حصر اضافی- وجود ندارد و</w:t>
      </w:r>
      <w:r w:rsidR="00103C54">
        <w:rPr>
          <w:rFonts w:hint="cs"/>
          <w:rtl/>
        </w:rPr>
        <w:t xml:space="preserve"> </w:t>
      </w:r>
      <w:r w:rsidR="00CA326D">
        <w:rPr>
          <w:rFonts w:cs="Sakkal Majalla" w:hint="cs"/>
          <w:rtl/>
        </w:rPr>
        <w:t xml:space="preserve">صاحب کتاب </w:t>
      </w:r>
      <w:r w:rsidR="00103C54">
        <w:rPr>
          <w:rFonts w:hint="cs"/>
          <w:rtl/>
        </w:rPr>
        <w:t>قاموس و همچنین</w:t>
      </w:r>
      <w:r>
        <w:rPr>
          <w:rFonts w:hint="cs"/>
          <w:rtl/>
        </w:rPr>
        <w:t xml:space="preserve"> ابن هشام در مغنی نیز این مطلب را مفروغ عنه </w:t>
      </w:r>
      <w:r w:rsidR="00103C54">
        <w:rPr>
          <w:rFonts w:hint="cs"/>
          <w:rtl/>
        </w:rPr>
        <w:t>گرفته‌اند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</w:t>
      </w:r>
    </w:p>
    <w:p w:rsidR="00D4436B" w:rsidRDefault="00D4436B" w:rsidP="00642264">
      <w:pPr>
        <w:jc w:val="both"/>
        <w:rPr>
          <w:rtl/>
        </w:rPr>
      </w:pPr>
      <w:r>
        <w:rPr>
          <w:rFonts w:hint="cs"/>
          <w:rtl/>
        </w:rPr>
        <w:t>شواهد</w:t>
      </w:r>
      <w:r w:rsidR="00CA326D">
        <w:rPr>
          <w:rFonts w:hint="cs"/>
          <w:rtl/>
        </w:rPr>
        <w:t xml:space="preserve"> قرآنی مثل</w:t>
      </w:r>
      <w:r w:rsidR="00CD1367">
        <w:rPr>
          <w:rFonts w:hint="cs"/>
          <w:rtl/>
        </w:rPr>
        <w:t xml:space="preserve"> آیه: «اِنَّما يَسْتَجيبُ‏ الَّذينَ يَسْمَعُونَ وَ الْمَوْتى‏ يَبْعَثُهُمُ اللَّهُ»</w:t>
      </w:r>
      <w:r w:rsidR="00CD1367">
        <w:rPr>
          <w:rStyle w:val="FootnoteReference"/>
          <w:rtl/>
        </w:rPr>
        <w:footnoteReference w:id="3"/>
      </w:r>
      <w:r w:rsidR="00CD1367">
        <w:rPr>
          <w:rFonts w:hint="cs"/>
          <w:rtl/>
        </w:rPr>
        <w:t xml:space="preserve"> و </w:t>
      </w:r>
      <w:r w:rsidR="00CD1367" w:rsidRPr="00CD1367">
        <w:rPr>
          <w:rFonts w:hint="cs"/>
          <w:rtl/>
        </w:rPr>
        <w:t>«إِنَّما أُنْزِلَ الْكِتابُ عَلى‏ طائِفَتَيْنِ‏ مِنْ قَبْلِنا</w:t>
      </w:r>
      <w:r w:rsidR="00CD1367">
        <w:rPr>
          <w:rFonts w:hint="cs"/>
          <w:rtl/>
        </w:rPr>
        <w:t>»</w:t>
      </w:r>
      <w:r w:rsidR="00CD1367">
        <w:rPr>
          <w:rStyle w:val="FootnoteReference"/>
          <w:rtl/>
        </w:rPr>
        <w:footnoteReference w:id="4"/>
      </w:r>
      <w:r w:rsidR="00CD1367">
        <w:rPr>
          <w:rFonts w:hint="cs"/>
          <w:rtl/>
        </w:rPr>
        <w:t xml:space="preserve"> و</w:t>
      </w:r>
      <w:r w:rsidR="00CD1367" w:rsidRPr="00CD1367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CD1367" w:rsidRPr="00CD1367">
        <w:rPr>
          <w:rFonts w:hint="cs"/>
          <w:rtl/>
        </w:rPr>
        <w:t>«يَسْئَلُونَكَ عَنِ السَّاعَةِ أَيَّانَ‏ مُرْساها قُلْ إِنَّما عِلْمُها عِنْدَ رَبِّي‏»</w:t>
      </w:r>
      <w:r w:rsidR="00CD1367">
        <w:rPr>
          <w:rStyle w:val="FootnoteReference"/>
          <w:rtl/>
        </w:rPr>
        <w:footnoteReference w:id="5"/>
      </w:r>
      <w:r w:rsidR="00CD1367">
        <w:rPr>
          <w:rFonts w:hint="cs"/>
          <w:rtl/>
        </w:rPr>
        <w:t xml:space="preserve"> همه‌ی این‌ها مفید حصر هس</w:t>
      </w:r>
      <w:r w:rsidR="00CD1367" w:rsidRPr="00CD1367">
        <w:rPr>
          <w:rFonts w:hint="cs"/>
          <w:rtl/>
        </w:rPr>
        <w:t>تند.</w:t>
      </w:r>
    </w:p>
    <w:p w:rsidR="00D4436B" w:rsidRDefault="00D4436B" w:rsidP="00CA326D">
      <w:pPr>
        <w:jc w:val="both"/>
        <w:rPr>
          <w:rtl/>
        </w:rPr>
      </w:pPr>
      <w:r>
        <w:rPr>
          <w:rFonts w:hint="cs"/>
          <w:rtl/>
        </w:rPr>
        <w:t>ش</w:t>
      </w:r>
      <w:r w:rsidR="00CA326D">
        <w:rPr>
          <w:rFonts w:hint="cs"/>
          <w:rtl/>
        </w:rPr>
        <w:t>واهد روایی نیز مثل</w:t>
      </w:r>
      <w:r>
        <w:rPr>
          <w:rFonts w:hint="cs"/>
          <w:rtl/>
        </w:rPr>
        <w:t xml:space="preserve"> روایت «</w:t>
      </w:r>
      <w:r w:rsidR="00CD1367" w:rsidRPr="00CD1367">
        <w:rPr>
          <w:rFonts w:hint="cs"/>
          <w:rtl/>
        </w:rPr>
        <w:t>مُحَمَّدِ بْنِ مُسْلِمٍ قَالَ: سَأَلْتُ أَبَا جَعْفَرٍ ع أَ كَانَ أَمِيرُ الْمُؤْمِنِينَ ع يَنْهَى عَنْ قِرَاءَةِ الْقُرْآنِ فِي الْحَمَّامِ قَالَ لَا إِنَّمَا نَهَى أَنْ يَقْرَأَ الرَّجُلُ وَ هُوَ عُرْيَانٌ فَأَمَّا إِذَا كَانَ عَلَيْهِ إِزَارٌ فَلَا بَأْسَ</w:t>
      </w:r>
      <w:r w:rsidR="00CD1367"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>.</w:t>
      </w:r>
      <w:r w:rsidR="00CD1367">
        <w:rPr>
          <w:rFonts w:hint="cs"/>
          <w:rtl/>
        </w:rPr>
        <w:t>»</w:t>
      </w:r>
      <w:r w:rsidR="00CD1367">
        <w:rPr>
          <w:rStyle w:val="FootnoteReference"/>
          <w:rtl/>
        </w:rPr>
        <w:footnoteReference w:id="6"/>
      </w:r>
      <w:r>
        <w:rPr>
          <w:rFonts w:hint="cs"/>
          <w:rtl/>
        </w:rPr>
        <w:t xml:space="preserve"> مفاد این روایت نهی از قرآن خواندن </w:t>
      </w:r>
      <w:r w:rsidR="00CA326D">
        <w:rPr>
          <w:rFonts w:cs="Sakkal Majalla" w:hint="cs"/>
          <w:rtl/>
        </w:rPr>
        <w:t xml:space="preserve">انسان </w:t>
      </w:r>
      <w:r>
        <w:rPr>
          <w:rFonts w:hint="cs"/>
          <w:rtl/>
        </w:rPr>
        <w:t>در حال</w:t>
      </w:r>
      <w:r w:rsidR="00CA326D">
        <w:rPr>
          <w:rFonts w:cs="Sakkal Majalla" w:hint="cs"/>
          <w:rtl/>
        </w:rPr>
        <w:t>ی که</w:t>
      </w:r>
      <w:r>
        <w:rPr>
          <w:rFonts w:hint="cs"/>
          <w:rtl/>
        </w:rPr>
        <w:t xml:space="preserve"> عریان است</w:t>
      </w:r>
      <w:r w:rsidR="00CA326D">
        <w:rPr>
          <w:rFonts w:hint="cs"/>
          <w:rtl/>
        </w:rPr>
        <w:t xml:space="preserve"> می‌باشد</w:t>
      </w:r>
      <w:r>
        <w:rPr>
          <w:rFonts w:hint="cs"/>
          <w:rtl/>
        </w:rPr>
        <w:t xml:space="preserve">. </w:t>
      </w:r>
    </w:p>
    <w:p w:rsidR="00D4436B" w:rsidRPr="00D4436B" w:rsidRDefault="00D4436B" w:rsidP="00642264">
      <w:pPr>
        <w:jc w:val="both"/>
        <w:rPr>
          <w:rtl/>
        </w:rPr>
      </w:pPr>
      <w:r w:rsidRPr="00D4436B">
        <w:rPr>
          <w:rFonts w:hint="cs"/>
          <w:rtl/>
        </w:rPr>
        <w:t>و روایت « مُحَمَّدُ بْنُ عَلِيِّ بْنِ مَحْبُوبٍ عَنْ أَحْمَدَ بْنِ مُحَمَّدٍ عَنِ الْحَسَنِ بْنِ مَحْبُوبٍ عَنِ الْعَلَاءِ بْنِ رَزِينٍ عَنْ مُحَمَّدِ بْنِ مُسْلِمٍ قَالَ: إِنَّمَا جَامَعَهَا دُونَ‏ الْفَرْجِ‏ فَلَمْ يَجِبْ عَلَيْهَا الْغُسْلُ لِأَنَّهُ لَمْ يُدْخِلْهُ وَ لَوْ كَانَ أَدْخَلَهُ فِي الْيَقَظَةِ وَجَبَ عَلَيْهَا الْغُسْلُ أَمْنَتْ أَوْ لَمْ تُمْنِ.»</w:t>
      </w:r>
      <w:r w:rsidRPr="00D4436B">
        <w:rPr>
          <w:rStyle w:val="FootnoteReference"/>
          <w:rtl/>
        </w:rPr>
        <w:footnoteReference w:id="7"/>
      </w:r>
      <w:r w:rsidRPr="00D4436B">
        <w:rPr>
          <w:rFonts w:hint="cs"/>
          <w:rtl/>
        </w:rPr>
        <w:t xml:space="preserve"> </w:t>
      </w:r>
    </w:p>
    <w:p w:rsidR="00D4436B" w:rsidRDefault="00D4436B" w:rsidP="00642264">
      <w:pPr>
        <w:jc w:val="both"/>
        <w:rPr>
          <w:rtl/>
        </w:rPr>
      </w:pPr>
      <w:r w:rsidRPr="00D4436B">
        <w:rPr>
          <w:rFonts w:hint="cs"/>
          <w:rtl/>
        </w:rPr>
        <w:lastRenderedPageBreak/>
        <w:t>و روایت «الصَّوْمَ‏ إِنَّمَا هُوَ فِي‏ السَّنَةِ شَهْرٌ»</w:t>
      </w:r>
      <w:r w:rsidRPr="00D4436B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8"/>
      </w:r>
      <w:r w:rsidRPr="00D4436B">
        <w:rPr>
          <w:rFonts w:hint="cs"/>
          <w:rtl/>
        </w:rPr>
        <w:t xml:space="preserve"> و روایت «وَ لَا تَنْقُضِ‏ الْيَقِينَ أَبَداً بِالشَّكِّ وَ إِنَّمَا تَنْقُضُهُ‏ بِيَقِينٍ‏ آخَر»</w:t>
      </w:r>
      <w:r w:rsidRPr="00D4436B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9"/>
      </w:r>
      <w:r w:rsidRPr="00D4436B">
        <w:rPr>
          <w:rFonts w:hint="cs"/>
          <w:rtl/>
        </w:rPr>
        <w:t xml:space="preserve"> و روایت «فِي رَجُلٍ‏ مَسَ‏ مَيْتَةً أَ عَلَيْهِ‏ الْغُسْلُ‏ قَالَ لَا إِنَّمَا ذَلِكَ مِنَ الْإِنْسَان‏»</w:t>
      </w:r>
      <w:r w:rsidRPr="00D4436B">
        <w:rPr>
          <w:rStyle w:val="FootnoteReference"/>
          <w:rtl/>
        </w:rPr>
        <w:footnoteReference w:id="10"/>
      </w:r>
      <w:r>
        <w:rPr>
          <w:rFonts w:hint="cs"/>
          <w:rtl/>
        </w:rPr>
        <w:t xml:space="preserve"> یعنی غسل مس میت فقط در مورد مس میت انسانی است. و همچنین روایت </w:t>
      </w:r>
      <w:r w:rsidRPr="00D4436B">
        <w:rPr>
          <w:rFonts w:hint="cs"/>
          <w:rtl/>
        </w:rPr>
        <w:t>«لرَّجُلِ‏ يَكُونُ‏ مَعَهُ‏ اللَّبَنُ‏ أَ يَتَوَضَّأُ مِنْهُ لِلصَّلَاةِ قَالَ لَا إِنَّمَا هُوَ الْمَاءُ وَ الصَّعِيدُ</w:t>
      </w:r>
      <w:r>
        <w:rPr>
          <w:rFonts w:ascii="Traditional Arabic" w:hAnsi="Traditional Arabic" w:cs="Traditional Arabic" w:hint="cs"/>
          <w:color w:val="242887"/>
          <w:sz w:val="30"/>
          <w:szCs w:val="30"/>
          <w:rtl/>
        </w:rPr>
        <w:t>.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1"/>
      </w:r>
      <w:r>
        <w:rPr>
          <w:rFonts w:hint="cs"/>
          <w:rtl/>
        </w:rPr>
        <w:t xml:space="preserve"> و غیر این‌ها از روایات دیگر. </w:t>
      </w:r>
    </w:p>
    <w:p w:rsidR="00D72CC7" w:rsidRPr="00D4436B" w:rsidRDefault="00D4436B" w:rsidP="00CA3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rtl/>
        </w:rPr>
        <w:t xml:space="preserve">بنابراین در استعمالات «إنما» موردی که منافی با حصر ولو حصر اضافی باشد وجود ندارد. مگر چند مورد که منشأ شبهه شده است و این </w:t>
      </w:r>
      <w:r w:rsidR="00CA326D">
        <w:rPr>
          <w:rFonts w:cs="Sakkal Majalla" w:hint="cs"/>
          <w:rtl/>
        </w:rPr>
        <w:t xml:space="preserve">مطلب </w:t>
      </w:r>
      <w:r>
        <w:rPr>
          <w:rFonts w:hint="cs"/>
          <w:rtl/>
        </w:rPr>
        <w:t xml:space="preserve">که بعضی نقض کردند به آیه </w:t>
      </w:r>
      <w:r w:rsidR="00D72CC7">
        <w:rPr>
          <w:rFonts w:hint="cs"/>
          <w:rtl/>
        </w:rPr>
        <w:t>«انما الحیاة الدنیا لعب و لهو»</w:t>
      </w:r>
      <w:r>
        <w:rPr>
          <w:rStyle w:val="FootnoteReference"/>
          <w:rtl/>
        </w:rPr>
        <w:footnoteReference w:id="12"/>
      </w:r>
      <w:r>
        <w:rPr>
          <w:rFonts w:hint="cs"/>
          <w:rtl/>
        </w:rPr>
        <w:t xml:space="preserve"> که «إنما» در آن مفید حصر نیست،</w:t>
      </w:r>
      <w:r w:rsidR="00D72CC7">
        <w:rPr>
          <w:rFonts w:hint="cs"/>
          <w:rtl/>
        </w:rPr>
        <w:t xml:space="preserve"> تمام نیست </w:t>
      </w:r>
      <w:r>
        <w:rPr>
          <w:rFonts w:hint="cs"/>
          <w:rtl/>
        </w:rPr>
        <w:t xml:space="preserve">زیرا دو آیه دیگر وجود دارد که </w:t>
      </w:r>
      <w:r w:rsidR="00CA326D">
        <w:rPr>
          <w:rFonts w:cs="Sakkal Majalla" w:hint="cs"/>
          <w:rtl/>
        </w:rPr>
        <w:t>فرموده است</w:t>
      </w:r>
      <w:r>
        <w:rPr>
          <w:rFonts w:hint="cs"/>
          <w:rtl/>
        </w:rPr>
        <w:t xml:space="preserve"> «</w:t>
      </w:r>
      <w:r w:rsidRPr="004A7617">
        <w:rPr>
          <w:rFonts w:hint="cs"/>
          <w:rtl/>
        </w:rPr>
        <w:t>و ما الحیوة الدنیا الا لعب و لهو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3"/>
      </w:r>
      <w:r>
        <w:rPr>
          <w:rFonts w:hint="cs"/>
          <w:rtl/>
        </w:rPr>
        <w:t xml:space="preserve"> و «الا» قطعا مفید حصر است.</w:t>
      </w:r>
    </w:p>
    <w:p w:rsidR="00D72CC7" w:rsidRDefault="00D72CC7" w:rsidP="00642264">
      <w:pPr>
        <w:jc w:val="both"/>
        <w:rPr>
          <w:rtl/>
        </w:rPr>
      </w:pPr>
      <w:r>
        <w:rPr>
          <w:rFonts w:hint="cs"/>
          <w:rtl/>
        </w:rPr>
        <w:t xml:space="preserve"> اما نقض به «انما المومنین اخوة»</w:t>
      </w:r>
      <w:r w:rsidR="00D4436B">
        <w:rPr>
          <w:rStyle w:val="FootnoteReference"/>
          <w:rtl/>
        </w:rPr>
        <w:footnoteReference w:id="14"/>
      </w:r>
      <w:r>
        <w:rPr>
          <w:rFonts w:hint="cs"/>
          <w:rtl/>
        </w:rPr>
        <w:t xml:space="preserve"> و «</w:t>
      </w:r>
      <w:r w:rsidRPr="00476007">
        <w:rPr>
          <w:rtl/>
        </w:rPr>
        <w:t>انما المشركون نجس</w:t>
      </w:r>
      <w:r>
        <w:rPr>
          <w:rFonts w:hint="cs"/>
          <w:rtl/>
        </w:rPr>
        <w:t>»</w:t>
      </w:r>
      <w:r w:rsidR="00D4436B">
        <w:rPr>
          <w:rStyle w:val="FootnoteReference"/>
          <w:rtl/>
        </w:rPr>
        <w:footnoteReference w:id="15"/>
      </w:r>
      <w:r w:rsidRPr="00476007">
        <w:rPr>
          <w:rtl/>
        </w:rPr>
        <w:t xml:space="preserve"> </w:t>
      </w:r>
      <w:r>
        <w:rPr>
          <w:rFonts w:hint="cs"/>
          <w:rtl/>
        </w:rPr>
        <w:t>و «</w:t>
      </w:r>
      <w:r w:rsidRPr="00476007">
        <w:rPr>
          <w:rtl/>
        </w:rPr>
        <w:t>ان ال</w:t>
      </w:r>
      <w:r>
        <w:rPr>
          <w:rtl/>
        </w:rPr>
        <w:t>ذين يبايعونك انما يبايعون الله</w:t>
      </w:r>
      <w:r>
        <w:rPr>
          <w:rFonts w:hint="cs"/>
          <w:rtl/>
        </w:rPr>
        <w:t>»</w:t>
      </w:r>
      <w:r w:rsidR="00D4436B">
        <w:rPr>
          <w:rStyle w:val="FootnoteReference"/>
          <w:rtl/>
        </w:rPr>
        <w:footnoteReference w:id="16"/>
      </w:r>
      <w:r>
        <w:rPr>
          <w:rFonts w:hint="cs"/>
          <w:rtl/>
        </w:rPr>
        <w:t xml:space="preserve"> و</w:t>
      </w:r>
      <w:r w:rsidRPr="008D3879">
        <w:rPr>
          <w:rtl/>
        </w:rPr>
        <w:t xml:space="preserve"> </w:t>
      </w:r>
      <w:r>
        <w:rPr>
          <w:rFonts w:hint="cs"/>
          <w:rtl/>
        </w:rPr>
        <w:t>«</w:t>
      </w:r>
      <w:r w:rsidRPr="00476007">
        <w:rPr>
          <w:rtl/>
        </w:rPr>
        <w:t xml:space="preserve">انما ذلكم </w:t>
      </w:r>
      <w:r>
        <w:rPr>
          <w:rtl/>
        </w:rPr>
        <w:t>الشيطان يخوف اولياءه فلاتخافوهم</w:t>
      </w:r>
      <w:r>
        <w:rPr>
          <w:rFonts w:hint="cs"/>
          <w:rtl/>
        </w:rPr>
        <w:t>»</w:t>
      </w:r>
      <w:r w:rsidR="00D4436B">
        <w:rPr>
          <w:rStyle w:val="FootnoteReference"/>
          <w:rtl/>
        </w:rPr>
        <w:footnoteReference w:id="17"/>
      </w:r>
      <w:r>
        <w:rPr>
          <w:rtl/>
        </w:rPr>
        <w:t xml:space="preserve"> </w:t>
      </w:r>
      <w:r>
        <w:rPr>
          <w:rFonts w:hint="cs"/>
          <w:rtl/>
        </w:rPr>
        <w:t>و«</w:t>
      </w:r>
      <w:r>
        <w:rPr>
          <w:rtl/>
        </w:rPr>
        <w:t>قالوا إنما البيع مثل الربا</w:t>
      </w:r>
      <w:r>
        <w:rPr>
          <w:rFonts w:hint="cs"/>
          <w:rtl/>
        </w:rPr>
        <w:t>»</w:t>
      </w:r>
      <w:r w:rsidR="00D4436B">
        <w:rPr>
          <w:rStyle w:val="FootnoteReference"/>
          <w:rtl/>
        </w:rPr>
        <w:footnoteReference w:id="18"/>
      </w:r>
      <w:r>
        <w:rPr>
          <w:rtl/>
        </w:rPr>
        <w:t xml:space="preserve"> </w:t>
      </w:r>
      <w:r>
        <w:rPr>
          <w:rFonts w:hint="cs"/>
          <w:rtl/>
        </w:rPr>
        <w:t>و «</w:t>
      </w:r>
      <w:r w:rsidRPr="00476007">
        <w:rPr>
          <w:rtl/>
        </w:rPr>
        <w:t>واسكن اليه من رحمتك رحمة تغنيه بها عن رحمة من سواك، فانما رحمتك للظالمين</w:t>
      </w:r>
      <w:r>
        <w:rPr>
          <w:rFonts w:hint="cs"/>
          <w:rtl/>
        </w:rPr>
        <w:t>»</w:t>
      </w:r>
      <w:r w:rsidR="00D4436B" w:rsidRPr="00D4436B">
        <w:rPr>
          <w:rStyle w:val="FootnoteReference"/>
          <w:rtl/>
        </w:rPr>
        <w:footnoteReference w:id="19"/>
      </w:r>
      <w:r>
        <w:rPr>
          <w:rFonts w:hint="cs"/>
          <w:rtl/>
        </w:rPr>
        <w:t xml:space="preserve"> </w:t>
      </w:r>
      <w:r w:rsidR="00D4436B">
        <w:rPr>
          <w:rFonts w:hint="cs"/>
          <w:rtl/>
        </w:rPr>
        <w:t xml:space="preserve">که رحمت خداوند را منحصر به ظالمین می‌داند، </w:t>
      </w:r>
      <w:r>
        <w:rPr>
          <w:rFonts w:hint="cs"/>
          <w:rtl/>
        </w:rPr>
        <w:t xml:space="preserve">ولو آن ها به هیچ </w:t>
      </w:r>
      <w:r w:rsidR="00D4436B">
        <w:rPr>
          <w:rFonts w:hint="cs"/>
          <w:rtl/>
        </w:rPr>
        <w:t>وجه تناسب به حصر ندارد ولذا نمی‌</w:t>
      </w:r>
      <w:r>
        <w:rPr>
          <w:rFonts w:hint="cs"/>
          <w:rtl/>
        </w:rPr>
        <w:t>توان گفت:</w:t>
      </w:r>
      <w:r w:rsidR="00D4436B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476007">
        <w:rPr>
          <w:rtl/>
        </w:rPr>
        <w:t>ال</w:t>
      </w:r>
      <w:r>
        <w:rPr>
          <w:rtl/>
        </w:rPr>
        <w:t>مؤمنون اخوة فقط وليسوا شيئا آخر</w:t>
      </w:r>
      <w:r>
        <w:rPr>
          <w:rFonts w:hint="cs"/>
          <w:rtl/>
        </w:rPr>
        <w:t>»</w:t>
      </w:r>
      <w:r w:rsidR="00D4436B">
        <w:rPr>
          <w:rtl/>
        </w:rPr>
        <w:t xml:space="preserve"> </w:t>
      </w:r>
      <w:r w:rsidR="00D4436B"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 w:rsidRPr="00476007">
        <w:rPr>
          <w:rtl/>
        </w:rPr>
        <w:t>أن المؤمنون فقط أخوة دون غيرهم</w:t>
      </w:r>
      <w:r w:rsidR="00D4436B">
        <w:rPr>
          <w:rFonts w:hint="cs"/>
          <w:rtl/>
        </w:rPr>
        <w:t xml:space="preserve">» </w:t>
      </w:r>
      <w:r>
        <w:rPr>
          <w:rFonts w:hint="cs"/>
          <w:rtl/>
        </w:rPr>
        <w:t>ولی</w:t>
      </w:r>
      <w:r w:rsidR="00D4436B">
        <w:rPr>
          <w:rFonts w:hint="cs"/>
          <w:rtl/>
        </w:rPr>
        <w:t xml:space="preserve"> برخی از این‌</w:t>
      </w:r>
      <w:r>
        <w:rPr>
          <w:rFonts w:hint="cs"/>
          <w:rtl/>
        </w:rPr>
        <w:t>ها نیز قابل توجیه است مثلا</w:t>
      </w:r>
      <w:r w:rsidR="00D4436B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476007">
        <w:rPr>
          <w:rtl/>
        </w:rPr>
        <w:t>ان ال</w:t>
      </w:r>
      <w:r>
        <w:rPr>
          <w:rtl/>
        </w:rPr>
        <w:t>ذين يبايعونك انما يبايعون الله</w:t>
      </w:r>
      <w:r>
        <w:rPr>
          <w:rFonts w:hint="cs"/>
          <w:rtl/>
        </w:rPr>
        <w:t>» مثل «</w:t>
      </w:r>
      <w:r>
        <w:rPr>
          <w:rFonts w:hint="cs"/>
          <w:sz w:val="34"/>
          <w:rtl/>
        </w:rPr>
        <w:t>و ما رمیت اذا رمیت و لکن الله رمی</w:t>
      </w:r>
      <w:r>
        <w:rPr>
          <w:rFonts w:hint="cs"/>
          <w:rtl/>
        </w:rPr>
        <w:t>»</w:t>
      </w:r>
      <w:r w:rsidR="00D4436B">
        <w:rPr>
          <w:rStyle w:val="FootnoteReference"/>
          <w:rtl/>
        </w:rPr>
        <w:footnoteReference w:id="20"/>
      </w:r>
      <w:r>
        <w:rPr>
          <w:rFonts w:hint="cs"/>
          <w:rtl/>
        </w:rPr>
        <w:t xml:space="preserve"> </w:t>
      </w:r>
      <w:r w:rsidR="00D4436B">
        <w:rPr>
          <w:rFonts w:hint="cs"/>
          <w:rtl/>
        </w:rPr>
        <w:t xml:space="preserve">است </w:t>
      </w:r>
      <w:r>
        <w:rPr>
          <w:rFonts w:hint="cs"/>
          <w:rtl/>
        </w:rPr>
        <w:t>و م</w:t>
      </w:r>
      <w:r w:rsidR="00D4436B">
        <w:rPr>
          <w:rFonts w:hint="cs"/>
          <w:rtl/>
        </w:rPr>
        <w:t xml:space="preserve">فاد آن این است که کسانی که با تو </w:t>
      </w:r>
      <w:r>
        <w:rPr>
          <w:rFonts w:hint="cs"/>
          <w:rtl/>
        </w:rPr>
        <w:t xml:space="preserve">بیعت </w:t>
      </w:r>
      <w:r w:rsidR="00D4436B">
        <w:rPr>
          <w:rFonts w:hint="cs"/>
          <w:rtl/>
        </w:rPr>
        <w:t>می‌کنند فقط بیعت با خدا می‌</w:t>
      </w:r>
      <w:r>
        <w:rPr>
          <w:rFonts w:hint="cs"/>
          <w:rtl/>
        </w:rPr>
        <w:t>کنند و در آن شرک و ریا نیست و مفاد «</w:t>
      </w:r>
      <w:r w:rsidRPr="00476007">
        <w:rPr>
          <w:rtl/>
        </w:rPr>
        <w:t xml:space="preserve">انما ذلكم </w:t>
      </w:r>
      <w:r>
        <w:rPr>
          <w:rtl/>
        </w:rPr>
        <w:t>الشيطان يخوف اولياءه فلاتخافوهم</w:t>
      </w:r>
      <w:r>
        <w:rPr>
          <w:rFonts w:hint="cs"/>
          <w:rtl/>
        </w:rPr>
        <w:t xml:space="preserve">» نیز ممکن است این </w:t>
      </w:r>
      <w:r w:rsidR="00D4436B">
        <w:rPr>
          <w:rFonts w:hint="cs"/>
          <w:rtl/>
        </w:rPr>
        <w:t>باشد که شیطان فقط اولیائش را می‌</w:t>
      </w:r>
      <w:r>
        <w:rPr>
          <w:rFonts w:hint="cs"/>
          <w:rtl/>
        </w:rPr>
        <w:t>ترسا</w:t>
      </w:r>
      <w:r w:rsidR="00D4436B">
        <w:rPr>
          <w:rFonts w:hint="cs"/>
          <w:rtl/>
        </w:rPr>
        <w:t>ند چون غیر اولیائش از شیطان نمی‌</w:t>
      </w:r>
      <w:r>
        <w:rPr>
          <w:rFonts w:hint="cs"/>
          <w:rtl/>
        </w:rPr>
        <w:t xml:space="preserve">ترسند و در «انما البیع مثل الربا» مراد از بیع، بیع النسیئة </w:t>
      </w:r>
      <w:r w:rsidR="00D4436B">
        <w:rPr>
          <w:rFonts w:hint="cs"/>
          <w:rtl/>
        </w:rPr>
        <w:t xml:space="preserve">است چون </w:t>
      </w:r>
      <w:r>
        <w:rPr>
          <w:rFonts w:hint="cs"/>
          <w:rtl/>
        </w:rPr>
        <w:t xml:space="preserve">بیع نسیئه که در </w:t>
      </w:r>
      <w:r>
        <w:rPr>
          <w:rFonts w:hint="cs"/>
          <w:rtl/>
        </w:rPr>
        <w:lastRenderedPageBreak/>
        <w:t xml:space="preserve">آن مثلا </w:t>
      </w:r>
      <w:r w:rsidR="00D4436B">
        <w:rPr>
          <w:rFonts w:hint="cs"/>
          <w:rtl/>
        </w:rPr>
        <w:t>فرش که به صورت نقدی یک میلیون فروخته می‌شود به نحو نسیئة</w:t>
      </w:r>
      <w:r>
        <w:rPr>
          <w:rFonts w:hint="cs"/>
          <w:rtl/>
        </w:rPr>
        <w:t xml:space="preserve"> به </w:t>
      </w:r>
      <w:r w:rsidR="00D4436B">
        <w:rPr>
          <w:rFonts w:hint="cs"/>
          <w:rtl/>
        </w:rPr>
        <w:t>قمیت یک میلیون و نیم  فروخته می‌شود، مشرکین می‌</w:t>
      </w:r>
      <w:r>
        <w:rPr>
          <w:rFonts w:hint="cs"/>
          <w:rtl/>
        </w:rPr>
        <w:t>گفتند: این مثل ربا است و چیزی غیر آن نیست لذا دلالت آن بر حصر درست است، و «انما رحمتک للظالمین» نیز حصر ادعائی است چون ائمه</w:t>
      </w:r>
      <w:r w:rsidR="00D4436B">
        <w:rPr>
          <w:rFonts w:hint="cs"/>
          <w:rtl/>
        </w:rPr>
        <w:t xml:space="preserve"> علیهم السلام که نزدیک‌ترین افراد به خداوند متعال هستند،</w:t>
      </w:r>
      <w:r>
        <w:rPr>
          <w:rFonts w:hint="cs"/>
          <w:rtl/>
        </w:rPr>
        <w:t xml:space="preserve"> محتاج به رحمت خداوند به معنای ادعائی نیست</w:t>
      </w:r>
      <w:r w:rsidR="00D4436B">
        <w:rPr>
          <w:rFonts w:hint="cs"/>
          <w:rtl/>
        </w:rPr>
        <w:t>ند بلکه آن مناسبت دارد با انسان‌</w:t>
      </w:r>
      <w:r>
        <w:rPr>
          <w:rFonts w:hint="cs"/>
          <w:rtl/>
        </w:rPr>
        <w:t>ها</w:t>
      </w:r>
      <w:r w:rsidR="00D4436B">
        <w:rPr>
          <w:rFonts w:hint="cs"/>
          <w:rtl/>
        </w:rPr>
        <w:t>ی</w:t>
      </w:r>
      <w:r>
        <w:rPr>
          <w:rFonts w:hint="cs"/>
          <w:rtl/>
        </w:rPr>
        <w:t xml:space="preserve"> ظالم ب</w:t>
      </w:r>
      <w:r w:rsidR="00D4436B">
        <w:rPr>
          <w:rFonts w:hint="cs"/>
          <w:rtl/>
        </w:rPr>
        <w:t>ه‌خاطر گناهانی که انجام دادند،</w:t>
      </w:r>
      <w:r>
        <w:rPr>
          <w:rFonts w:hint="cs"/>
          <w:rtl/>
        </w:rPr>
        <w:t xml:space="preserve"> لذا حصر ادعائی است.  </w:t>
      </w:r>
    </w:p>
    <w:p w:rsidR="00D72CC7" w:rsidRDefault="00D72CC7" w:rsidP="00642264">
      <w:pPr>
        <w:jc w:val="both"/>
        <w:rPr>
          <w:rtl/>
        </w:rPr>
      </w:pPr>
      <w:r>
        <w:rPr>
          <w:rFonts w:hint="cs"/>
          <w:rtl/>
        </w:rPr>
        <w:t>«و انما مثل الحیاة الدنیا کماء انزلناه من السماء»</w:t>
      </w:r>
      <w:r w:rsidR="00D4436B">
        <w:rPr>
          <w:rStyle w:val="FootnoteReference"/>
          <w:rtl/>
        </w:rPr>
        <w:footnoteReference w:id="21"/>
      </w:r>
      <w:r>
        <w:rPr>
          <w:rFonts w:hint="cs"/>
          <w:rtl/>
        </w:rPr>
        <w:t xml:space="preserve"> و «انما النسیء زیادة فی ال</w:t>
      </w:r>
      <w:r w:rsidR="00D4436B">
        <w:rPr>
          <w:rFonts w:hint="cs"/>
          <w:rtl/>
        </w:rPr>
        <w:t>کفر»</w:t>
      </w:r>
      <w:r w:rsidR="00D4436B">
        <w:rPr>
          <w:rStyle w:val="FootnoteReference"/>
          <w:rtl/>
        </w:rPr>
        <w:footnoteReference w:id="22"/>
      </w:r>
      <w:r w:rsidR="00D4436B">
        <w:rPr>
          <w:rFonts w:hint="cs"/>
          <w:rtl/>
        </w:rPr>
        <w:t xml:space="preserve"> نیز حصر ادعائی است و لذا می‌</w:t>
      </w:r>
      <w:r>
        <w:rPr>
          <w:rFonts w:hint="cs"/>
          <w:rtl/>
        </w:rPr>
        <w:t>تو</w:t>
      </w:r>
      <w:r w:rsidR="00120373">
        <w:rPr>
          <w:rFonts w:cs="Sakkal Majalla" w:hint="cs"/>
          <w:rtl/>
        </w:rPr>
        <w:t>ا</w:t>
      </w:r>
      <w:r>
        <w:rPr>
          <w:rFonts w:hint="cs"/>
          <w:rtl/>
        </w:rPr>
        <w:t>ن گفت:</w:t>
      </w:r>
      <w:r w:rsidR="00D4436B">
        <w:rPr>
          <w:rFonts w:hint="cs"/>
          <w:rtl/>
        </w:rPr>
        <w:t xml:space="preserve"> </w:t>
      </w:r>
      <w:r>
        <w:rPr>
          <w:rFonts w:hint="cs"/>
          <w:rtl/>
        </w:rPr>
        <w:t>«ما الحیاة الدنیا الا کماء انزلناه من ا</w:t>
      </w:r>
      <w:r w:rsidR="00D4436B">
        <w:rPr>
          <w:rFonts w:hint="cs"/>
          <w:rtl/>
        </w:rPr>
        <w:t>لسماء» که دنیا مثل آب است که می‌</w:t>
      </w:r>
      <w:r>
        <w:rPr>
          <w:rFonts w:hint="cs"/>
          <w:rtl/>
        </w:rPr>
        <w:t>گذرد و تم</w:t>
      </w:r>
      <w:r w:rsidR="00D4436B">
        <w:rPr>
          <w:rFonts w:hint="cs"/>
          <w:rtl/>
        </w:rPr>
        <w:t>ام می‌</w:t>
      </w:r>
      <w:r>
        <w:rPr>
          <w:rFonts w:hint="cs"/>
          <w:rtl/>
        </w:rPr>
        <w:t>شود.</w:t>
      </w:r>
    </w:p>
    <w:p w:rsidR="00D72CC7" w:rsidRDefault="00D4436B" w:rsidP="00642264">
      <w:pPr>
        <w:jc w:val="both"/>
        <w:rPr>
          <w:rtl/>
        </w:rPr>
      </w:pPr>
      <w:r>
        <w:rPr>
          <w:rFonts w:hint="cs"/>
          <w:rtl/>
        </w:rPr>
        <w:t xml:space="preserve">بنابراین </w:t>
      </w:r>
      <w:r w:rsidR="00D72CC7">
        <w:rPr>
          <w:rFonts w:hint="cs"/>
          <w:rtl/>
        </w:rPr>
        <w:t>موارد استعمال «إنما» در حصر زیاد است و این دلا</w:t>
      </w:r>
      <w:r>
        <w:rPr>
          <w:rFonts w:hint="cs"/>
          <w:rtl/>
        </w:rPr>
        <w:t>ل</w:t>
      </w:r>
      <w:r w:rsidR="00D72CC7">
        <w:rPr>
          <w:rFonts w:hint="cs"/>
          <w:rtl/>
        </w:rPr>
        <w:t>ت موافق وجدان است ک</w:t>
      </w:r>
      <w:r>
        <w:rPr>
          <w:rFonts w:hint="cs"/>
          <w:rtl/>
        </w:rPr>
        <w:t>ه با توجه به آن این موارد را می‌</w:t>
      </w:r>
      <w:r w:rsidR="00D72CC7">
        <w:rPr>
          <w:rFonts w:hint="cs"/>
          <w:rtl/>
        </w:rPr>
        <w:t xml:space="preserve">توان حمل بر حصر ادعائی یا اضافی کرد. </w:t>
      </w:r>
    </w:p>
    <w:p w:rsidR="00D72CC7" w:rsidRDefault="00D72CC7" w:rsidP="00642264">
      <w:pPr>
        <w:pStyle w:val="Heading3"/>
        <w:jc w:val="both"/>
        <w:rPr>
          <w:rtl/>
        </w:rPr>
      </w:pPr>
      <w:bookmarkStart w:id="7" w:name="_Toc140659577"/>
      <w:r>
        <w:rPr>
          <w:rFonts w:hint="cs"/>
          <w:rtl/>
        </w:rPr>
        <w:t>دلالت «أنما» بر حصر</w:t>
      </w:r>
      <w:bookmarkEnd w:id="7"/>
    </w:p>
    <w:p w:rsidR="00D72CC7" w:rsidRDefault="00D72CC7" w:rsidP="00642264">
      <w:pPr>
        <w:jc w:val="both"/>
        <w:rPr>
          <w:rtl/>
        </w:rPr>
      </w:pPr>
      <w:r>
        <w:rPr>
          <w:rFonts w:hint="cs"/>
          <w:rtl/>
        </w:rPr>
        <w:t>مرحوم خویی</w:t>
      </w:r>
      <w:r w:rsidR="00D4436B">
        <w:rPr>
          <w:rFonts w:hint="cs"/>
          <w:rtl/>
        </w:rPr>
        <w:t xml:space="preserve"> رحمه الله</w:t>
      </w:r>
      <w:r>
        <w:rPr>
          <w:rFonts w:hint="cs"/>
          <w:rtl/>
        </w:rPr>
        <w:t xml:space="preserve"> فرمود</w:t>
      </w:r>
      <w:r w:rsidR="00D4436B">
        <w:rPr>
          <w:rFonts w:hint="cs"/>
          <w:rtl/>
        </w:rPr>
        <w:t>ه‌اند: «أنما» دلالت بر حصر نمی‌</w:t>
      </w:r>
      <w:r>
        <w:rPr>
          <w:rFonts w:hint="cs"/>
          <w:rtl/>
        </w:rPr>
        <w:t xml:space="preserve">کند. </w:t>
      </w:r>
    </w:p>
    <w:p w:rsidR="00D72CC7" w:rsidRPr="00196D20" w:rsidRDefault="00D72CC7" w:rsidP="0064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rtl/>
        </w:rPr>
        <w:t>ولی این کلام</w:t>
      </w:r>
      <w:r w:rsidR="00D4436B">
        <w:rPr>
          <w:rFonts w:hint="cs"/>
          <w:rtl/>
        </w:rPr>
        <w:t xml:space="preserve"> نیز</w:t>
      </w:r>
      <w:r>
        <w:rPr>
          <w:rFonts w:hint="cs"/>
          <w:rtl/>
        </w:rPr>
        <w:t xml:space="preserve"> تمام نیست چون عرف بین «إنما الحیاة الدنیا لعب و لهو» و </w:t>
      </w:r>
      <w:r w:rsidRPr="00D4436B">
        <w:rPr>
          <w:rFonts w:hint="cs"/>
          <w:rtl/>
        </w:rPr>
        <w:t>بین «واعلموا أنما الحيوة الدنيا لعب ولهو</w:t>
      </w:r>
      <w:r>
        <w:rPr>
          <w:rFonts w:cs="B Badr" w:hint="cs"/>
          <w:sz w:val="28"/>
          <w:rtl/>
        </w:rPr>
        <w:t>»</w:t>
      </w:r>
      <w:r>
        <w:rPr>
          <w:rFonts w:cs="B Badr"/>
          <w:sz w:val="28"/>
          <w:vertAlign w:val="superscript"/>
          <w:rtl/>
        </w:rPr>
        <w:footnoteReference w:id="23"/>
      </w:r>
      <w:r w:rsidR="00D4436B">
        <w:rPr>
          <w:rFonts w:hint="cs"/>
          <w:rtl/>
        </w:rPr>
        <w:t xml:space="preserve"> فرق نمی‌</w:t>
      </w:r>
      <w:r>
        <w:rPr>
          <w:rFonts w:hint="cs"/>
          <w:rtl/>
        </w:rPr>
        <w:t xml:space="preserve">بیند و در قاموس نیز تصریح به این مطلب </w:t>
      </w:r>
      <w:r w:rsidR="00D4436B">
        <w:rPr>
          <w:rFonts w:hint="cs"/>
          <w:rtl/>
        </w:rPr>
        <w:t>کرده است.</w:t>
      </w:r>
      <w:r w:rsidR="00D4436B">
        <w:rPr>
          <w:rStyle w:val="FootnoteReference"/>
          <w:rtl/>
        </w:rPr>
        <w:footnoteReference w:id="24"/>
      </w:r>
      <w:r>
        <w:rPr>
          <w:rFonts w:hint="cs"/>
          <w:rtl/>
        </w:rPr>
        <w:t xml:space="preserve">. </w:t>
      </w:r>
    </w:p>
    <w:p w:rsidR="00D72CC7" w:rsidRDefault="00D4436B" w:rsidP="00642264">
      <w:pPr>
        <w:jc w:val="both"/>
        <w:rPr>
          <w:rtl/>
        </w:rPr>
      </w:pPr>
      <w:r>
        <w:rPr>
          <w:rFonts w:hint="cs"/>
          <w:rtl/>
        </w:rPr>
        <w:t>البته «أنما» گاهی مرکب از «أ</w:t>
      </w:r>
      <w:r w:rsidR="00D72CC7">
        <w:rPr>
          <w:rFonts w:hint="cs"/>
          <w:rtl/>
        </w:rPr>
        <w:t xml:space="preserve">ن» و «ما» موصوله </w:t>
      </w:r>
      <w:r>
        <w:rPr>
          <w:rFonts w:hint="cs"/>
          <w:rtl/>
        </w:rPr>
        <w:t>است</w:t>
      </w:r>
      <w:r w:rsidR="00D72CC7">
        <w:rPr>
          <w:rFonts w:hint="cs"/>
          <w:rtl/>
        </w:rPr>
        <w:t xml:space="preserve"> مثل:</w:t>
      </w:r>
      <w:r>
        <w:rPr>
          <w:rFonts w:hint="cs"/>
          <w:rtl/>
        </w:rPr>
        <w:t xml:space="preserve"> </w:t>
      </w:r>
      <w:r w:rsidR="00D72CC7">
        <w:rPr>
          <w:rFonts w:hint="cs"/>
          <w:rtl/>
        </w:rPr>
        <w:t>«</w:t>
      </w:r>
      <w:r w:rsidR="00D72CC7">
        <w:rPr>
          <w:rFonts w:hint="cs"/>
          <w:sz w:val="34"/>
          <w:rtl/>
        </w:rPr>
        <w:t>و اعلموا أنما غنمتم من شیء فان لله خمس</w:t>
      </w:r>
      <w:r>
        <w:rPr>
          <w:rFonts w:hint="cs"/>
          <w:sz w:val="34"/>
          <w:rtl/>
        </w:rPr>
        <w:t>ه</w:t>
      </w:r>
      <w:r w:rsidR="00D72CC7">
        <w:rPr>
          <w:rFonts w:hint="cs"/>
          <w:rtl/>
        </w:rPr>
        <w:t>»</w:t>
      </w:r>
      <w:r>
        <w:rPr>
          <w:rStyle w:val="FootnoteReference"/>
          <w:rtl/>
        </w:rPr>
        <w:footnoteReference w:id="25"/>
      </w:r>
      <w:r>
        <w:rPr>
          <w:rFonts w:hint="cs"/>
          <w:rtl/>
        </w:rPr>
        <w:t xml:space="preserve"> </w:t>
      </w:r>
      <w:r w:rsidR="00D72CC7">
        <w:rPr>
          <w:rFonts w:hint="cs"/>
          <w:rtl/>
        </w:rPr>
        <w:t>کما این که بعد ا</w:t>
      </w:r>
      <w:r>
        <w:rPr>
          <w:rFonts w:hint="cs"/>
          <w:rtl/>
        </w:rPr>
        <w:t>ز «إنّ» نیز گاهی «ما» موصوله می‌</w:t>
      </w:r>
      <w:r w:rsidR="00D72CC7">
        <w:rPr>
          <w:rFonts w:hint="cs"/>
          <w:rtl/>
        </w:rPr>
        <w:t>آید مثل «</w:t>
      </w:r>
      <w:r w:rsidR="00D72CC7">
        <w:rPr>
          <w:rFonts w:hint="cs"/>
          <w:sz w:val="34"/>
          <w:rtl/>
        </w:rPr>
        <w:t>إن</w:t>
      </w:r>
      <w:r>
        <w:rPr>
          <w:rFonts w:hint="cs"/>
          <w:sz w:val="34"/>
          <w:rtl/>
        </w:rPr>
        <w:t xml:space="preserve">ّ </w:t>
      </w:r>
      <w:r w:rsidR="00D72CC7">
        <w:rPr>
          <w:rFonts w:hint="cs"/>
          <w:sz w:val="34"/>
          <w:rtl/>
        </w:rPr>
        <w:t>ما توعدون لآت</w:t>
      </w:r>
      <w:r w:rsidR="00D72CC7">
        <w:rPr>
          <w:rFonts w:hint="cs"/>
          <w:rtl/>
        </w:rPr>
        <w:t>»</w:t>
      </w:r>
      <w:r>
        <w:rPr>
          <w:rStyle w:val="FootnoteReference"/>
          <w:rtl/>
        </w:rPr>
        <w:footnoteReference w:id="26"/>
      </w:r>
      <w:r w:rsidR="00D72CC7">
        <w:rPr>
          <w:rFonts w:hint="cs"/>
          <w:rtl/>
        </w:rPr>
        <w:t xml:space="preserve"> و بحث ما در «أنما» </w:t>
      </w:r>
      <w:r>
        <w:rPr>
          <w:rFonts w:hint="cs"/>
          <w:rtl/>
        </w:rPr>
        <w:t>و  «إنما»یی است که کلمه واحده هستند و عرف از هر دو حصر می‌</w:t>
      </w:r>
      <w:r w:rsidR="00D72CC7">
        <w:rPr>
          <w:rFonts w:hint="cs"/>
          <w:rtl/>
        </w:rPr>
        <w:t xml:space="preserve">فهمد. </w:t>
      </w:r>
    </w:p>
    <w:p w:rsidR="00D72CC7" w:rsidRDefault="00DE52E5" w:rsidP="00642264">
      <w:pPr>
        <w:pStyle w:val="Heading3"/>
        <w:jc w:val="both"/>
        <w:rPr>
          <w:rtl/>
        </w:rPr>
      </w:pPr>
      <w:bookmarkStart w:id="8" w:name="_Toc140659578"/>
      <w:r>
        <w:rPr>
          <w:rFonts w:hint="cs"/>
          <w:rtl/>
        </w:rPr>
        <w:lastRenderedPageBreak/>
        <w:t>عدم افاده‌</w:t>
      </w:r>
      <w:r w:rsidR="00D72CC7">
        <w:rPr>
          <w:rFonts w:hint="cs"/>
          <w:rtl/>
        </w:rPr>
        <w:t>ی حصر تقدیم ما حقه التاخیر</w:t>
      </w:r>
      <w:bookmarkEnd w:id="8"/>
    </w:p>
    <w:p w:rsidR="00D72CC7" w:rsidRDefault="00DE52E5" w:rsidP="00642264">
      <w:pPr>
        <w:jc w:val="both"/>
        <w:rPr>
          <w:rtl/>
        </w:rPr>
      </w:pPr>
      <w:r>
        <w:rPr>
          <w:rFonts w:hint="cs"/>
          <w:rtl/>
        </w:rPr>
        <w:t>بعضی قائل شدند به این که تقدیم چیزی که حق آن تاخیر است</w:t>
      </w:r>
      <w:r w:rsidR="00D72CC7">
        <w:rPr>
          <w:rFonts w:hint="cs"/>
          <w:rtl/>
        </w:rPr>
        <w:t xml:space="preserve"> مثل«</w:t>
      </w:r>
      <w:r w:rsidR="00D72CC7" w:rsidRPr="003B7D50">
        <w:rPr>
          <w:rFonts w:hint="cs"/>
          <w:rtl/>
        </w:rPr>
        <w:t xml:space="preserve"> </w:t>
      </w:r>
      <w:r w:rsidR="00D72CC7">
        <w:rPr>
          <w:rFonts w:hint="cs"/>
          <w:rtl/>
        </w:rPr>
        <w:t>ایاک نعبد و ایاک نستعین»</w:t>
      </w:r>
      <w:r>
        <w:rPr>
          <w:rStyle w:val="FootnoteReference"/>
          <w:rtl/>
        </w:rPr>
        <w:footnoteReference w:id="27"/>
      </w:r>
      <w:r>
        <w:rPr>
          <w:rFonts w:hint="cs"/>
          <w:rtl/>
        </w:rPr>
        <w:t xml:space="preserve"> که مفعول به که باید بعد از فعل و فاعل ذکر شود قبل از آن دو بیان شده است،</w:t>
      </w:r>
      <w:r w:rsidR="00D72CC7">
        <w:rPr>
          <w:rFonts w:hint="cs"/>
          <w:rtl/>
        </w:rPr>
        <w:t xml:space="preserve"> مفید حصر است و آن با «نعبد</w:t>
      </w:r>
      <w:r>
        <w:rPr>
          <w:rFonts w:hint="cs"/>
          <w:rtl/>
        </w:rPr>
        <w:t xml:space="preserve">ک </w:t>
      </w:r>
      <w:r w:rsidR="00D72CC7">
        <w:rPr>
          <w:rFonts w:hint="cs"/>
          <w:rtl/>
        </w:rPr>
        <w:t>و نستعینک» تفاوت دارد.</w:t>
      </w:r>
    </w:p>
    <w:p w:rsidR="00D72CC7" w:rsidRDefault="00D72CC7" w:rsidP="00642264">
      <w:pPr>
        <w:jc w:val="both"/>
        <w:rPr>
          <w:rtl/>
        </w:rPr>
      </w:pPr>
      <w:r>
        <w:rPr>
          <w:rFonts w:hint="cs"/>
          <w:rtl/>
        </w:rPr>
        <w:t xml:space="preserve">ولی این کلام تمام نیست چون صرف تقدیم چیزی که </w:t>
      </w:r>
      <w:r w:rsidR="00DE52E5">
        <w:rPr>
          <w:rFonts w:hint="cs"/>
          <w:rtl/>
        </w:rPr>
        <w:t>حقش تاخیر است،</w:t>
      </w:r>
      <w:r>
        <w:rPr>
          <w:rFonts w:hint="cs"/>
          <w:rtl/>
        </w:rPr>
        <w:t xml:space="preserve"> مفید حصر نیست و لذا «ایاک اعنتنی» دلالت ندارد بر این که فقط تو کمک من کردی و کسی غیر تو کمک من نکرد مگر در مواردی که قرینه وجود داشته باشد و یا تناسب حکم و موضوع چنین اقتضا </w:t>
      </w:r>
      <w:r w:rsidRPr="00DE52E5">
        <w:rPr>
          <w:rFonts w:hint="cs"/>
          <w:rtl/>
        </w:rPr>
        <w:t>کند</w:t>
      </w:r>
      <w:r w:rsidR="00DE52E5">
        <w:t>.</w:t>
      </w:r>
      <w:r w:rsidRPr="00DE52E5">
        <w:rPr>
          <w:rFonts w:hint="cs"/>
          <w:rtl/>
        </w:rPr>
        <w:t xml:space="preserve"> و </w:t>
      </w:r>
      <w:r>
        <w:rPr>
          <w:rFonts w:hint="cs"/>
          <w:rtl/>
        </w:rPr>
        <w:t>اما این که ادباء قائل شدند به این که تقدیم ما حقه التاخیر مفید حصر است اولا همه ی ادباء چنین مطلبی را بیان نکردند</w:t>
      </w:r>
      <w:r w:rsidR="00DE52E5">
        <w:rPr>
          <w:rFonts w:hint="cs"/>
          <w:rtl/>
        </w:rPr>
        <w:t xml:space="preserve"> و بعضی این مطلب را بیان کردند</w:t>
      </w:r>
      <w:r w:rsidR="00DE52E5">
        <w:t>.</w:t>
      </w:r>
      <w:r>
        <w:rPr>
          <w:rFonts w:hint="cs"/>
          <w:rtl/>
        </w:rPr>
        <w:t xml:space="preserve"> ثانیا: ما ت</w:t>
      </w:r>
      <w:r w:rsidR="00DE52E5">
        <w:rPr>
          <w:rFonts w:hint="cs"/>
          <w:rtl/>
        </w:rPr>
        <w:t>عبد به کلام ادباء نداریم و در «إ</w:t>
      </w:r>
      <w:r>
        <w:rPr>
          <w:rFonts w:hint="cs"/>
          <w:rtl/>
        </w:rPr>
        <w:t>نما» بخاطر وجدان عرفی دلالت آن بر حصر را قبول کردیم ولی در مقام عرفا خطاب «</w:t>
      </w:r>
      <w:r w:rsidRPr="008E4418">
        <w:rPr>
          <w:rFonts w:hint="cs"/>
          <w:sz w:val="34"/>
          <w:rtl/>
        </w:rPr>
        <w:t xml:space="preserve"> </w:t>
      </w:r>
      <w:r>
        <w:rPr>
          <w:rFonts w:hint="cs"/>
          <w:sz w:val="34"/>
          <w:rtl/>
        </w:rPr>
        <w:t>ایاک نصر زید» با «نصرک زید</w:t>
      </w:r>
      <w:r w:rsidR="00DE52E5">
        <w:rPr>
          <w:rFonts w:hint="cs"/>
          <w:rtl/>
        </w:rPr>
        <w:t>» فرق نمی‌</w:t>
      </w:r>
      <w:r>
        <w:rPr>
          <w:rFonts w:hint="cs"/>
          <w:rtl/>
        </w:rPr>
        <w:t>کند.</w:t>
      </w:r>
    </w:p>
    <w:p w:rsidR="00D72CC7" w:rsidRDefault="00D72CC7" w:rsidP="00642264">
      <w:pPr>
        <w:jc w:val="both"/>
        <w:rPr>
          <w:rtl/>
        </w:rPr>
      </w:pPr>
      <w:r>
        <w:rPr>
          <w:rFonts w:hint="cs"/>
          <w:rtl/>
        </w:rPr>
        <w:t>اما در جملات حملیه مرکبه</w:t>
      </w:r>
      <w:r w:rsidR="00DE52E5">
        <w:rPr>
          <w:rFonts w:hint="cs"/>
          <w:rtl/>
        </w:rPr>
        <w:t xml:space="preserve"> مثل «امیر المؤمنین علی علیه السلام عادل» و «زید فقیه»</w:t>
      </w:r>
      <w:r>
        <w:rPr>
          <w:rFonts w:hint="cs"/>
          <w:rtl/>
        </w:rPr>
        <w:t xml:space="preserve"> اگر ما حقه التاخیر</w:t>
      </w:r>
      <w:r w:rsidR="00DE52E5">
        <w:rPr>
          <w:rFonts w:hint="cs"/>
          <w:rtl/>
        </w:rPr>
        <w:t xml:space="preserve"> مقدم شود </w:t>
      </w:r>
      <w:r>
        <w:rPr>
          <w:rFonts w:hint="cs"/>
          <w:rtl/>
        </w:rPr>
        <w:t>مثل</w:t>
      </w:r>
      <w:r w:rsidR="00DE52E5">
        <w:rPr>
          <w:rFonts w:hint="cs"/>
          <w:rtl/>
        </w:rPr>
        <w:t xml:space="preserve">ا گفته شود </w:t>
      </w:r>
      <w:r>
        <w:rPr>
          <w:rFonts w:hint="cs"/>
          <w:rtl/>
        </w:rPr>
        <w:t>«</w:t>
      </w:r>
      <w:r w:rsidRPr="00DE52E5">
        <w:rPr>
          <w:rFonts w:hint="cs"/>
          <w:rtl/>
        </w:rPr>
        <w:t>العادل امير المؤمنين</w:t>
      </w:r>
      <w:r>
        <w:rPr>
          <w:rFonts w:hint="cs"/>
          <w:rtl/>
        </w:rPr>
        <w:t>»</w:t>
      </w:r>
      <w:r w:rsidR="00DE52E5">
        <w:rPr>
          <w:rFonts w:hint="cs"/>
          <w:rtl/>
        </w:rPr>
        <w:t xml:space="preserve"> و «الفقیه زید» دلالت بر حصر می‌کند چون در قضایای هلیه‌</w:t>
      </w:r>
      <w:r>
        <w:rPr>
          <w:rFonts w:hint="cs"/>
          <w:rtl/>
        </w:rPr>
        <w:t>ی مرکبه همیشه مو</w:t>
      </w:r>
      <w:r w:rsidR="00DE52E5">
        <w:rPr>
          <w:rFonts w:hint="cs"/>
          <w:rtl/>
        </w:rPr>
        <w:t>ضوع اطلاق شمولی دارد بخلاف هلیه‌</w:t>
      </w:r>
      <w:r>
        <w:rPr>
          <w:rFonts w:hint="cs"/>
          <w:rtl/>
        </w:rPr>
        <w:t xml:space="preserve">ی بسیطه مثل:«الانسان </w:t>
      </w:r>
      <w:r w:rsidR="00DE52E5">
        <w:rPr>
          <w:rFonts w:hint="cs"/>
          <w:rtl/>
        </w:rPr>
        <w:t>موجود» که در صورت وجود یک انسان نیز</w:t>
      </w:r>
      <w:r>
        <w:rPr>
          <w:rFonts w:hint="cs"/>
          <w:rtl/>
        </w:rPr>
        <w:t xml:space="preserve"> «الانسان موجود» ص</w:t>
      </w:r>
      <w:r w:rsidR="00DE52E5">
        <w:rPr>
          <w:rFonts w:hint="cs"/>
          <w:rtl/>
        </w:rPr>
        <w:t>ادق خواهد بود ولی در هلیه‌ی مرکبه وقتی گفته می‌</w:t>
      </w:r>
      <w:r>
        <w:rPr>
          <w:rFonts w:hint="cs"/>
          <w:rtl/>
        </w:rPr>
        <w:t>شود:</w:t>
      </w:r>
      <w:r w:rsidR="00DE52E5">
        <w:rPr>
          <w:rFonts w:hint="cs"/>
          <w:rtl/>
        </w:rPr>
        <w:t xml:space="preserve"> </w:t>
      </w:r>
      <w:r>
        <w:rPr>
          <w:rFonts w:hint="cs"/>
          <w:rtl/>
        </w:rPr>
        <w:t>«الانسان ذو راس واحد» باید هر انسانی ای</w:t>
      </w:r>
      <w:r w:rsidR="008B076C">
        <w:rPr>
          <w:rFonts w:hint="cs"/>
          <w:rtl/>
        </w:rPr>
        <w:t>ن وصف را داشته باشد والا جمله ک</w:t>
      </w:r>
      <w:r>
        <w:rPr>
          <w:rFonts w:hint="cs"/>
          <w:rtl/>
        </w:rPr>
        <w:t>ذب خواهد بود و منشا دلالت</w:t>
      </w:r>
      <w:r w:rsidR="008B076C">
        <w:rPr>
          <w:rFonts w:hint="cs"/>
          <w:rtl/>
        </w:rPr>
        <w:t xml:space="preserve"> ما حقه التاخیر در قضایای هلیه‌ی مرکبه</w:t>
      </w:r>
      <w:r>
        <w:rPr>
          <w:rFonts w:hint="cs"/>
          <w:rtl/>
        </w:rPr>
        <w:t xml:space="preserve"> بر حصر این مطلب </w:t>
      </w:r>
      <w:r w:rsidR="008B076C">
        <w:rPr>
          <w:rFonts w:hint="cs"/>
          <w:rtl/>
        </w:rPr>
        <w:t>است</w:t>
      </w:r>
      <w:r>
        <w:rPr>
          <w:rFonts w:hint="cs"/>
          <w:rtl/>
        </w:rPr>
        <w:t xml:space="preserve"> لذا «زید ابنک» </w:t>
      </w:r>
      <w:r w:rsidR="008B076C">
        <w:rPr>
          <w:rFonts w:hint="cs"/>
          <w:rtl/>
        </w:rPr>
        <w:t xml:space="preserve">با «ابنک زید» فرق دارد و </w:t>
      </w:r>
      <w:r>
        <w:rPr>
          <w:rFonts w:hint="cs"/>
          <w:rtl/>
        </w:rPr>
        <w:t>«ابنک زید»</w:t>
      </w:r>
      <w:r w:rsidR="008B076C">
        <w:rPr>
          <w:rFonts w:hint="cs"/>
          <w:rtl/>
        </w:rPr>
        <w:t xml:space="preserve"> دلالت دارد بر این که پسر تو فقط زید است یعنی پسر تو متحد با زید است و هیچ پسری برای تو نیست که زید نباشد ولی «زید ابنک» چنین دلالتی ندارد.</w:t>
      </w:r>
    </w:p>
    <w:p w:rsidR="00D72CC7" w:rsidRDefault="00D72CC7" w:rsidP="00642264">
      <w:pPr>
        <w:jc w:val="both"/>
        <w:rPr>
          <w:rtl/>
        </w:rPr>
      </w:pPr>
      <w:r>
        <w:rPr>
          <w:rFonts w:hint="cs"/>
          <w:rtl/>
        </w:rPr>
        <w:t>البته گاهی «ال»</w:t>
      </w:r>
      <w:r w:rsidR="008B076C">
        <w:rPr>
          <w:rFonts w:hint="cs"/>
          <w:rtl/>
        </w:rPr>
        <w:t>، «ال»</w:t>
      </w:r>
      <w:r>
        <w:rPr>
          <w:rFonts w:hint="cs"/>
          <w:rtl/>
        </w:rPr>
        <w:t xml:space="preserve"> عهد </w:t>
      </w:r>
      <w:r w:rsidR="008B076C">
        <w:rPr>
          <w:rFonts w:hint="cs"/>
          <w:rtl/>
        </w:rPr>
        <w:t>است</w:t>
      </w:r>
      <w:r>
        <w:rPr>
          <w:rFonts w:hint="cs"/>
          <w:rtl/>
        </w:rPr>
        <w:t xml:space="preserve"> مثل«الفقیه </w:t>
      </w:r>
      <w:r w:rsidR="008B076C">
        <w:rPr>
          <w:rFonts w:hint="cs"/>
          <w:rtl/>
        </w:rPr>
        <w:t xml:space="preserve">زید» که ممکن است مراد فقیه خاصی مثل فقیه درجه یک، </w:t>
      </w:r>
      <w:r>
        <w:rPr>
          <w:rFonts w:hint="cs"/>
          <w:rtl/>
        </w:rPr>
        <w:t>باشد که در این صورت دلالت بر حصر ندارد و این که«ال» عهد</w:t>
      </w:r>
      <w:r w:rsidR="008B076C">
        <w:rPr>
          <w:rFonts w:hint="cs"/>
          <w:rtl/>
        </w:rPr>
        <w:t xml:space="preserve"> باشد یا حصر اضافی و ادعائی، نیاز به قرینه دارد و اگر قرینه بر هیچ‌کدام از آن‌ها وجود نداشت ظاهر محمول قرار گرفتن موضوع در قضیه هلیه مرکبه این است که مفید حصر است.</w:t>
      </w:r>
    </w:p>
    <w:p w:rsidR="00D72CC7" w:rsidRDefault="008B076C" w:rsidP="00642264">
      <w:pPr>
        <w:pStyle w:val="Heading3"/>
        <w:jc w:val="both"/>
        <w:rPr>
          <w:rtl/>
        </w:rPr>
      </w:pPr>
      <w:bookmarkStart w:id="9" w:name="_Toc140659579"/>
      <w:r>
        <w:rPr>
          <w:rFonts w:hint="cs"/>
          <w:rtl/>
        </w:rPr>
        <w:lastRenderedPageBreak/>
        <w:t xml:space="preserve">دلالت </w:t>
      </w:r>
      <w:r w:rsidR="00D72CC7">
        <w:rPr>
          <w:rFonts w:hint="cs"/>
          <w:rtl/>
        </w:rPr>
        <w:t>ضمیر فصل</w:t>
      </w:r>
      <w:r>
        <w:rPr>
          <w:rFonts w:hint="cs"/>
          <w:rtl/>
        </w:rPr>
        <w:t xml:space="preserve"> بر حصر</w:t>
      </w:r>
      <w:bookmarkEnd w:id="9"/>
    </w:p>
    <w:p w:rsidR="00D72CC7" w:rsidRDefault="008B076C" w:rsidP="00642264">
      <w:pPr>
        <w:jc w:val="both"/>
        <w:rPr>
          <w:rtl/>
        </w:rPr>
      </w:pPr>
      <w:r>
        <w:rPr>
          <w:rFonts w:hint="cs"/>
          <w:rtl/>
        </w:rPr>
        <w:t xml:space="preserve">یکی دیگر از ادات حصر ذکر ضمیر مبتدا قبل از خبر است مثل «زید هو القائم» </w:t>
      </w:r>
      <w:r w:rsidR="00D72CC7">
        <w:rPr>
          <w:rFonts w:hint="cs"/>
          <w:rtl/>
        </w:rPr>
        <w:t>یعنی زید همان جنس قائم است و آن ها با هم متحد هستند و قائمی غیر زید وجود</w:t>
      </w:r>
      <w:r>
        <w:rPr>
          <w:rFonts w:hint="cs"/>
          <w:rtl/>
        </w:rPr>
        <w:t xml:space="preserve"> ندارد لذا دلالت بر حصر می کند. </w:t>
      </w:r>
      <w:r w:rsidR="00D72CC7">
        <w:rPr>
          <w:rFonts w:hint="cs"/>
          <w:rtl/>
        </w:rPr>
        <w:t xml:space="preserve">البته </w:t>
      </w:r>
      <w:r>
        <w:rPr>
          <w:rFonts w:hint="cs"/>
          <w:rtl/>
        </w:rPr>
        <w:t xml:space="preserve">این </w:t>
      </w:r>
      <w:r w:rsidR="00D72CC7">
        <w:rPr>
          <w:rFonts w:hint="cs"/>
          <w:rtl/>
        </w:rPr>
        <w:t>در صورتی</w:t>
      </w:r>
      <w:r>
        <w:rPr>
          <w:rFonts w:hint="cs"/>
          <w:rtl/>
        </w:rPr>
        <w:t xml:space="preserve"> است</w:t>
      </w:r>
      <w:r w:rsidR="00D72CC7">
        <w:rPr>
          <w:rFonts w:hint="cs"/>
          <w:rtl/>
        </w:rPr>
        <w:t xml:space="preserve"> که «ال» در خبر یعن</w:t>
      </w:r>
      <w:r>
        <w:rPr>
          <w:rFonts w:hint="cs"/>
          <w:rtl/>
        </w:rPr>
        <w:t>ی «القائم» برای جنس باشد نه عهد</w:t>
      </w:r>
      <w:r w:rsidR="00D72CC7">
        <w:rPr>
          <w:rFonts w:hint="cs"/>
          <w:rtl/>
        </w:rPr>
        <w:t>.</w:t>
      </w:r>
    </w:p>
    <w:p w:rsidR="00D72CC7" w:rsidRPr="009C3D37" w:rsidRDefault="00D72CC7" w:rsidP="00642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1EA" w:rsidRDefault="00BF31EA" w:rsidP="00642264">
      <w:pPr>
        <w:jc w:val="both"/>
      </w:pPr>
    </w:p>
    <w:sectPr w:rsidR="00BF31EA" w:rsidSect="00EC7A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91" w:rsidRDefault="00FC5391" w:rsidP="00D72CC7">
      <w:pPr>
        <w:spacing w:after="0" w:line="240" w:lineRule="auto"/>
      </w:pPr>
      <w:r>
        <w:separator/>
      </w:r>
    </w:p>
  </w:endnote>
  <w:endnote w:type="continuationSeparator" w:id="0">
    <w:p w:rsidR="00FC5391" w:rsidRDefault="00FC5391" w:rsidP="00D7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0E" w:rsidRPr="00B129C5" w:rsidRDefault="00A27456">
    <w:pPr>
      <w:pStyle w:val="Footer"/>
      <w:jc w:val="center"/>
      <w:rPr>
        <w:caps/>
        <w:noProof/>
      </w:rPr>
    </w:pPr>
    <w:r w:rsidRPr="00B129C5">
      <w:rPr>
        <w:caps/>
      </w:rPr>
      <w:fldChar w:fldCharType="begin"/>
    </w:r>
    <w:r w:rsidRPr="00B129C5">
      <w:rPr>
        <w:caps/>
      </w:rPr>
      <w:instrText xml:space="preserve"> PAGE   \* MERGEFORMAT </w:instrText>
    </w:r>
    <w:r w:rsidRPr="00B129C5">
      <w:rPr>
        <w:caps/>
      </w:rPr>
      <w:fldChar w:fldCharType="separate"/>
    </w:r>
    <w:r w:rsidR="008474E1">
      <w:rPr>
        <w:caps/>
        <w:noProof/>
        <w:rtl/>
      </w:rPr>
      <w:t>1</w:t>
    </w:r>
    <w:r w:rsidRPr="00B129C5">
      <w:rPr>
        <w:caps/>
        <w:noProof/>
      </w:rPr>
      <w:fldChar w:fldCharType="end"/>
    </w:r>
  </w:p>
  <w:p w:rsidR="00EC7A0E" w:rsidRDefault="00EC7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91" w:rsidRDefault="00FC5391" w:rsidP="00D72CC7">
      <w:pPr>
        <w:spacing w:after="0" w:line="240" w:lineRule="auto"/>
      </w:pPr>
      <w:r>
        <w:separator/>
      </w:r>
    </w:p>
  </w:footnote>
  <w:footnote w:type="continuationSeparator" w:id="0">
    <w:p w:rsidR="00FC5391" w:rsidRDefault="00FC5391" w:rsidP="00D72CC7">
      <w:pPr>
        <w:spacing w:after="0" w:line="240" w:lineRule="auto"/>
      </w:pPr>
      <w:r>
        <w:continuationSeparator/>
      </w:r>
    </w:p>
  </w:footnote>
  <w:footnote w:id="1">
    <w:p w:rsidR="00D72CC7" w:rsidRPr="00D4436B" w:rsidRDefault="00D72CC7" w:rsidP="00D72CC7">
      <w:pPr>
        <w:spacing w:before="100" w:beforeAutospacing="1" w:after="100" w:afterAutospacing="1" w:line="240" w:lineRule="auto"/>
        <w:rPr>
          <w:rFonts w:ascii="NoorLotus" w:eastAsia="Times New Roman" w:hAnsi="NoorLotus"/>
          <w:sz w:val="20"/>
          <w:szCs w:val="20"/>
        </w:rPr>
      </w:pPr>
      <w:r w:rsidRPr="00D4436B">
        <w:rPr>
          <w:rStyle w:val="FootnoteReference"/>
          <w:rFonts w:ascii="NoorLotus" w:hAnsi="NoorLotus"/>
          <w:sz w:val="20"/>
          <w:szCs w:val="20"/>
        </w:rPr>
        <w:footnoteRef/>
      </w:r>
      <w:r w:rsidRPr="00D4436B">
        <w:rPr>
          <w:rFonts w:ascii="NoorLotus" w:hAnsi="NoorLotus"/>
          <w:sz w:val="20"/>
          <w:szCs w:val="20"/>
          <w:rtl/>
        </w:rPr>
        <w:t xml:space="preserve"> </w:t>
      </w:r>
      <w:r w:rsidRPr="00D4436B">
        <w:rPr>
          <w:rFonts w:ascii="NoorLotus" w:eastAsia="Times New Roman" w:hAnsi="NoorLotus"/>
          <w:sz w:val="20"/>
          <w:szCs w:val="20"/>
          <w:rtl/>
        </w:rPr>
        <w:t>دروس في ع</w:t>
      </w:r>
      <w:r w:rsidR="00D20656">
        <w:rPr>
          <w:rFonts w:ascii="NoorLotus" w:eastAsia="Times New Roman" w:hAnsi="NoorLotus"/>
          <w:sz w:val="20"/>
          <w:szCs w:val="20"/>
          <w:rtl/>
        </w:rPr>
        <w:t>لم الأصول (طبع انتشارات اسلامى</w:t>
      </w:r>
      <w:r w:rsidRPr="00D4436B">
        <w:rPr>
          <w:rFonts w:ascii="NoorLotus" w:eastAsia="Times New Roman" w:hAnsi="NoorLotus"/>
          <w:sz w:val="20"/>
          <w:szCs w:val="20"/>
          <w:rtl/>
        </w:rPr>
        <w:t>)</w:t>
      </w:r>
      <w:r w:rsidR="00D20656">
        <w:rPr>
          <w:rFonts w:ascii="NoorLotus" w:eastAsia="Times New Roman" w:hAnsi="NoorLotus" w:hint="cs"/>
          <w:sz w:val="20"/>
          <w:szCs w:val="20"/>
          <w:rtl/>
        </w:rPr>
        <w:t xml:space="preserve"> </w:t>
      </w:r>
      <w:r w:rsidRPr="00D4436B">
        <w:rPr>
          <w:rFonts w:ascii="NoorLotus" w:eastAsia="Times New Roman" w:hAnsi="NoorLotus"/>
          <w:sz w:val="20"/>
          <w:szCs w:val="20"/>
          <w:rtl/>
        </w:rPr>
        <w:t>،</w:t>
      </w:r>
      <w:r w:rsidR="0072304F" w:rsidRPr="00D4436B">
        <w:rPr>
          <w:rFonts w:ascii="NoorLotus" w:eastAsia="Times New Roman" w:hAnsi="NoorLotus"/>
          <w:sz w:val="20"/>
          <w:szCs w:val="20"/>
          <w:rtl/>
        </w:rPr>
        <w:t xml:space="preserve"> صدر، محمد باقر، ج‏2، ص</w:t>
      </w:r>
      <w:r w:rsidRPr="00D4436B">
        <w:rPr>
          <w:rFonts w:ascii="NoorLotus" w:eastAsia="Times New Roman" w:hAnsi="NoorLotus"/>
          <w:sz w:val="20"/>
          <w:szCs w:val="20"/>
          <w:rtl/>
        </w:rPr>
        <w:t>125</w:t>
      </w:r>
      <w:r w:rsidR="0072304F" w:rsidRPr="00D4436B">
        <w:rPr>
          <w:rFonts w:ascii="NoorLotus" w:eastAsia="Times New Roman" w:hAnsi="NoorLotus"/>
          <w:sz w:val="20"/>
          <w:szCs w:val="20"/>
          <w:rtl/>
        </w:rPr>
        <w:t>.</w:t>
      </w:r>
    </w:p>
  </w:footnote>
  <w:footnote w:id="2">
    <w:p w:rsidR="00D72CC7" w:rsidRPr="00D4436B" w:rsidRDefault="00D72CC7" w:rsidP="00D72CC7">
      <w:pPr>
        <w:pStyle w:val="FootnoteText"/>
        <w:rPr>
          <w:rFonts w:ascii="NoorLotus" w:hAnsi="NoorLotus"/>
          <w:rtl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مغنی الادیب ج1ص 406</w:t>
      </w:r>
    </w:p>
  </w:footnote>
  <w:footnote w:id="3">
    <w:p w:rsidR="00CD1367" w:rsidRPr="00D4436B" w:rsidRDefault="00CD1367">
      <w:pPr>
        <w:pStyle w:val="FootnoteText"/>
        <w:rPr>
          <w:rFonts w:ascii="NoorLotus" w:hAnsi="NoorLotus"/>
          <w:rtl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الانعام:36.</w:t>
      </w:r>
    </w:p>
  </w:footnote>
  <w:footnote w:id="4">
    <w:p w:rsidR="00CD1367" w:rsidRPr="00D4436B" w:rsidRDefault="00CD1367">
      <w:pPr>
        <w:pStyle w:val="FootnoteText"/>
        <w:rPr>
          <w:rFonts w:ascii="NoorLotus" w:hAnsi="NoorLotus"/>
          <w:rtl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الانعام:156.</w:t>
      </w:r>
    </w:p>
  </w:footnote>
  <w:footnote w:id="5">
    <w:p w:rsidR="00CD1367" w:rsidRPr="00D4436B" w:rsidRDefault="00CD1367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الاعراف:187.</w:t>
      </w:r>
    </w:p>
  </w:footnote>
  <w:footnote w:id="6">
    <w:p w:rsidR="00CD1367" w:rsidRPr="00D4436B" w:rsidRDefault="00CD1367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الکافی(ط-الاسلامیة)، کلینی، محمد بن یعقوب، ج6، ص502، ح32.</w:t>
      </w:r>
    </w:p>
  </w:footnote>
  <w:footnote w:id="7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تهذیب الاحکام (تحقیق خراسان)، طوسی، محمد بن حسن، ج1، ص122، ح14.</w:t>
      </w:r>
    </w:p>
  </w:footnote>
  <w:footnote w:id="8">
    <w:p w:rsidR="00D4436B" w:rsidRPr="00D4436B" w:rsidRDefault="00D4436B" w:rsidP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من لایحضره الفقیه، ابن بابویه، محمد بن علی، ج1، ص92، ح197.</w:t>
      </w:r>
    </w:p>
  </w:footnote>
  <w:footnote w:id="9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وسائل الشیعة، شیخ حر عاملی، محمد بن حسن، ج1، ص245، ح1.</w:t>
      </w:r>
    </w:p>
  </w:footnote>
  <w:footnote w:id="10">
    <w:p w:rsidR="00D4436B" w:rsidRPr="00D4436B" w:rsidRDefault="00D4436B" w:rsidP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تهذیب الاحکام (تحقیق خراسان)، طوسی، محمد بن حسن، ج1، ص431،ح19.</w:t>
      </w:r>
    </w:p>
  </w:footnote>
  <w:footnote w:id="11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همان، ص188، ح14.</w:t>
      </w:r>
    </w:p>
  </w:footnote>
  <w:footnote w:id="12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محمد:36. </w:t>
      </w:r>
    </w:p>
  </w:footnote>
  <w:footnote w:id="13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الانعام:32.</w:t>
      </w:r>
    </w:p>
  </w:footnote>
  <w:footnote w:id="14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الحجرات:10.</w:t>
      </w:r>
    </w:p>
  </w:footnote>
  <w:footnote w:id="15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التوبة:28.</w:t>
      </w:r>
    </w:p>
  </w:footnote>
  <w:footnote w:id="16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الفتح:10.</w:t>
      </w:r>
    </w:p>
  </w:footnote>
  <w:footnote w:id="17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آل عمران:175.</w:t>
      </w:r>
    </w:p>
  </w:footnote>
  <w:footnote w:id="18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البقرة:275.</w:t>
      </w:r>
    </w:p>
  </w:footnote>
  <w:footnote w:id="19">
    <w:p w:rsidR="00D4436B" w:rsidRPr="00D4436B" w:rsidRDefault="00D4436B" w:rsidP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تهذیب الاحکام (تحقیق خراسان)، طوسی، محمد بن حسن، ج1، ص458، ح137.</w:t>
      </w:r>
    </w:p>
  </w:footnote>
  <w:footnote w:id="20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الانفال:17.</w:t>
      </w:r>
    </w:p>
  </w:footnote>
  <w:footnote w:id="21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یونس:24.</w:t>
      </w:r>
    </w:p>
  </w:footnote>
  <w:footnote w:id="22">
    <w:p w:rsidR="00D4436B" w:rsidRPr="00D4436B" w:rsidRDefault="00D4436B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التوبة:37. </w:t>
      </w:r>
    </w:p>
  </w:footnote>
  <w:footnote w:id="23">
    <w:p w:rsidR="00D72CC7" w:rsidRPr="00D4436B" w:rsidRDefault="00D72CC7" w:rsidP="00D72CC7">
      <w:pPr>
        <w:pStyle w:val="FootnoteText"/>
        <w:rPr>
          <w:rFonts w:ascii="NoorLotus" w:hAnsi="NoorLotus"/>
        </w:rPr>
      </w:pPr>
      <w:r w:rsidRPr="00D4436B">
        <w:rPr>
          <w:rStyle w:val="FootnoteReference"/>
          <w:rFonts w:ascii="NoorLotus" w:eastAsiaTheme="majorEastAsia" w:hAnsi="NoorLotus"/>
          <w:rtl/>
        </w:rPr>
        <w:footnoteRef/>
      </w:r>
      <w:r w:rsidR="00D4436B" w:rsidRPr="00D4436B">
        <w:rPr>
          <w:rFonts w:ascii="NoorLotus" w:hAnsi="NoorLotus"/>
          <w:rtl/>
        </w:rPr>
        <w:t xml:space="preserve"> </w:t>
      </w:r>
      <w:r w:rsidRPr="00D4436B">
        <w:rPr>
          <w:rFonts w:ascii="NoorLotus" w:hAnsi="NoorLotus"/>
          <w:rtl/>
        </w:rPr>
        <w:t>الحديد</w:t>
      </w:r>
      <w:r w:rsidR="00D4436B" w:rsidRPr="00D4436B">
        <w:rPr>
          <w:rFonts w:ascii="NoorLotus" w:hAnsi="NoorLotus"/>
          <w:rtl/>
        </w:rPr>
        <w:t>:</w:t>
      </w:r>
      <w:r w:rsidRPr="00D4436B">
        <w:rPr>
          <w:rFonts w:ascii="NoorLotus" w:hAnsi="NoorLotus"/>
          <w:rtl/>
        </w:rPr>
        <w:t xml:space="preserve"> 20</w:t>
      </w:r>
    </w:p>
  </w:footnote>
  <w:footnote w:id="24">
    <w:p w:rsidR="00D4436B" w:rsidRPr="00D4436B" w:rsidRDefault="00D4436B">
      <w:pPr>
        <w:pStyle w:val="FootnoteText"/>
        <w:rPr>
          <w:rFonts w:ascii="NoorLotus" w:hAnsi="NoorLotus"/>
          <w:rtl/>
        </w:rPr>
      </w:pPr>
      <w:r w:rsidRPr="00D4436B">
        <w:rPr>
          <w:rStyle w:val="FootnoteReference"/>
          <w:rFonts w:ascii="NoorLotus" w:hAnsi="NoorLotus"/>
        </w:rPr>
        <w:footnoteRef/>
      </w:r>
      <w:r w:rsidRPr="00D4436B">
        <w:rPr>
          <w:rFonts w:ascii="NoorLotus" w:hAnsi="NoorLotus"/>
          <w:rtl/>
        </w:rPr>
        <w:t xml:space="preserve"> </w:t>
      </w:r>
      <w:r w:rsidR="00D20656">
        <w:rPr>
          <w:rFonts w:ascii="NoorLotus" w:hAnsi="NoorLotus" w:hint="cs"/>
          <w:rtl/>
        </w:rPr>
        <w:t>القاموس المحیط، فیروزآبادی، محمد بن یعقوب، ج4، ص179.</w:t>
      </w:r>
    </w:p>
  </w:footnote>
  <w:footnote w:id="25">
    <w:p w:rsidR="00D4436B" w:rsidRDefault="00D443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الانفال:41.</w:t>
      </w:r>
    </w:p>
  </w:footnote>
  <w:footnote w:id="26">
    <w:p w:rsidR="00D4436B" w:rsidRDefault="00D443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النعام:134.</w:t>
      </w:r>
    </w:p>
  </w:footnote>
  <w:footnote w:id="27">
    <w:p w:rsidR="00DE52E5" w:rsidRDefault="00DE52E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الفاتحة:5.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0E" w:rsidRPr="009C21E6" w:rsidRDefault="00A27456" w:rsidP="00D72CC7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rFonts w:ascii="NoorLotus" w:hAnsi="NoorLotus"/>
        <w:sz w:val="18"/>
        <w:szCs w:val="18"/>
      </w:rPr>
    </w:pPr>
    <w:r w:rsidRPr="00C574C7">
      <w:rPr>
        <w:rFonts w:ascii="NoorLotus" w:hAnsi="NoorLotus"/>
        <w:b/>
        <w:bCs/>
        <w:sz w:val="18"/>
        <w:szCs w:val="18"/>
        <w:rtl/>
      </w:rPr>
      <w:t>درس خارج اصول استاد شهیدی پور</w:t>
    </w:r>
    <w:r>
      <w:rPr>
        <w:rFonts w:ascii="NoorLotus" w:hAnsi="NoorLotus" w:hint="cs"/>
        <w:b/>
        <w:bCs/>
        <w:sz w:val="18"/>
        <w:szCs w:val="18"/>
        <w:rtl/>
      </w:rPr>
      <w:t xml:space="preserve"> حفظه الله</w:t>
    </w:r>
    <w:r w:rsidRPr="00C574C7">
      <w:rPr>
        <w:rFonts w:ascii="NoorLotus" w:hAnsi="NoorLotus"/>
        <w:b/>
        <w:bCs/>
        <w:sz w:val="18"/>
        <w:szCs w:val="18"/>
        <w:rtl/>
      </w:rPr>
      <w:t>(دوره سوم، سال4)</w:t>
    </w:r>
    <w:r w:rsidRPr="00C574C7"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 w:hint="cs"/>
        <w:sz w:val="18"/>
        <w:szCs w:val="18"/>
        <w:rtl/>
      </w:rPr>
      <w:t xml:space="preserve">                                                                         جلسه</w:t>
    </w:r>
    <w:r w:rsidR="00D72CC7">
      <w:rPr>
        <w:rFonts w:ascii="NoorLotus" w:hAnsi="NoorLotus" w:hint="cs"/>
        <w:sz w:val="18"/>
        <w:szCs w:val="18"/>
        <w:rtl/>
      </w:rPr>
      <w:t>6</w:t>
    </w:r>
    <w:r w:rsidR="00642264"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 w:hint="cs"/>
        <w:sz w:val="18"/>
        <w:szCs w:val="18"/>
        <w:rtl/>
      </w:rPr>
      <w:t>(تاریخ:</w:t>
    </w:r>
    <w:r w:rsidR="00D72CC7">
      <w:rPr>
        <w:rFonts w:ascii="NoorLotus" w:hAnsi="NoorLotus" w:hint="cs"/>
        <w:sz w:val="18"/>
        <w:szCs w:val="18"/>
        <w:rtl/>
      </w:rPr>
      <w:t>12</w:t>
    </w:r>
    <w:r>
      <w:rPr>
        <w:rFonts w:ascii="NoorLotus" w:hAnsi="NoorLotus" w:hint="cs"/>
        <w:sz w:val="18"/>
        <w:szCs w:val="18"/>
        <w:rtl/>
      </w:rPr>
      <w:t>/6/1401)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C7"/>
    <w:rsid w:val="00103C54"/>
    <w:rsid w:val="00120373"/>
    <w:rsid w:val="00300B70"/>
    <w:rsid w:val="003F556B"/>
    <w:rsid w:val="00642264"/>
    <w:rsid w:val="006F78B1"/>
    <w:rsid w:val="0071193D"/>
    <w:rsid w:val="0072304F"/>
    <w:rsid w:val="007612F0"/>
    <w:rsid w:val="008474E1"/>
    <w:rsid w:val="008B076C"/>
    <w:rsid w:val="00A27456"/>
    <w:rsid w:val="00BF31EA"/>
    <w:rsid w:val="00CA326D"/>
    <w:rsid w:val="00CD1367"/>
    <w:rsid w:val="00D20656"/>
    <w:rsid w:val="00D4436B"/>
    <w:rsid w:val="00D72CC7"/>
    <w:rsid w:val="00D815D8"/>
    <w:rsid w:val="00DE52E5"/>
    <w:rsid w:val="00E73A59"/>
    <w:rsid w:val="00EC7A0E"/>
    <w:rsid w:val="00F95D3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E3BA3C-28AF-4BDD-82E2-692FDC1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C7"/>
    <w:pPr>
      <w:bidi/>
      <w:spacing w:after="160" w:line="259" w:lineRule="auto"/>
    </w:pPr>
    <w:rPr>
      <w:rFonts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59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59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59"/>
    <w:rPr>
      <w:rFonts w:asciiTheme="majorHAnsi" w:eastAsiaTheme="majorEastAsia" w:hAnsiTheme="majorHAnsi" w:cs="NoorLotus"/>
      <w:bCs/>
      <w:sz w:val="32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E73A59"/>
    <w:rPr>
      <w:rFonts w:asciiTheme="majorHAnsi" w:eastAsiaTheme="majorEastAsia" w:hAnsiTheme="majorHAnsi" w:cs="NoorLotus"/>
      <w:bCs/>
      <w:sz w:val="24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72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7"/>
    <w:rPr>
      <w:rFonts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72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C7"/>
    <w:rPr>
      <w:rFonts w:cs="NoorLotus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D72C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2CC7"/>
    <w:rPr>
      <w:rFonts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D72C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2C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C7"/>
    <w:rPr>
      <w:rFonts w:ascii="Tahoma" w:hAnsi="Tahoma" w:cs="Tahoma"/>
      <w:sz w:val="16"/>
      <w:szCs w:val="16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NoorLotus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CD13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656"/>
    <w:pPr>
      <w:bidi w:val="0"/>
      <w:spacing w:before="480" w:line="276" w:lineRule="auto"/>
      <w:outlineLvl w:val="9"/>
    </w:pPr>
    <w:rPr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2065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206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20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6C8F-D650-47B9-A269-A906D7C1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zeynabsalar</cp:lastModifiedBy>
  <cp:revision>6</cp:revision>
  <cp:lastPrinted>2023-08-17T19:00:00Z</cp:lastPrinted>
  <dcterms:created xsi:type="dcterms:W3CDTF">2023-07-06T15:36:00Z</dcterms:created>
  <dcterms:modified xsi:type="dcterms:W3CDTF">2023-08-17T19:00:00Z</dcterms:modified>
</cp:coreProperties>
</file>