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Default="00783473" w:rsidP="00844627">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sdt>
      <w:sdtPr>
        <w:rPr>
          <w:rFonts w:cs="B Badr"/>
          <w:color w:val="auto"/>
          <w:szCs w:val="28"/>
          <w:rtl/>
        </w:rPr>
        <w:id w:val="1445116916"/>
        <w:docPartObj>
          <w:docPartGallery w:val="Table of Contents"/>
          <w:docPartUnique/>
        </w:docPartObj>
      </w:sdtPr>
      <w:sdtEndPr>
        <w:rPr>
          <w:rFonts w:asciiTheme="majorHAnsi" w:eastAsiaTheme="majorEastAsia" w:hAnsiTheme="majorHAnsi" w:cstheme="majorBidi"/>
          <w:b/>
          <w:noProof/>
          <w:color w:val="365F91" w:themeColor="accent1" w:themeShade="BF"/>
          <w:sz w:val="32"/>
          <w:szCs w:val="32"/>
          <w:lang w:bidi="ar-SA"/>
        </w:rPr>
      </w:sdtEndPr>
      <w:sdtContent>
        <w:p w:rsidR="003C2554" w:rsidRDefault="003C2554" w:rsidP="003C2554">
          <w:pPr>
            <w:pStyle w:val="TOC2"/>
            <w:tabs>
              <w:tab w:val="right" w:leader="dot" w:pos="10194"/>
            </w:tabs>
            <w:rPr>
              <w:rFonts w:asciiTheme="minorHAnsi" w:eastAsiaTheme="minorEastAsia" w:hAnsiTheme="minorHAnsi" w:cstheme="minorBidi"/>
              <w:bCs w:val="0"/>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 xml:space="preserve">TOC </w:instrText>
          </w:r>
          <w:r>
            <w:rPr>
              <w:rFonts w:cs="B Badr"/>
              <w:color w:val="auto"/>
              <w:szCs w:val="28"/>
              <w:rtl/>
            </w:rPr>
            <w:instrText>\</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83043894" w:history="1">
            <w:r w:rsidRPr="00AE45C5">
              <w:rPr>
                <w:rStyle w:val="Hyperlink"/>
                <w:noProof/>
                <w:rtl/>
              </w:rPr>
              <w:t>بررس</w:t>
            </w:r>
            <w:r w:rsidRPr="00AE45C5">
              <w:rPr>
                <w:rStyle w:val="Hyperlink"/>
                <w:rFonts w:hint="cs"/>
                <w:noProof/>
                <w:rtl/>
              </w:rPr>
              <w:t>ی</w:t>
            </w:r>
            <w:r w:rsidRPr="00AE45C5">
              <w:rPr>
                <w:rStyle w:val="Hyperlink"/>
                <w:noProof/>
                <w:rtl/>
              </w:rPr>
              <w:t xml:space="preserve"> برخ</w:t>
            </w:r>
            <w:r w:rsidRPr="00AE45C5">
              <w:rPr>
                <w:rStyle w:val="Hyperlink"/>
                <w:rFonts w:hint="cs"/>
                <w:noProof/>
                <w:rtl/>
              </w:rPr>
              <w:t>ی</w:t>
            </w:r>
            <w:r w:rsidRPr="00AE45C5">
              <w:rPr>
                <w:rStyle w:val="Hyperlink"/>
                <w:noProof/>
                <w:rtl/>
              </w:rPr>
              <w:t xml:space="preserve"> از ادله شرط</w:t>
            </w:r>
            <w:r w:rsidRPr="00AE45C5">
              <w:rPr>
                <w:rStyle w:val="Hyperlink"/>
                <w:rFonts w:hint="cs"/>
                <w:noProof/>
                <w:rtl/>
              </w:rPr>
              <w:t>ی</w:t>
            </w:r>
            <w:r w:rsidRPr="00AE45C5">
              <w:rPr>
                <w:rStyle w:val="Hyperlink"/>
                <w:rFonts w:hint="eastAsia"/>
                <w:noProof/>
                <w:rtl/>
              </w:rPr>
              <w:t>ت</w:t>
            </w:r>
            <w:r w:rsidRPr="00AE45C5">
              <w:rPr>
                <w:rStyle w:val="Hyperlink"/>
                <w:noProof/>
                <w:rtl/>
              </w:rPr>
              <w:t xml:space="preserve"> استقلال در ق</w:t>
            </w:r>
            <w:r w:rsidRPr="00AE45C5">
              <w:rPr>
                <w:rStyle w:val="Hyperlink"/>
                <w:rFonts w:hint="cs"/>
                <w:noProof/>
                <w:rtl/>
              </w:rPr>
              <w:t>ی</w:t>
            </w:r>
            <w:r w:rsidRPr="00AE45C5">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Toc83043894 \h</w:instrText>
            </w:r>
            <w:r>
              <w:rPr>
                <w:noProof/>
                <w:webHidden/>
                <w:rtl/>
              </w:rPr>
              <w:instrText xml:space="preserve"> </w:instrText>
            </w:r>
            <w:r>
              <w:rPr>
                <w:noProof/>
                <w:webHidden/>
                <w:rtl/>
              </w:rPr>
            </w:r>
            <w:r>
              <w:rPr>
                <w:noProof/>
                <w:webHidden/>
                <w:rtl/>
              </w:rPr>
              <w:fldChar w:fldCharType="separate"/>
            </w:r>
            <w:r w:rsidR="00805242">
              <w:rPr>
                <w:noProof/>
                <w:webHidden/>
                <w:rtl/>
              </w:rPr>
              <w:t>1</w:t>
            </w:r>
            <w:r>
              <w:rPr>
                <w:noProof/>
                <w:webHidden/>
                <w:rtl/>
              </w:rPr>
              <w:fldChar w:fldCharType="end"/>
            </w:r>
          </w:hyperlink>
        </w:p>
        <w:p w:rsidR="003C2554" w:rsidRDefault="003C2554" w:rsidP="003C2554">
          <w:pPr>
            <w:pStyle w:val="TOC2"/>
            <w:tabs>
              <w:tab w:val="right" w:leader="dot" w:pos="10194"/>
            </w:tabs>
            <w:rPr>
              <w:rFonts w:asciiTheme="minorHAnsi" w:eastAsiaTheme="minorEastAsia" w:hAnsiTheme="minorHAnsi" w:cstheme="minorBidi"/>
              <w:bCs w:val="0"/>
              <w:noProof/>
              <w:color w:val="auto"/>
              <w:szCs w:val="22"/>
              <w:rtl/>
              <w:lang w:bidi="ar-SA"/>
            </w:rPr>
          </w:pPr>
          <w:hyperlink w:anchor="_Toc83043895" w:history="1">
            <w:r w:rsidRPr="00AE45C5">
              <w:rPr>
                <w:rStyle w:val="Hyperlink"/>
                <w:noProof/>
                <w:rtl/>
              </w:rPr>
              <w:t>روا</w:t>
            </w:r>
            <w:r w:rsidRPr="00AE45C5">
              <w:rPr>
                <w:rStyle w:val="Hyperlink"/>
                <w:rFonts w:hint="cs"/>
                <w:noProof/>
                <w:rtl/>
              </w:rPr>
              <w:t>ی</w:t>
            </w:r>
            <w:r w:rsidRPr="00AE45C5">
              <w:rPr>
                <w:rStyle w:val="Hyperlink"/>
                <w:rFonts w:hint="eastAsia"/>
                <w:noProof/>
                <w:rtl/>
              </w:rPr>
              <w:t>ت</w:t>
            </w:r>
            <w:r w:rsidRPr="00AE45C5">
              <w:rPr>
                <w:rStyle w:val="Hyperlink"/>
                <w:noProof/>
                <w:rtl/>
              </w:rPr>
              <w:t xml:space="preserve"> دوم دال بر عدم شرط</w:t>
            </w:r>
            <w:r w:rsidRPr="00AE45C5">
              <w:rPr>
                <w:rStyle w:val="Hyperlink"/>
                <w:rFonts w:hint="cs"/>
                <w:noProof/>
                <w:rtl/>
              </w:rPr>
              <w:t>ی</w:t>
            </w:r>
            <w:r w:rsidRPr="00AE45C5">
              <w:rPr>
                <w:rStyle w:val="Hyperlink"/>
                <w:rFonts w:hint="eastAsia"/>
                <w:noProof/>
                <w:rtl/>
              </w:rPr>
              <w:t>ت</w:t>
            </w:r>
            <w:r w:rsidRPr="00AE45C5">
              <w:rPr>
                <w:rStyle w:val="Hyperlink"/>
                <w:noProof/>
                <w:rtl/>
              </w:rPr>
              <w:t xml:space="preserve"> استقلال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Toc83043895 \h</w:instrText>
            </w:r>
            <w:r>
              <w:rPr>
                <w:noProof/>
                <w:webHidden/>
                <w:rtl/>
              </w:rPr>
              <w:instrText xml:space="preserve"> </w:instrText>
            </w:r>
            <w:r>
              <w:rPr>
                <w:noProof/>
                <w:webHidden/>
                <w:rtl/>
              </w:rPr>
            </w:r>
            <w:r>
              <w:rPr>
                <w:noProof/>
                <w:webHidden/>
                <w:rtl/>
              </w:rPr>
              <w:fldChar w:fldCharType="separate"/>
            </w:r>
            <w:r w:rsidR="00805242">
              <w:rPr>
                <w:noProof/>
                <w:webHidden/>
                <w:rtl/>
              </w:rPr>
              <w:t>3</w:t>
            </w:r>
            <w:r>
              <w:rPr>
                <w:noProof/>
                <w:webHidden/>
                <w:rtl/>
              </w:rPr>
              <w:fldChar w:fldCharType="end"/>
            </w:r>
          </w:hyperlink>
        </w:p>
        <w:p w:rsidR="003C2554" w:rsidRDefault="003C2554" w:rsidP="003C255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3043896" w:history="1">
            <w:r w:rsidRPr="00AE45C5">
              <w:rPr>
                <w:rStyle w:val="Hyperlink"/>
                <w:noProof/>
                <w:rtl/>
              </w:rPr>
              <w:t>مناقشه محقق س</w:t>
            </w:r>
            <w:r w:rsidRPr="00AE45C5">
              <w:rPr>
                <w:rStyle w:val="Hyperlink"/>
                <w:rFonts w:hint="cs"/>
                <w:noProof/>
                <w:rtl/>
              </w:rPr>
              <w:t>ی</w:t>
            </w:r>
            <w:r w:rsidRPr="00AE45C5">
              <w:rPr>
                <w:rStyle w:val="Hyperlink"/>
                <w:rFonts w:hint="eastAsia"/>
                <w:noProof/>
                <w:rtl/>
              </w:rPr>
              <w:t>ستان</w:t>
            </w:r>
            <w:r w:rsidRPr="00AE45C5">
              <w:rPr>
                <w:rStyle w:val="Hyperlink"/>
                <w:rFonts w:hint="cs"/>
                <w:noProof/>
                <w:rtl/>
              </w:rPr>
              <w:t>ی</w:t>
            </w:r>
            <w:r w:rsidRPr="00AE45C5">
              <w:rPr>
                <w:rStyle w:val="Hyperlink"/>
                <w:noProof/>
                <w:rtl/>
              </w:rPr>
              <w:t xml:space="preserve"> در دلالت روا</w:t>
            </w:r>
            <w:r w:rsidRPr="00AE45C5">
              <w:rPr>
                <w:rStyle w:val="Hyperlink"/>
                <w:rFonts w:hint="cs"/>
                <w:noProof/>
                <w:rtl/>
              </w:rPr>
              <w:t>ی</w:t>
            </w:r>
            <w:r w:rsidRPr="00AE45C5">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Toc83043896 \h</w:instrText>
            </w:r>
            <w:r>
              <w:rPr>
                <w:noProof/>
                <w:webHidden/>
                <w:rtl/>
              </w:rPr>
              <w:instrText xml:space="preserve"> </w:instrText>
            </w:r>
            <w:r>
              <w:rPr>
                <w:noProof/>
                <w:webHidden/>
                <w:rtl/>
              </w:rPr>
            </w:r>
            <w:r>
              <w:rPr>
                <w:noProof/>
                <w:webHidden/>
                <w:rtl/>
              </w:rPr>
              <w:fldChar w:fldCharType="separate"/>
            </w:r>
            <w:r w:rsidR="00805242">
              <w:rPr>
                <w:noProof/>
                <w:webHidden/>
                <w:rtl/>
              </w:rPr>
              <w:t>3</w:t>
            </w:r>
            <w:r>
              <w:rPr>
                <w:noProof/>
                <w:webHidden/>
                <w:rtl/>
              </w:rPr>
              <w:fldChar w:fldCharType="end"/>
            </w:r>
          </w:hyperlink>
        </w:p>
        <w:p w:rsidR="003C2554" w:rsidRDefault="003C2554" w:rsidP="003C2554">
          <w:pPr>
            <w:pStyle w:val="TOC2"/>
            <w:tabs>
              <w:tab w:val="right" w:leader="dot" w:pos="10194"/>
            </w:tabs>
            <w:rPr>
              <w:rFonts w:asciiTheme="minorHAnsi" w:eastAsiaTheme="minorEastAsia" w:hAnsiTheme="minorHAnsi" w:cstheme="minorBidi"/>
              <w:bCs w:val="0"/>
              <w:noProof/>
              <w:color w:val="auto"/>
              <w:szCs w:val="22"/>
              <w:rtl/>
              <w:lang w:bidi="ar-SA"/>
            </w:rPr>
          </w:pPr>
          <w:hyperlink w:anchor="_Toc83043897" w:history="1">
            <w:r w:rsidRPr="00AE45C5">
              <w:rPr>
                <w:rStyle w:val="Hyperlink"/>
                <w:noProof/>
                <w:rtl/>
              </w:rPr>
              <w:t>روا</w:t>
            </w:r>
            <w:r w:rsidRPr="00AE45C5">
              <w:rPr>
                <w:rStyle w:val="Hyperlink"/>
                <w:rFonts w:hint="cs"/>
                <w:noProof/>
                <w:rtl/>
              </w:rPr>
              <w:t>ی</w:t>
            </w:r>
            <w:r w:rsidRPr="00AE45C5">
              <w:rPr>
                <w:rStyle w:val="Hyperlink"/>
                <w:rFonts w:hint="eastAsia"/>
                <w:noProof/>
                <w:rtl/>
              </w:rPr>
              <w:t>ت</w:t>
            </w:r>
            <w:r w:rsidRPr="00AE45C5">
              <w:rPr>
                <w:rStyle w:val="Hyperlink"/>
                <w:noProof/>
                <w:rtl/>
              </w:rPr>
              <w:t xml:space="preserve"> سوم دال بر عدم شرط</w:t>
            </w:r>
            <w:r w:rsidRPr="00AE45C5">
              <w:rPr>
                <w:rStyle w:val="Hyperlink"/>
                <w:rFonts w:hint="cs"/>
                <w:noProof/>
                <w:rtl/>
              </w:rPr>
              <w:t>ی</w:t>
            </w:r>
            <w:r w:rsidRPr="00AE45C5">
              <w:rPr>
                <w:rStyle w:val="Hyperlink"/>
                <w:rFonts w:hint="eastAsia"/>
                <w:noProof/>
                <w:rtl/>
              </w:rPr>
              <w:t>ت</w:t>
            </w:r>
            <w:r w:rsidRPr="00AE45C5">
              <w:rPr>
                <w:rStyle w:val="Hyperlink"/>
                <w:noProof/>
                <w:rtl/>
              </w:rPr>
              <w:t xml:space="preserve"> استقلال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Toc83043897 \h</w:instrText>
            </w:r>
            <w:r>
              <w:rPr>
                <w:noProof/>
                <w:webHidden/>
                <w:rtl/>
              </w:rPr>
              <w:instrText xml:space="preserve"> </w:instrText>
            </w:r>
            <w:r>
              <w:rPr>
                <w:noProof/>
                <w:webHidden/>
                <w:rtl/>
              </w:rPr>
            </w:r>
            <w:r>
              <w:rPr>
                <w:noProof/>
                <w:webHidden/>
                <w:rtl/>
              </w:rPr>
              <w:fldChar w:fldCharType="separate"/>
            </w:r>
            <w:r w:rsidR="00805242">
              <w:rPr>
                <w:noProof/>
                <w:webHidden/>
                <w:rtl/>
              </w:rPr>
              <w:t>4</w:t>
            </w:r>
            <w:r>
              <w:rPr>
                <w:noProof/>
                <w:webHidden/>
                <w:rtl/>
              </w:rPr>
              <w:fldChar w:fldCharType="end"/>
            </w:r>
          </w:hyperlink>
        </w:p>
        <w:p w:rsidR="003C2554" w:rsidRDefault="003C2554" w:rsidP="003C255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3043898" w:history="1">
            <w:r w:rsidRPr="00AE45C5">
              <w:rPr>
                <w:rStyle w:val="Hyperlink"/>
                <w:noProof/>
                <w:rtl/>
              </w:rPr>
              <w:t>بررس</w:t>
            </w:r>
            <w:r w:rsidRPr="00AE45C5">
              <w:rPr>
                <w:rStyle w:val="Hyperlink"/>
                <w:rFonts w:hint="cs"/>
                <w:noProof/>
                <w:rtl/>
              </w:rPr>
              <w:t>ی</w:t>
            </w:r>
            <w:r w:rsidRPr="00AE45C5">
              <w:rPr>
                <w:rStyle w:val="Hyperlink"/>
                <w:noProof/>
                <w:rtl/>
              </w:rPr>
              <w:t xml:space="preserve"> سند</w:t>
            </w:r>
            <w:r w:rsidRPr="00AE45C5">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Toc83043898 \h</w:instrText>
            </w:r>
            <w:r>
              <w:rPr>
                <w:noProof/>
                <w:webHidden/>
                <w:rtl/>
              </w:rPr>
              <w:instrText xml:space="preserve"> </w:instrText>
            </w:r>
            <w:r>
              <w:rPr>
                <w:noProof/>
                <w:webHidden/>
                <w:rtl/>
              </w:rPr>
            </w:r>
            <w:r>
              <w:rPr>
                <w:noProof/>
                <w:webHidden/>
                <w:rtl/>
              </w:rPr>
              <w:fldChar w:fldCharType="separate"/>
            </w:r>
            <w:r w:rsidR="00805242">
              <w:rPr>
                <w:noProof/>
                <w:webHidden/>
                <w:rtl/>
              </w:rPr>
              <w:t>5</w:t>
            </w:r>
            <w:r>
              <w:rPr>
                <w:noProof/>
                <w:webHidden/>
                <w:rtl/>
              </w:rPr>
              <w:fldChar w:fldCharType="end"/>
            </w:r>
          </w:hyperlink>
        </w:p>
        <w:p w:rsidR="003C2554" w:rsidRDefault="003C2554" w:rsidP="003C255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3043899" w:history="1">
            <w:r w:rsidRPr="00AE45C5">
              <w:rPr>
                <w:rStyle w:val="Hyperlink"/>
                <w:noProof/>
                <w:rtl/>
              </w:rPr>
              <w:t>کلام محقق س</w:t>
            </w:r>
            <w:r w:rsidRPr="00AE45C5">
              <w:rPr>
                <w:rStyle w:val="Hyperlink"/>
                <w:rFonts w:hint="cs"/>
                <w:noProof/>
                <w:rtl/>
              </w:rPr>
              <w:t>ی</w:t>
            </w:r>
            <w:r w:rsidRPr="00AE45C5">
              <w:rPr>
                <w:rStyle w:val="Hyperlink"/>
                <w:rFonts w:hint="eastAsia"/>
                <w:noProof/>
                <w:rtl/>
              </w:rPr>
              <w:t>ستان</w:t>
            </w:r>
            <w:r w:rsidRPr="00AE45C5">
              <w:rPr>
                <w:rStyle w:val="Hyperlink"/>
                <w:rFonts w:hint="cs"/>
                <w:noProof/>
                <w:rtl/>
              </w:rPr>
              <w:t>ی</w:t>
            </w:r>
            <w:r w:rsidRPr="00AE45C5">
              <w:rPr>
                <w:rStyle w:val="Hyperlink"/>
                <w:noProof/>
                <w:rtl/>
              </w:rPr>
              <w:t xml:space="preserve"> در مناقشه به دلالت روا</w:t>
            </w:r>
            <w:r w:rsidRPr="00AE45C5">
              <w:rPr>
                <w:rStyle w:val="Hyperlink"/>
                <w:rFonts w:hint="cs"/>
                <w:noProof/>
                <w:rtl/>
              </w:rPr>
              <w:t>ی</w:t>
            </w:r>
            <w:r w:rsidRPr="00AE45C5">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Toc83043899 \h</w:instrText>
            </w:r>
            <w:r>
              <w:rPr>
                <w:noProof/>
                <w:webHidden/>
                <w:rtl/>
              </w:rPr>
              <w:instrText xml:space="preserve"> </w:instrText>
            </w:r>
            <w:r>
              <w:rPr>
                <w:noProof/>
                <w:webHidden/>
                <w:rtl/>
              </w:rPr>
            </w:r>
            <w:r>
              <w:rPr>
                <w:noProof/>
                <w:webHidden/>
                <w:rtl/>
              </w:rPr>
              <w:fldChar w:fldCharType="separate"/>
            </w:r>
            <w:r w:rsidR="00805242">
              <w:rPr>
                <w:noProof/>
                <w:webHidden/>
                <w:rtl/>
              </w:rPr>
              <w:t>5</w:t>
            </w:r>
            <w:r>
              <w:rPr>
                <w:noProof/>
                <w:webHidden/>
                <w:rtl/>
              </w:rPr>
              <w:fldChar w:fldCharType="end"/>
            </w:r>
          </w:hyperlink>
        </w:p>
        <w:p w:rsidR="003C2554" w:rsidRDefault="003C2554" w:rsidP="003C2554">
          <w:pPr>
            <w:pStyle w:val="TOC4"/>
            <w:tabs>
              <w:tab w:val="right" w:leader="dot" w:pos="10194"/>
            </w:tabs>
            <w:rPr>
              <w:rFonts w:asciiTheme="minorHAnsi" w:eastAsiaTheme="minorEastAsia" w:hAnsiTheme="minorHAnsi" w:cstheme="minorBidi"/>
              <w:bCs w:val="0"/>
              <w:noProof/>
              <w:color w:val="auto"/>
              <w:szCs w:val="22"/>
              <w:rtl/>
              <w:lang w:bidi="ar-SA"/>
            </w:rPr>
          </w:pPr>
          <w:hyperlink w:anchor="_Toc83043900" w:history="1">
            <w:r w:rsidRPr="00AE45C5">
              <w:rPr>
                <w:rStyle w:val="Hyperlink"/>
                <w:noProof/>
                <w:rtl/>
              </w:rPr>
              <w:t>مناقشه در فرما</w:t>
            </w:r>
            <w:r w:rsidRPr="00AE45C5">
              <w:rPr>
                <w:rStyle w:val="Hyperlink"/>
                <w:rFonts w:hint="cs"/>
                <w:noProof/>
                <w:rtl/>
              </w:rPr>
              <w:t>ی</w:t>
            </w:r>
            <w:r w:rsidRPr="00AE45C5">
              <w:rPr>
                <w:rStyle w:val="Hyperlink"/>
                <w:rFonts w:hint="eastAsia"/>
                <w:noProof/>
                <w:rtl/>
              </w:rPr>
              <w:t>ش</w:t>
            </w:r>
            <w:r w:rsidRPr="00AE45C5">
              <w:rPr>
                <w:rStyle w:val="Hyperlink"/>
                <w:noProof/>
                <w:rtl/>
              </w:rPr>
              <w:t xml:space="preserve"> محقق س</w:t>
            </w:r>
            <w:r w:rsidRPr="00AE45C5">
              <w:rPr>
                <w:rStyle w:val="Hyperlink"/>
                <w:rFonts w:hint="cs"/>
                <w:noProof/>
                <w:rtl/>
              </w:rPr>
              <w:t>ی</w:t>
            </w:r>
            <w:r w:rsidRPr="00AE45C5">
              <w:rPr>
                <w:rStyle w:val="Hyperlink"/>
                <w:rFonts w:hint="eastAsia"/>
                <w:noProof/>
                <w:rtl/>
              </w:rPr>
              <w:t>ستان</w:t>
            </w:r>
            <w:r w:rsidRPr="00AE45C5">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Toc83043900 \h</w:instrText>
            </w:r>
            <w:r>
              <w:rPr>
                <w:noProof/>
                <w:webHidden/>
                <w:rtl/>
              </w:rPr>
              <w:instrText xml:space="preserve"> </w:instrText>
            </w:r>
            <w:r>
              <w:rPr>
                <w:noProof/>
                <w:webHidden/>
                <w:rtl/>
              </w:rPr>
            </w:r>
            <w:r>
              <w:rPr>
                <w:noProof/>
                <w:webHidden/>
                <w:rtl/>
              </w:rPr>
              <w:fldChar w:fldCharType="separate"/>
            </w:r>
            <w:r w:rsidR="00805242">
              <w:rPr>
                <w:noProof/>
                <w:webHidden/>
                <w:rtl/>
              </w:rPr>
              <w:t>6</w:t>
            </w:r>
            <w:r>
              <w:rPr>
                <w:noProof/>
                <w:webHidden/>
                <w:rtl/>
              </w:rPr>
              <w:fldChar w:fldCharType="end"/>
            </w:r>
          </w:hyperlink>
        </w:p>
        <w:p w:rsidR="003C2554" w:rsidRDefault="003C2554" w:rsidP="003C255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3043901" w:history="1">
            <w:r w:rsidRPr="00AE45C5">
              <w:rPr>
                <w:rStyle w:val="Hyperlink"/>
                <w:noProof/>
                <w:rtl/>
              </w:rPr>
              <w:t>مختار استاد در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Toc83043901 \h</w:instrText>
            </w:r>
            <w:r>
              <w:rPr>
                <w:noProof/>
                <w:webHidden/>
                <w:rtl/>
              </w:rPr>
              <w:instrText xml:space="preserve"> </w:instrText>
            </w:r>
            <w:r>
              <w:rPr>
                <w:noProof/>
                <w:webHidden/>
                <w:rtl/>
              </w:rPr>
            </w:r>
            <w:r>
              <w:rPr>
                <w:noProof/>
                <w:webHidden/>
                <w:rtl/>
              </w:rPr>
              <w:fldChar w:fldCharType="separate"/>
            </w:r>
            <w:r w:rsidR="00805242">
              <w:rPr>
                <w:noProof/>
                <w:webHidden/>
                <w:rtl/>
              </w:rPr>
              <w:t>6</w:t>
            </w:r>
            <w:r>
              <w:rPr>
                <w:noProof/>
                <w:webHidden/>
                <w:rtl/>
              </w:rPr>
              <w:fldChar w:fldCharType="end"/>
            </w:r>
          </w:hyperlink>
        </w:p>
        <w:p w:rsidR="003C2554" w:rsidRDefault="003C2554" w:rsidP="003C255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3043902" w:history="1">
            <w:r w:rsidRPr="00AE45C5">
              <w:rPr>
                <w:rStyle w:val="Hyperlink"/>
                <w:noProof/>
                <w:rtl/>
              </w:rPr>
              <w:t>مناقشه در فرما</w:t>
            </w:r>
            <w:r w:rsidRPr="00AE45C5">
              <w:rPr>
                <w:rStyle w:val="Hyperlink"/>
                <w:rFonts w:hint="cs"/>
                <w:noProof/>
                <w:rtl/>
              </w:rPr>
              <w:t>ی</w:t>
            </w:r>
            <w:r w:rsidRPr="00AE45C5">
              <w:rPr>
                <w:rStyle w:val="Hyperlink"/>
                <w:rFonts w:hint="eastAsia"/>
                <w:noProof/>
                <w:rtl/>
              </w:rPr>
              <w:t>ش</w:t>
            </w:r>
            <w:r w:rsidRPr="00AE45C5">
              <w:rPr>
                <w:rStyle w:val="Hyperlink"/>
                <w:noProof/>
                <w:rtl/>
              </w:rPr>
              <w:t xml:space="preserve"> صاحب جواهر مبن</w:t>
            </w:r>
            <w:r w:rsidRPr="00AE45C5">
              <w:rPr>
                <w:rStyle w:val="Hyperlink"/>
                <w:rFonts w:hint="cs"/>
                <w:noProof/>
                <w:rtl/>
              </w:rPr>
              <w:t>ی</w:t>
            </w:r>
            <w:r w:rsidRPr="00AE45C5">
              <w:rPr>
                <w:rStyle w:val="Hyperlink"/>
                <w:noProof/>
                <w:rtl/>
              </w:rPr>
              <w:t xml:space="preserve"> بر حمل بر تق</w:t>
            </w:r>
            <w:r w:rsidRPr="00AE45C5">
              <w:rPr>
                <w:rStyle w:val="Hyperlink"/>
                <w:rFonts w:hint="cs"/>
                <w:noProof/>
                <w:rtl/>
              </w:rPr>
              <w:t>ی</w:t>
            </w:r>
            <w:r w:rsidRPr="00AE45C5">
              <w:rPr>
                <w:rStyle w:val="Hyperlink"/>
                <w:rFonts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Toc83043902 \h</w:instrText>
            </w:r>
            <w:r>
              <w:rPr>
                <w:noProof/>
                <w:webHidden/>
                <w:rtl/>
              </w:rPr>
              <w:instrText xml:space="preserve"> </w:instrText>
            </w:r>
            <w:r>
              <w:rPr>
                <w:noProof/>
                <w:webHidden/>
                <w:rtl/>
              </w:rPr>
            </w:r>
            <w:r>
              <w:rPr>
                <w:noProof/>
                <w:webHidden/>
                <w:rtl/>
              </w:rPr>
              <w:fldChar w:fldCharType="separate"/>
            </w:r>
            <w:r w:rsidR="00805242">
              <w:rPr>
                <w:noProof/>
                <w:webHidden/>
                <w:rtl/>
              </w:rPr>
              <w:t>6</w:t>
            </w:r>
            <w:r>
              <w:rPr>
                <w:noProof/>
                <w:webHidden/>
                <w:rtl/>
              </w:rPr>
              <w:fldChar w:fldCharType="end"/>
            </w:r>
          </w:hyperlink>
        </w:p>
        <w:p w:rsidR="003C2554" w:rsidRDefault="003C2554" w:rsidP="003C2554">
          <w:pPr>
            <w:pStyle w:val="TOC2"/>
            <w:tabs>
              <w:tab w:val="right" w:leader="dot" w:pos="10194"/>
            </w:tabs>
            <w:rPr>
              <w:rFonts w:asciiTheme="minorHAnsi" w:eastAsiaTheme="minorEastAsia" w:hAnsiTheme="minorHAnsi" w:cstheme="minorBidi"/>
              <w:bCs w:val="0"/>
              <w:noProof/>
              <w:color w:val="auto"/>
              <w:szCs w:val="22"/>
              <w:rtl/>
              <w:lang w:bidi="ar-SA"/>
            </w:rPr>
          </w:pPr>
          <w:hyperlink w:anchor="_Toc83043903" w:history="1">
            <w:r w:rsidRPr="00AE45C5">
              <w:rPr>
                <w:rStyle w:val="Hyperlink"/>
                <w:noProof/>
                <w:rtl/>
              </w:rPr>
              <w:t>وجوب انتصاب و استقرار در حال اخت</w:t>
            </w:r>
            <w:r w:rsidRPr="00AE45C5">
              <w:rPr>
                <w:rStyle w:val="Hyperlink"/>
                <w:rFonts w:hint="cs"/>
                <w:noProof/>
                <w:rtl/>
              </w:rPr>
              <w:t>ی</w:t>
            </w:r>
            <w:r w:rsidRPr="00AE45C5">
              <w:rPr>
                <w:rStyle w:val="Hyperlink"/>
                <w:rFonts w:hint="eastAsia"/>
                <w:noProof/>
                <w:rtl/>
              </w:rPr>
              <w:t>ار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Toc83043903 \h</w:instrText>
            </w:r>
            <w:r>
              <w:rPr>
                <w:noProof/>
                <w:webHidden/>
                <w:rtl/>
              </w:rPr>
              <w:instrText xml:space="preserve"> </w:instrText>
            </w:r>
            <w:r>
              <w:rPr>
                <w:noProof/>
                <w:webHidden/>
                <w:rtl/>
              </w:rPr>
            </w:r>
            <w:r>
              <w:rPr>
                <w:noProof/>
                <w:webHidden/>
                <w:rtl/>
              </w:rPr>
              <w:fldChar w:fldCharType="separate"/>
            </w:r>
            <w:r w:rsidR="00805242">
              <w:rPr>
                <w:noProof/>
                <w:webHidden/>
                <w:rtl/>
              </w:rPr>
              <w:t>7</w:t>
            </w:r>
            <w:r>
              <w:rPr>
                <w:noProof/>
                <w:webHidden/>
                <w:rtl/>
              </w:rPr>
              <w:fldChar w:fldCharType="end"/>
            </w:r>
          </w:hyperlink>
        </w:p>
        <w:p w:rsidR="00B11ADB" w:rsidRPr="005009D6" w:rsidRDefault="003C2554" w:rsidP="005009D6">
          <w:pPr>
            <w:pStyle w:val="TOCHeading"/>
            <w:bidi/>
            <w:rPr>
              <w:rStyle w:val="Emphasis"/>
              <w:rFonts w:cstheme="majorBidi"/>
              <w:bCs w:val="0"/>
              <w:i w:val="0"/>
              <w:color w:val="365F91" w:themeColor="accent1" w:themeShade="BF"/>
              <w:szCs w:val="32"/>
              <w:rtl/>
            </w:rPr>
          </w:pPr>
          <w:r>
            <w:rPr>
              <w:rFonts w:ascii="Calibri" w:eastAsia="Calibri" w:hAnsi="Calibri" w:cs="B Badr"/>
              <w:color w:val="auto"/>
              <w:sz w:val="22"/>
              <w:szCs w:val="28"/>
              <w:rtl/>
              <w:lang w:bidi="fa-IR"/>
            </w:rPr>
            <w:fldChar w:fldCharType="end"/>
          </w:r>
        </w:p>
      </w:sdtContent>
    </w:sdt>
    <w:p w:rsidR="008F5B4D" w:rsidRPr="009C66D5" w:rsidRDefault="008F5B4D" w:rsidP="00844627">
      <w:pPr>
        <w:jc w:val="both"/>
        <w:rPr>
          <w:rStyle w:val="Emphasis"/>
          <w:b/>
          <w:bCs w:val="0"/>
          <w:rtl/>
        </w:rPr>
      </w:pPr>
      <w:r w:rsidRPr="009C66D5">
        <w:rPr>
          <w:rStyle w:val="Emphasis"/>
          <w:rFonts w:hint="cs"/>
          <w:b/>
          <w:bCs w:val="0"/>
          <w:rtl/>
        </w:rPr>
        <w:t>خلاصه مباحث گذشته:</w:t>
      </w:r>
    </w:p>
    <w:p w:rsidR="00247D2F" w:rsidRPr="003A6148" w:rsidRDefault="00957DB1" w:rsidP="00844627">
      <w:pPr>
        <w:pBdr>
          <w:bottom w:val="double" w:sz="6" w:space="1" w:color="auto"/>
        </w:pBdr>
        <w:jc w:val="both"/>
      </w:pPr>
      <w:r>
        <w:rPr>
          <w:rFonts w:hint="cs"/>
          <w:rtl/>
        </w:rPr>
        <w:t xml:space="preserve">در جلسه گذشته </w:t>
      </w:r>
      <w:r w:rsidR="004A09CC">
        <w:rPr>
          <w:rFonts w:hint="cs"/>
          <w:rtl/>
        </w:rPr>
        <w:t>مسئله اشتراط استقلال در قیام و برخی از ادله قائلین به آن مطرح شد. در این جلسه به بیان ادامه ی أدله قائلین و راه های جمع بین رو</w:t>
      </w:r>
      <w:r w:rsidR="002A0013">
        <w:rPr>
          <w:rFonts w:hint="cs"/>
          <w:rtl/>
        </w:rPr>
        <w:t>ایات موافق و مخالف مطرح می ش</w:t>
      </w:r>
      <w:bookmarkStart w:id="0" w:name="_GoBack"/>
      <w:bookmarkEnd w:id="0"/>
      <w:r w:rsidR="002A0013">
        <w:rPr>
          <w:rFonts w:hint="cs"/>
          <w:rtl/>
        </w:rPr>
        <w:t xml:space="preserve">ود و در آخر به بحث شرطیت انتصاب و استقرار در حال اختیار اشاره می شود. </w:t>
      </w:r>
    </w:p>
    <w:p w:rsidR="00A108F8" w:rsidRDefault="00A108F8" w:rsidP="00A108F8">
      <w:pPr>
        <w:pStyle w:val="Heading2"/>
        <w:rPr>
          <w:rtl/>
        </w:rPr>
      </w:pPr>
      <w:bookmarkStart w:id="1" w:name="_Toc83043894"/>
      <w:r>
        <w:rPr>
          <w:rFonts w:hint="cs"/>
          <w:rtl/>
        </w:rPr>
        <w:t>بررسی برخی از ادله شرطیت استقلال در قیام</w:t>
      </w:r>
      <w:bookmarkEnd w:id="1"/>
      <w:r>
        <w:rPr>
          <w:rFonts w:hint="cs"/>
          <w:rtl/>
        </w:rPr>
        <w:t xml:space="preserve"> </w:t>
      </w:r>
    </w:p>
    <w:p w:rsidR="00A108F8" w:rsidRDefault="00C5439C" w:rsidP="00844627">
      <w:pPr>
        <w:jc w:val="both"/>
        <w:rPr>
          <w:rtl/>
        </w:rPr>
      </w:pPr>
      <w:r>
        <w:rPr>
          <w:rFonts w:hint="cs"/>
          <w:rtl/>
        </w:rPr>
        <w:t>بحث در شرطیت استقلال در قیام بود که مشهور قائل به شرطیت آن بودند و ادله ای بر این مطلب ذکر کرده اند. از جمله</w:t>
      </w:r>
      <w:r w:rsidR="00A108F8">
        <w:rPr>
          <w:rFonts w:hint="cs"/>
          <w:rtl/>
        </w:rPr>
        <w:t>:</w:t>
      </w:r>
    </w:p>
    <w:p w:rsidR="00A108F8" w:rsidRDefault="00A108F8" w:rsidP="00A108F8">
      <w:pPr>
        <w:pStyle w:val="ListParagraph"/>
        <w:numPr>
          <w:ilvl w:val="0"/>
          <w:numId w:val="9"/>
        </w:numPr>
        <w:jc w:val="both"/>
        <w:rPr>
          <w:rtl/>
        </w:rPr>
      </w:pPr>
      <w:r>
        <w:rPr>
          <w:rFonts w:hint="cs"/>
          <w:rtl/>
        </w:rPr>
        <w:t>انصراف</w:t>
      </w:r>
    </w:p>
    <w:p w:rsidR="00A108F8" w:rsidRDefault="00C5439C" w:rsidP="00844627">
      <w:pPr>
        <w:jc w:val="both"/>
        <w:rPr>
          <w:rtl/>
        </w:rPr>
      </w:pPr>
      <w:r>
        <w:rPr>
          <w:rFonts w:hint="cs"/>
          <w:rtl/>
        </w:rPr>
        <w:t xml:space="preserve">برخی گفته اند قیام انصراف به قیام بدون اعتماد به چیزی دارد. این دلیل اشکال دارد؛ چرا که هیچ انصرافی در امر به قیام دیده نمی شود. </w:t>
      </w:r>
    </w:p>
    <w:p w:rsidR="00A108F8" w:rsidRDefault="00A108F8" w:rsidP="00A108F8">
      <w:pPr>
        <w:pStyle w:val="ListParagraph"/>
        <w:numPr>
          <w:ilvl w:val="0"/>
          <w:numId w:val="9"/>
        </w:numPr>
        <w:jc w:val="both"/>
        <w:rPr>
          <w:rtl/>
        </w:rPr>
      </w:pPr>
      <w:r>
        <w:rPr>
          <w:rFonts w:hint="cs"/>
          <w:rtl/>
        </w:rPr>
        <w:t xml:space="preserve">روایت نبوی و صحیحه حماد </w:t>
      </w:r>
    </w:p>
    <w:p w:rsidR="00613BFE" w:rsidRDefault="00C5439C" w:rsidP="00A108F8">
      <w:pPr>
        <w:jc w:val="both"/>
        <w:rPr>
          <w:rtl/>
        </w:rPr>
      </w:pPr>
      <w:r>
        <w:rPr>
          <w:rFonts w:hint="cs"/>
          <w:rtl/>
        </w:rPr>
        <w:t xml:space="preserve">برخی دلیل </w:t>
      </w:r>
      <w:r w:rsidRPr="00A108F8">
        <w:rPr>
          <w:rFonts w:hint="cs"/>
          <w:color w:val="008000"/>
          <w:rtl/>
        </w:rPr>
        <w:t>«صلوا کما رأیتمونی</w:t>
      </w:r>
      <w:r w:rsidR="00A108F8" w:rsidRPr="00A108F8">
        <w:rPr>
          <w:rFonts w:hint="cs"/>
          <w:color w:val="008000"/>
          <w:rtl/>
        </w:rPr>
        <w:t xml:space="preserve"> أصلی</w:t>
      </w:r>
      <w:r w:rsidR="00A108F8">
        <w:rPr>
          <w:rFonts w:hint="cs"/>
          <w:rtl/>
        </w:rPr>
        <w:t>»</w:t>
      </w:r>
      <w:r w:rsidR="00A108F8">
        <w:rPr>
          <w:rStyle w:val="FootnoteReference"/>
          <w:rtl/>
        </w:rPr>
        <w:footnoteReference w:id="1"/>
      </w:r>
      <w:r>
        <w:rPr>
          <w:rFonts w:hint="cs"/>
          <w:rtl/>
        </w:rPr>
        <w:t xml:space="preserve"> را مطرح کرده اند و قطعا پیامبر وقتی نماز می خواندند اعتماد بر چیزی نمی کرد، یا در صحیحه حما</w:t>
      </w:r>
      <w:r w:rsidR="00A108F8">
        <w:rPr>
          <w:rFonts w:hint="cs"/>
          <w:rtl/>
        </w:rPr>
        <w:t>د آمده است</w:t>
      </w:r>
      <w:r>
        <w:rPr>
          <w:rFonts w:hint="cs"/>
          <w:rtl/>
        </w:rPr>
        <w:t xml:space="preserve"> که </w:t>
      </w:r>
      <w:r w:rsidR="00A108F8" w:rsidRPr="00A108F8">
        <w:rPr>
          <w:rFonts w:hint="cs"/>
          <w:color w:val="008000"/>
          <w:rtl/>
        </w:rPr>
        <w:t>«</w:t>
      </w:r>
      <w:r w:rsidRPr="00A108F8">
        <w:rPr>
          <w:rFonts w:hint="cs"/>
          <w:color w:val="008000"/>
          <w:rtl/>
        </w:rPr>
        <w:t>هکذا فصل</w:t>
      </w:r>
      <w:r w:rsidR="00A108F8">
        <w:rPr>
          <w:rFonts w:hint="cs"/>
          <w:rtl/>
        </w:rPr>
        <w:t>»</w:t>
      </w:r>
      <w:r w:rsidR="00A108F8">
        <w:rPr>
          <w:rStyle w:val="FootnoteReference"/>
          <w:rtl/>
        </w:rPr>
        <w:footnoteReference w:id="2"/>
      </w:r>
      <w:r>
        <w:rPr>
          <w:rFonts w:hint="cs"/>
          <w:rtl/>
        </w:rPr>
        <w:t xml:space="preserve"> و قطعا امام صادق اعتماد بر چیزی نمی کرد. جواب این است که روایت </w:t>
      </w:r>
      <w:r w:rsidR="00A108F8">
        <w:rPr>
          <w:rFonts w:hint="cs"/>
          <w:rtl/>
        </w:rPr>
        <w:t>«</w:t>
      </w:r>
      <w:r>
        <w:rPr>
          <w:rFonts w:hint="cs"/>
          <w:rtl/>
        </w:rPr>
        <w:t xml:space="preserve">صلوا </w:t>
      </w:r>
      <w:r>
        <w:rPr>
          <w:rFonts w:hint="cs"/>
          <w:rtl/>
        </w:rPr>
        <w:lastRenderedPageBreak/>
        <w:t>کما رأیتمونی</w:t>
      </w:r>
      <w:r w:rsidR="00A108F8">
        <w:rPr>
          <w:rFonts w:hint="cs"/>
          <w:rtl/>
        </w:rPr>
        <w:t xml:space="preserve">» </w:t>
      </w:r>
      <w:r>
        <w:rPr>
          <w:rFonts w:hint="cs"/>
          <w:rtl/>
        </w:rPr>
        <w:t>سند تمامی ندارد و روایت عامه است، بر فرض</w:t>
      </w:r>
      <w:r w:rsidR="00A108F8">
        <w:rPr>
          <w:rFonts w:hint="cs"/>
          <w:rtl/>
        </w:rPr>
        <w:t xml:space="preserve"> هم که</w:t>
      </w:r>
      <w:r>
        <w:rPr>
          <w:rFonts w:hint="cs"/>
          <w:rtl/>
        </w:rPr>
        <w:t xml:space="preserve"> صادر شده باشد</w:t>
      </w:r>
      <w:r w:rsidR="00A108F8">
        <w:rPr>
          <w:rFonts w:hint="cs"/>
          <w:rtl/>
        </w:rPr>
        <w:t>،</w:t>
      </w:r>
      <w:r>
        <w:rPr>
          <w:rFonts w:hint="cs"/>
          <w:rtl/>
        </w:rPr>
        <w:t xml:space="preserve"> ظاهر</w:t>
      </w:r>
      <w:r w:rsidR="00A108F8">
        <w:rPr>
          <w:rFonts w:hint="cs"/>
          <w:rtl/>
        </w:rPr>
        <w:t xml:space="preserve"> در</w:t>
      </w:r>
      <w:r>
        <w:rPr>
          <w:rFonts w:hint="cs"/>
          <w:rtl/>
        </w:rPr>
        <w:t xml:space="preserve"> این است که آنچه را که من به عنوان نماز به آن اهمیت می</w:t>
      </w:r>
      <w:r w:rsidR="00A108F8">
        <w:rPr>
          <w:rFonts w:hint="cs"/>
          <w:rtl/>
        </w:rPr>
        <w:t xml:space="preserve"> دهم و رعایت می کنم رعایت کنید و معلوم نیست که تکیه ندادن پیامبر به عصا به عنوان اینکه نماز می خوانند باشد. </w:t>
      </w:r>
      <w:r>
        <w:rPr>
          <w:rFonts w:hint="cs"/>
          <w:rtl/>
        </w:rPr>
        <w:t xml:space="preserve">شاید نیازی نبود که تکیه به عصا بدهد. به عنوان مثال پیامبر در نماز لباسشان رنگ سفید داشت، </w:t>
      </w:r>
      <w:r w:rsidR="00D82279">
        <w:rPr>
          <w:rFonts w:hint="cs"/>
          <w:rtl/>
        </w:rPr>
        <w:t>آ</w:t>
      </w:r>
      <w:r>
        <w:rPr>
          <w:rFonts w:hint="cs"/>
          <w:rtl/>
        </w:rPr>
        <w:t xml:space="preserve">یا باید ما هم رنگ سفید بپوشیم؟ معلوم نیست که به عنوان نماز لباس سفید پوشیده باشد. </w:t>
      </w:r>
    </w:p>
    <w:p w:rsidR="00C5439C" w:rsidRDefault="00C5439C" w:rsidP="00C5439C">
      <w:pPr>
        <w:jc w:val="both"/>
        <w:rPr>
          <w:rtl/>
        </w:rPr>
      </w:pPr>
      <w:r>
        <w:rPr>
          <w:rFonts w:hint="cs"/>
          <w:rtl/>
        </w:rPr>
        <w:t xml:space="preserve">گفته نشود که در موارد شک می توان به این حدیث احتجاج کرد؛ زیرا در جواب گفته می شود ظاهر این روایت این است که من کاری را که به عنوان نماز معتبر می دانم را انجام بدهید. مانند مثال لباس سفید که مطرح کردیم. اگر پیامبر عینک هم نمی گذاشته اند، آیا می توان گفت که عینک گذاشتن در نماز ایراد دارد؟ قطعا نمی توان چنین سخنی را گفت. اما در مورد حدیث حماد که حضرت با رعایت مستحبات نماز را به جا آورده است، ظهور ندارد که امام فرموده باشند هرچه من کردم باید انجام بدهی. امام علیه السلام نماز کامل را به نمایش گذاشتند، نه اینکه تمام آنچه ایشان رعایت کردند واجب باشد بنابراین ظهور در کمال و استحباب دارد. علاوه بر اینکه جواب قبلی در این روایت نیز می آید، یعنی تعبیر به هکذا صل اشاره به این است که آنچه را که من به عنوان نماز به جا می آورم را به جا آورید. </w:t>
      </w:r>
    </w:p>
    <w:p w:rsidR="003D182C" w:rsidRDefault="00D82279" w:rsidP="00D82279">
      <w:pPr>
        <w:jc w:val="both"/>
        <w:rPr>
          <w:rtl/>
        </w:rPr>
      </w:pPr>
      <w:r>
        <w:rPr>
          <w:rFonts w:hint="cs"/>
          <w:rtl/>
        </w:rPr>
        <w:t xml:space="preserve">گاهی گفته می شود جواب دیگری که به استدلال به روایت نبوی می توان داد این است که تکیه دادن کراهت دارد و پیامبر از باب اینکه مکروهات نماز را ترک می کردند، به عصا تکیه نمی داده اند. </w:t>
      </w:r>
    </w:p>
    <w:p w:rsidR="003D182C" w:rsidRDefault="003D182C" w:rsidP="00D82279">
      <w:pPr>
        <w:jc w:val="both"/>
        <w:rPr>
          <w:rtl/>
        </w:rPr>
      </w:pPr>
      <w:r>
        <w:rPr>
          <w:rFonts w:hint="cs"/>
          <w:rtl/>
        </w:rPr>
        <w:t>جواب داده می شود که ممکن است گفته شود</w:t>
      </w:r>
      <w:r w:rsidR="00D82279">
        <w:rPr>
          <w:rFonts w:hint="cs"/>
          <w:rtl/>
        </w:rPr>
        <w:t xml:space="preserve"> در مورد افعال صلاتیه پیامبر</w:t>
      </w:r>
      <w:r>
        <w:rPr>
          <w:rFonts w:hint="cs"/>
          <w:rtl/>
        </w:rPr>
        <w:t>اصل اولی این است که</w:t>
      </w:r>
      <w:r w:rsidR="00D82279">
        <w:rPr>
          <w:rFonts w:hint="cs"/>
          <w:rtl/>
        </w:rPr>
        <w:t xml:space="preserve"> حمل بر وجوب شود</w:t>
      </w:r>
      <w:r>
        <w:rPr>
          <w:rFonts w:hint="cs"/>
          <w:rtl/>
        </w:rPr>
        <w:t xml:space="preserve"> مگر اینکه با دلیل خاص ثابت شود واج</w:t>
      </w:r>
      <w:r w:rsidR="00D82279">
        <w:rPr>
          <w:rFonts w:hint="cs"/>
          <w:rtl/>
        </w:rPr>
        <w:t xml:space="preserve">ب نبوده است؛ بنابراین همان جوابی که داده شد کفایت می کند. </w:t>
      </w:r>
    </w:p>
    <w:p w:rsidR="00D356CC" w:rsidRDefault="00D356CC" w:rsidP="00C559A4">
      <w:pPr>
        <w:jc w:val="both"/>
        <w:rPr>
          <w:rtl/>
        </w:rPr>
      </w:pPr>
      <w:r>
        <w:rPr>
          <w:rFonts w:hint="cs"/>
          <w:rtl/>
        </w:rPr>
        <w:lastRenderedPageBreak/>
        <w:t>بنابراین</w:t>
      </w:r>
      <w:r w:rsidR="00D82279">
        <w:rPr>
          <w:rFonts w:hint="cs"/>
          <w:rtl/>
        </w:rPr>
        <w:t xml:space="preserve"> مهم ترین ادله شرطیت استقلال همان روایات است که باید بررسی شوند</w:t>
      </w:r>
      <w:r>
        <w:rPr>
          <w:rFonts w:hint="cs"/>
          <w:rtl/>
        </w:rPr>
        <w:t>. روایاتی که شرطیت استقلال را مطرح می کنند دو روایت بودند که عبارت از صحیحه عبدالله بن سنان و موثقه ابن بکیر بودند. از نظر سندی در جلسه گذشته بحث شد که تام هستند و مشکلی از جانب سند در آن ها دیده نمی شود و مطالبی که در اثبات ضعف روایت عبدالله بن سنان وارد شده است وارد نیست؛ زیرا با توجه به کثرت روایاتی که با واسطه حسین بن سعید یا محمد بن خالد برقی است، ذکر شده است، وثوق حاصل می شود که این روایت نیز از این دو وا</w:t>
      </w:r>
      <w:r w:rsidR="00D82279">
        <w:rPr>
          <w:rFonts w:hint="cs"/>
          <w:rtl/>
        </w:rPr>
        <w:t>سطه نقل شده است که ثقه هستند. بلی،</w:t>
      </w:r>
      <w:r>
        <w:rPr>
          <w:rFonts w:hint="cs"/>
          <w:rtl/>
        </w:rPr>
        <w:t xml:space="preserve"> دو مورد</w:t>
      </w:r>
      <w:r w:rsidR="00D82279">
        <w:rPr>
          <w:rFonts w:hint="cs"/>
          <w:rtl/>
        </w:rPr>
        <w:t xml:space="preserve"> یافت شد</w:t>
      </w:r>
      <w:r>
        <w:rPr>
          <w:rFonts w:hint="cs"/>
          <w:rtl/>
        </w:rPr>
        <w:t xml:space="preserve"> که شخص دیگری به نام ربیع بن محمد واسطه شده است که شخص مجهولی است، ولی با دو مورد نمی توان احتمال عقلایی داد که آنچه در این حدیث عبدالله بن سنان حذف شده است همان ربیع بن محمد باشد. </w:t>
      </w:r>
      <w:r w:rsidR="00C559A4">
        <w:rPr>
          <w:rFonts w:hint="cs"/>
          <w:rtl/>
        </w:rPr>
        <w:t xml:space="preserve">از طرف دیگر </w:t>
      </w:r>
      <w:r>
        <w:rPr>
          <w:rFonts w:hint="cs"/>
          <w:rtl/>
        </w:rPr>
        <w:t xml:space="preserve">اشکال در مورد احمد بن محمد هم وارد نیست؛ زیرا احمد بن محمد در این طبقه یا اشعری است و یا احمد بن محمد خالد برقی است و احتمالات دیگر عرفی نیست. </w:t>
      </w:r>
    </w:p>
    <w:p w:rsidR="00D356CC" w:rsidRDefault="00D356CC" w:rsidP="00D356CC">
      <w:pPr>
        <w:jc w:val="both"/>
        <w:rPr>
          <w:rtl/>
        </w:rPr>
      </w:pPr>
      <w:r>
        <w:rPr>
          <w:rFonts w:hint="cs"/>
          <w:rtl/>
        </w:rPr>
        <w:t xml:space="preserve">گفته شد که محقق سیستانی بر اساس این دو روایت عبدالله بن سنان و ابن بکیر، قائل به شرطیت استقلال هستند و نهایتا احتیاط واجب را مطرح کرده اند؛ زیرا روایاتی که به عنوان جواز استناد در حال قیام مطرح شده است را مورد مناقشه سندی یا دلالی قرار داده اند که عمدتا اشکالات ایشان دلالی است. ایشان در مورد صحیحه علی بن جعفر اشکالاتی داشت که در جلسه گذشته مطرح شد. حال به بیان روایت دوم می پردازیم: </w:t>
      </w:r>
    </w:p>
    <w:p w:rsidR="00C559A4" w:rsidRDefault="00C559A4" w:rsidP="00C559A4">
      <w:pPr>
        <w:pStyle w:val="Heading2"/>
        <w:rPr>
          <w:rtl/>
        </w:rPr>
      </w:pPr>
      <w:bookmarkStart w:id="2" w:name="_Toc83043895"/>
      <w:r>
        <w:rPr>
          <w:rFonts w:hint="cs"/>
          <w:rtl/>
        </w:rPr>
        <w:t xml:space="preserve">روایت </w:t>
      </w:r>
      <w:r w:rsidR="00537E48">
        <w:rPr>
          <w:rFonts w:hint="cs"/>
          <w:rtl/>
        </w:rPr>
        <w:t>دوم</w:t>
      </w:r>
      <w:r>
        <w:rPr>
          <w:rFonts w:hint="cs"/>
          <w:rtl/>
        </w:rPr>
        <w:t xml:space="preserve"> دال بر عدم شرطیت استقلال</w:t>
      </w:r>
      <w:bookmarkEnd w:id="2"/>
    </w:p>
    <w:p w:rsidR="00C559A4" w:rsidRDefault="00C559A4" w:rsidP="00C559A4">
      <w:pPr>
        <w:jc w:val="both"/>
        <w:rPr>
          <w:rtl/>
        </w:rPr>
      </w:pPr>
      <w:r>
        <w:rPr>
          <w:rFonts w:hint="cs"/>
          <w:rtl/>
        </w:rPr>
        <w:t>روایت دوم در عدم شرطیت استقلال، روایت ابن بکیر است:</w:t>
      </w:r>
    </w:p>
    <w:p w:rsidR="00D356CC" w:rsidRDefault="00D356CC" w:rsidP="00C559A4">
      <w:pPr>
        <w:pStyle w:val="ListParagraph"/>
        <w:jc w:val="both"/>
        <w:rPr>
          <w:rtl/>
        </w:rPr>
      </w:pPr>
      <w:r>
        <w:rPr>
          <w:rFonts w:hint="cs"/>
          <w:rtl/>
        </w:rPr>
        <w:t>«</w:t>
      </w:r>
      <w:r w:rsidR="00C559A4" w:rsidRPr="00C559A4">
        <w:rPr>
          <w:rtl/>
        </w:rPr>
        <w:t xml:space="preserve">عَنْهُ عَنْ أَحْمَدَ بْنِ مُحَمَّدٍ عَنِ الْحَسَنِ بْنِ عَلِيِّ بْنِ فَضَّالٍ عَنْ عَبْدِ اللَّهِ بْنِ بُكَيْرٍ </w:t>
      </w:r>
      <w:r w:rsidR="00C559A4" w:rsidRPr="000B5AB6">
        <w:rPr>
          <w:color w:val="008000"/>
          <w:rtl/>
        </w:rPr>
        <w:t>عَنْ أَبِي عَبْدِ اللَّهِ ع قَالَ: سَأَلْتُهُ عَنِ الرَّجُلِ يُصَلِّي مُتَوَكِّئاً عَلَى عَصًا أَوْ عَلَى حَائِطٍ فَقَالَ لَا بَأْسَ بِالتَّوَكِّي عَلَى عَصًا وَ الِاتِّكَاءِ عَلَى الْحَائِطِ</w:t>
      </w:r>
      <w:r w:rsidR="00C559A4">
        <w:rPr>
          <w:rFonts w:hint="cs"/>
          <w:rtl/>
        </w:rPr>
        <w:t>»</w:t>
      </w:r>
      <w:r w:rsidR="00C559A4">
        <w:rPr>
          <w:rStyle w:val="FootnoteReference"/>
          <w:rtl/>
        </w:rPr>
        <w:footnoteReference w:id="3"/>
      </w:r>
    </w:p>
    <w:p w:rsidR="000B5AB6" w:rsidRDefault="00D3794F" w:rsidP="00D3794F">
      <w:pPr>
        <w:jc w:val="both"/>
        <w:rPr>
          <w:rtl/>
        </w:rPr>
      </w:pPr>
      <w:r>
        <w:rPr>
          <w:rFonts w:hint="cs"/>
          <w:rtl/>
        </w:rPr>
        <w:t>این حدیث از نظر</w:t>
      </w:r>
      <w:r w:rsidR="000B5AB6">
        <w:rPr>
          <w:rFonts w:hint="cs"/>
          <w:rtl/>
        </w:rPr>
        <w:t xml:space="preserve"> سندی و دلالی خوب و تمام است.</w:t>
      </w:r>
    </w:p>
    <w:p w:rsidR="000B5AB6" w:rsidRDefault="000B5AB6" w:rsidP="000B5AB6">
      <w:pPr>
        <w:pStyle w:val="Heading3"/>
        <w:rPr>
          <w:rtl/>
        </w:rPr>
      </w:pPr>
      <w:bookmarkStart w:id="3" w:name="_Toc83043896"/>
      <w:r>
        <w:rPr>
          <w:rFonts w:hint="cs"/>
          <w:rtl/>
        </w:rPr>
        <w:t>مناقشه محقق سیستانی در دلالت روایت</w:t>
      </w:r>
      <w:bookmarkEnd w:id="3"/>
      <w:r>
        <w:rPr>
          <w:rFonts w:hint="cs"/>
          <w:rtl/>
        </w:rPr>
        <w:t xml:space="preserve"> </w:t>
      </w:r>
    </w:p>
    <w:p w:rsidR="00D3794F" w:rsidRDefault="00D3794F" w:rsidP="00D3794F">
      <w:pPr>
        <w:jc w:val="both"/>
        <w:rPr>
          <w:rtl/>
        </w:rPr>
      </w:pPr>
      <w:r>
        <w:rPr>
          <w:rFonts w:hint="cs"/>
          <w:rtl/>
        </w:rPr>
        <w:t xml:space="preserve"> محقق سیستانی اشکال کرده اند که شاید این روایت عبدالله بن بکیر تقطیع شده ی همان روایت قرب الإسناد از عبدالله بن بکیر باشد که در روایات شرطیت استقلال مطرح شد و آن روایت قرب الإسناد ظهور داشت که کسی که نمی تواند در حال قیام </w:t>
      </w:r>
      <w:r>
        <w:rPr>
          <w:rFonts w:hint="cs"/>
          <w:rtl/>
        </w:rPr>
        <w:lastRenderedPageBreak/>
        <w:t xml:space="preserve">استقلال داشته باشد، امرش دائر بین قیام مع الإستناد الی العصا و بین جلوس است که در آنجا امام علیه السلام فرمودند مخیر است که هرطور از این دو نوع را خواست عمل کند. تعبیر روایت چنین بود: </w:t>
      </w:r>
    </w:p>
    <w:p w:rsidR="00D3794F" w:rsidRPr="000B5AB6" w:rsidRDefault="000B5AB6" w:rsidP="000B5AB6">
      <w:pPr>
        <w:pStyle w:val="ListParagraph"/>
        <w:jc w:val="both"/>
        <w:rPr>
          <w:b/>
          <w:bCs/>
          <w:rtl/>
        </w:rPr>
      </w:pPr>
      <w:r w:rsidRPr="000B5AB6">
        <w:rPr>
          <w:rFonts w:hint="cs"/>
          <w:color w:val="008000"/>
          <w:rtl/>
        </w:rPr>
        <w:t>«</w:t>
      </w:r>
      <w:r w:rsidRPr="000B5AB6">
        <w:rPr>
          <w:color w:val="008000"/>
          <w:rtl/>
        </w:rPr>
        <w:t>ثُمَّ قَالَ أَبُو عَبْدِ اللَّهِ: «لَا بَأْسَ بِالصَّلَاةِ وَ هُوَ قَاعِدٌ، وَ هُوَ عَلَى نِصْفِ صَلَاةِ الْقَائِمِ. وَ لَا بَأْسَ بِالتَّوَكُّؤِ عَلَى عَصًى وَ الِاتِّكَاءِ عَلَى الْحَائِطِ، قَالَ: وَ لَكِنْ يَقْرَأُ وَ هُوَ قَاعِدٌ، فَإِذَا بَقِيَتْ آيَاتٌ قَامَ فَقَرَأَهُنَّ ثُمَّ رَكَعَ»</w:t>
      </w:r>
      <w:r>
        <w:rPr>
          <w:rStyle w:val="FootnoteReference"/>
          <w:color w:val="008000"/>
          <w:rtl/>
        </w:rPr>
        <w:footnoteReference w:id="4"/>
      </w:r>
    </w:p>
    <w:p w:rsidR="00E609A5" w:rsidRDefault="00F67401" w:rsidP="00537E48">
      <w:pPr>
        <w:jc w:val="both"/>
        <w:rPr>
          <w:rtl/>
        </w:rPr>
      </w:pPr>
      <w:r>
        <w:rPr>
          <w:rFonts w:hint="cs"/>
          <w:rtl/>
        </w:rPr>
        <w:t xml:space="preserve">بنابراین طبق نظر ایشان ممکن است این روایت نیز تقطیع شده همان روایت باشد و در فرض عجز از قیام با استقلال، در فرض اینکه امر مکلف دائر بین ایستادن با استناد به عصا یا نشستن باشد، امام حکم به تخییر فرمودند و ارتباطی به محل بحث ما </w:t>
      </w:r>
      <w:r w:rsidR="00537E48">
        <w:rPr>
          <w:rFonts w:hint="cs"/>
          <w:rtl/>
        </w:rPr>
        <w:t>ندارد</w:t>
      </w:r>
      <w:r>
        <w:rPr>
          <w:rFonts w:hint="cs"/>
          <w:rtl/>
        </w:rPr>
        <w:t>. گفتنی است که محقق سیستانی در حجیت خبر وثوق به صدور را لازم می داند لذا وثوق پیدا نمی کنند که این خبر، مستقل از روایت گذشته باشد، ولی</w:t>
      </w:r>
      <w:r w:rsidR="00537E48">
        <w:rPr>
          <w:rFonts w:hint="cs"/>
          <w:rtl/>
        </w:rPr>
        <w:t xml:space="preserve"> در نظر</w:t>
      </w:r>
      <w:r>
        <w:rPr>
          <w:rFonts w:hint="cs"/>
          <w:rtl/>
        </w:rPr>
        <w:t xml:space="preserve"> ما که وثوق را لازم نمی دانیم، ظهور این روایت این است که سوال مستقلی است و غیر از سوالی است که در روایت قرب الإسناد مطرح شده است. در آن روایت تعبیر سوال این بود: </w:t>
      </w:r>
      <w:r w:rsidR="00537E48">
        <w:rPr>
          <w:rFonts w:hint="cs"/>
          <w:rtl/>
        </w:rPr>
        <w:t>«</w:t>
      </w:r>
      <w:r w:rsidR="00537E48" w:rsidRPr="00F62FE7">
        <w:rPr>
          <w:color w:val="008000"/>
          <w:rtl/>
        </w:rPr>
        <w:t>سَأَلْتُ أَبَا عَبْدِ اللَّهِ ع عَنِ الصَّلَاةِ قَاعِداً أَوْ مُتَوَكِّئاً عَلَى عَصًا أَوْ حَائِطٍ فَقَالَ</w:t>
      </w:r>
      <w:r w:rsidR="00537E48">
        <w:rPr>
          <w:rFonts w:hint="cs"/>
          <w:color w:val="008000"/>
          <w:rtl/>
        </w:rPr>
        <w:t xml:space="preserve">.....» </w:t>
      </w:r>
      <w:r>
        <w:rPr>
          <w:rFonts w:hint="cs"/>
          <w:rtl/>
        </w:rPr>
        <w:t xml:space="preserve">ولی سوالی که در این روایت مطرح است اینچنین است: </w:t>
      </w:r>
      <w:r w:rsidR="00537E48" w:rsidRPr="000B5AB6">
        <w:rPr>
          <w:color w:val="008000"/>
          <w:rtl/>
        </w:rPr>
        <w:t>: سَأَلْتُهُ عَنِ الرَّجُلِ يُصَلِّي مُتَوَكِّئاً عَلَى عَصًا أَوْ عَلَى حَائِطٍ فَقَالَ لَا بَأْسَ</w:t>
      </w:r>
      <w:r w:rsidR="00537E48">
        <w:rPr>
          <w:rFonts w:hint="cs"/>
          <w:rtl/>
        </w:rPr>
        <w:t xml:space="preserve">. </w:t>
      </w:r>
      <w:r w:rsidR="00E609A5">
        <w:rPr>
          <w:rFonts w:hint="cs"/>
          <w:rtl/>
        </w:rPr>
        <w:t>ما در مورد همان ذیل روایت قرب الأسناد نیز عرض کردیم که حمل آن بر دوران مذکور عرفی نیست و ظاهر آن روایت این بود که انسان می تواند نشسته یا در حال تکیه بخواند، لکن عرض ما این بود که آن روایت مختص به نافله است. اگر هم بر فرض این روایت همان باشد، این سوال نیز مختص به نافله خواهد بود ولی ظاهر این روایت این استکه سوال ج</w:t>
      </w:r>
      <w:r w:rsidR="00537E48">
        <w:rPr>
          <w:rFonts w:hint="cs"/>
          <w:rtl/>
        </w:rPr>
        <w:t xml:space="preserve">دایی است و خبر ثقه </w:t>
      </w:r>
      <w:r w:rsidR="00E609A5">
        <w:rPr>
          <w:rFonts w:hint="cs"/>
          <w:rtl/>
        </w:rPr>
        <w:t>اگر وثوق نوعی بر خطای راوی نباشد</w:t>
      </w:r>
      <w:r w:rsidR="00537E48">
        <w:rPr>
          <w:rFonts w:hint="cs"/>
          <w:rtl/>
        </w:rPr>
        <w:t>،</w:t>
      </w:r>
      <w:r w:rsidR="00E609A5">
        <w:rPr>
          <w:rFonts w:hint="cs"/>
          <w:rtl/>
        </w:rPr>
        <w:t xml:space="preserve"> حجت است و این مطلب </w:t>
      </w:r>
      <w:r w:rsidR="00537E48">
        <w:rPr>
          <w:rFonts w:hint="cs"/>
          <w:rtl/>
        </w:rPr>
        <w:t>از روایت العمری استفاده می شود:</w:t>
      </w:r>
    </w:p>
    <w:p w:rsidR="00537E48" w:rsidRPr="00537E48" w:rsidRDefault="00537E48" w:rsidP="00537E48">
      <w:pPr>
        <w:pStyle w:val="ListParagraph"/>
        <w:jc w:val="both"/>
        <w:rPr>
          <w:color w:val="008000"/>
          <w:rtl/>
        </w:rPr>
      </w:pPr>
      <w:r w:rsidRPr="00537E48">
        <w:rPr>
          <w:rFonts w:hint="cs"/>
          <w:color w:val="008000"/>
          <w:rtl/>
        </w:rPr>
        <w:t>«</w:t>
      </w:r>
      <w:r w:rsidRPr="00537E48">
        <w:rPr>
          <w:color w:val="008000"/>
          <w:rtl/>
        </w:rPr>
        <w:t xml:space="preserve"> الْعَمْرِيُّ وَ ابْنُهُ ثِقَتَانِ فَمَا أَدَّيَا إِلَيْكَ عَنِّي فَعَنِّي يُؤَدِّيَان‏</w:t>
      </w:r>
      <w:r w:rsidRPr="00537E48">
        <w:rPr>
          <w:color w:val="008000"/>
        </w:rPr>
        <w:t>…</w:t>
      </w:r>
      <w:r w:rsidRPr="00537E48">
        <w:rPr>
          <w:rFonts w:hint="cs"/>
          <w:color w:val="008000"/>
          <w:rtl/>
        </w:rPr>
        <w:t>»</w:t>
      </w:r>
      <w:r>
        <w:rPr>
          <w:rStyle w:val="FootnoteReference"/>
          <w:color w:val="008000"/>
          <w:rtl/>
        </w:rPr>
        <w:footnoteReference w:id="5"/>
      </w:r>
    </w:p>
    <w:p w:rsidR="00537E48" w:rsidRDefault="00537E48" w:rsidP="00537E48">
      <w:pPr>
        <w:pStyle w:val="Heading2"/>
        <w:rPr>
          <w:rtl/>
        </w:rPr>
      </w:pPr>
      <w:bookmarkStart w:id="4" w:name="_Toc83043897"/>
      <w:r>
        <w:rPr>
          <w:rFonts w:hint="cs"/>
          <w:rtl/>
        </w:rPr>
        <w:t>روایت سوم دال بر عدم شرطیت استقلال</w:t>
      </w:r>
      <w:bookmarkEnd w:id="4"/>
    </w:p>
    <w:p w:rsidR="00E609A5" w:rsidRDefault="00E609A5" w:rsidP="00D3794F">
      <w:pPr>
        <w:jc w:val="both"/>
        <w:rPr>
          <w:rtl/>
        </w:rPr>
      </w:pPr>
      <w:r>
        <w:rPr>
          <w:rFonts w:hint="cs"/>
          <w:rtl/>
        </w:rPr>
        <w:t xml:space="preserve">روایت سوم چنین است: </w:t>
      </w:r>
    </w:p>
    <w:p w:rsidR="00E609A5" w:rsidRDefault="00E609A5" w:rsidP="007E1121">
      <w:pPr>
        <w:pStyle w:val="ListParagraph"/>
        <w:jc w:val="both"/>
        <w:rPr>
          <w:rtl/>
        </w:rPr>
      </w:pPr>
      <w:r>
        <w:rPr>
          <w:rFonts w:hint="cs"/>
          <w:rtl/>
        </w:rPr>
        <w:t>«</w:t>
      </w:r>
      <w:r w:rsidR="007E1121" w:rsidRPr="007E1121">
        <w:rPr>
          <w:rtl/>
        </w:rPr>
        <w:t xml:space="preserve">سَعْدٌ عَنْ أَحْمَدَ بْنِ الْحَسَنِ بْنِ عَلِيٍّ عَنْ أَبِيهِ عَنِ الْحُسَيْنِ بْنِ الْحَسَنِ بْنِ الْجَهْمِ عَنِ الْحُسَيْنِ بْنِ مُوسَى عَنْ سَعِيدِ بْنِ يَسَارٍ قَالَ: </w:t>
      </w:r>
      <w:r w:rsidR="007E1121" w:rsidRPr="007E1121">
        <w:rPr>
          <w:color w:val="008000"/>
          <w:rtl/>
        </w:rPr>
        <w:t>سَأَلْتُ أَبَا عَبْدِ اللَّهِ ع عَنِ التُّكَأَةِ فِي الصَّلَاةِ عَلَى الْحَائِطِ يَمِيناً وَ شِمَالًا فَقَالَ لَا بَأْسَ</w:t>
      </w:r>
      <w:r w:rsidR="007E1121" w:rsidRPr="007E1121">
        <w:rPr>
          <w:rFonts w:hint="cs"/>
          <w:color w:val="008000"/>
          <w:rtl/>
        </w:rPr>
        <w:t>»</w:t>
      </w:r>
      <w:r w:rsidR="007E1121">
        <w:rPr>
          <w:rStyle w:val="FootnoteReference"/>
          <w:color w:val="008000"/>
          <w:rtl/>
        </w:rPr>
        <w:footnoteReference w:id="6"/>
      </w:r>
    </w:p>
    <w:p w:rsidR="007E1121" w:rsidRDefault="00B52466" w:rsidP="00B52466">
      <w:pPr>
        <w:jc w:val="both"/>
        <w:rPr>
          <w:rtl/>
        </w:rPr>
      </w:pPr>
      <w:r>
        <w:rPr>
          <w:rFonts w:hint="cs"/>
          <w:rtl/>
        </w:rPr>
        <w:t xml:space="preserve">در </w:t>
      </w:r>
      <w:r w:rsidR="007E1121">
        <w:rPr>
          <w:rFonts w:hint="cs"/>
          <w:rtl/>
        </w:rPr>
        <w:t xml:space="preserve">برخی از نسخ </w:t>
      </w:r>
      <w:r>
        <w:rPr>
          <w:rFonts w:hint="cs"/>
          <w:rtl/>
        </w:rPr>
        <w:t xml:space="preserve">تهذیب عن الحسن بن الحسن بن الجهم آورده است. </w:t>
      </w:r>
    </w:p>
    <w:p w:rsidR="007E1121" w:rsidRDefault="007E1121" w:rsidP="007E1121">
      <w:pPr>
        <w:pStyle w:val="Heading3"/>
        <w:rPr>
          <w:rtl/>
        </w:rPr>
      </w:pPr>
      <w:bookmarkStart w:id="5" w:name="_Toc83043898"/>
      <w:r>
        <w:rPr>
          <w:rFonts w:hint="cs"/>
          <w:rtl/>
        </w:rPr>
        <w:lastRenderedPageBreak/>
        <w:t>بررسی سندی</w:t>
      </w:r>
      <w:bookmarkEnd w:id="5"/>
      <w:r>
        <w:rPr>
          <w:rFonts w:hint="cs"/>
          <w:rtl/>
        </w:rPr>
        <w:t xml:space="preserve"> </w:t>
      </w:r>
    </w:p>
    <w:p w:rsidR="007E1121" w:rsidRDefault="00B52466" w:rsidP="00B52466">
      <w:pPr>
        <w:jc w:val="both"/>
        <w:rPr>
          <w:rtl/>
        </w:rPr>
      </w:pPr>
      <w:r>
        <w:rPr>
          <w:rFonts w:hint="cs"/>
          <w:rtl/>
        </w:rPr>
        <w:t xml:space="preserve">این </w:t>
      </w:r>
      <w:r w:rsidR="007E1121">
        <w:rPr>
          <w:rFonts w:hint="cs"/>
          <w:rtl/>
        </w:rPr>
        <w:t>روایت از نظر سندی مورد بحث است:</w:t>
      </w:r>
    </w:p>
    <w:p w:rsidR="007E1121" w:rsidRDefault="00B52466" w:rsidP="007E1121">
      <w:pPr>
        <w:pStyle w:val="ListParagraph"/>
        <w:numPr>
          <w:ilvl w:val="0"/>
          <w:numId w:val="14"/>
        </w:numPr>
        <w:jc w:val="both"/>
      </w:pPr>
      <w:r>
        <w:rPr>
          <w:rFonts w:hint="cs"/>
          <w:rtl/>
        </w:rPr>
        <w:t>از ناحیه حسین بن حسن بن جهم</w:t>
      </w:r>
      <w:r w:rsidR="007E1121">
        <w:rPr>
          <w:rFonts w:hint="cs"/>
          <w:rtl/>
        </w:rPr>
        <w:t xml:space="preserve"> مورد بحث است.</w:t>
      </w:r>
      <w:r>
        <w:rPr>
          <w:rFonts w:hint="cs"/>
          <w:rtl/>
        </w:rPr>
        <w:t xml:space="preserve"> در رجال نام چنین شخصی نیامده است. محقق خویی و محقق سیستانی نیز فرموده اند که قطعا این اشتباه است، و مراد همان حسن بن جهم است که از مشایخ حسن بن علی بن فضال است بنابراین از این ناحیه مشکلی نیست. </w:t>
      </w:r>
    </w:p>
    <w:p w:rsidR="007E1121" w:rsidRDefault="00B52466" w:rsidP="00C57A14">
      <w:pPr>
        <w:pStyle w:val="ListParagraph"/>
        <w:numPr>
          <w:ilvl w:val="0"/>
          <w:numId w:val="14"/>
        </w:numPr>
        <w:jc w:val="both"/>
      </w:pPr>
      <w:r>
        <w:rPr>
          <w:rFonts w:hint="cs"/>
          <w:rtl/>
        </w:rPr>
        <w:t>راوی بعدی</w:t>
      </w:r>
      <w:r w:rsidR="007E1121">
        <w:rPr>
          <w:rFonts w:hint="cs"/>
          <w:rtl/>
        </w:rPr>
        <w:t xml:space="preserve"> قابل بحث</w:t>
      </w:r>
      <w:r w:rsidR="00B40326">
        <w:rPr>
          <w:rFonts w:hint="cs"/>
          <w:rtl/>
        </w:rPr>
        <w:t>،</w:t>
      </w:r>
      <w:r>
        <w:rPr>
          <w:rFonts w:hint="cs"/>
          <w:rtl/>
        </w:rPr>
        <w:t xml:space="preserve"> حسین بن موسی است. در </w:t>
      </w:r>
      <w:r w:rsidR="00B40326">
        <w:rPr>
          <w:rFonts w:hint="cs"/>
          <w:rtl/>
        </w:rPr>
        <w:t>میان راویان یک حسین بن موسی موجود است</w:t>
      </w:r>
      <w:r>
        <w:rPr>
          <w:rFonts w:hint="cs"/>
          <w:rtl/>
        </w:rPr>
        <w:t xml:space="preserve"> که</w:t>
      </w:r>
      <w:r w:rsidR="00635185">
        <w:rPr>
          <w:rFonts w:hint="cs"/>
          <w:rtl/>
        </w:rPr>
        <w:t xml:space="preserve"> حسین بن موسی</w:t>
      </w:r>
      <w:r>
        <w:rPr>
          <w:rFonts w:hint="cs"/>
          <w:rtl/>
        </w:rPr>
        <w:t xml:space="preserve"> ابن سالم حناط است و دیگری حسن بن موسی بن سالم است. </w:t>
      </w:r>
      <w:r w:rsidR="007E1121">
        <w:rPr>
          <w:rFonts w:hint="cs"/>
          <w:rtl/>
        </w:rPr>
        <w:t>در مورد اینکه این دو نام یک نفر هستند یا مختلف هستند اختلاف واقع شده است</w:t>
      </w:r>
      <w:r>
        <w:rPr>
          <w:rFonts w:hint="cs"/>
          <w:rtl/>
        </w:rPr>
        <w:t>. محقق خویی فرموده اند مراد همان حسن بن موسی است که از مشایخ ابن ابی عمیر است و کسانی که مشایخ ابن ابی عمیر را قبول کنند از این ناحیه با اشکالی مواجه نخواهند بود. ما وارد بحث اینکه آیا این دو نفر یکی هستند یا دو نفر هستند وارد نمی شویم</w:t>
      </w:r>
      <w:r w:rsidR="007E1121">
        <w:rPr>
          <w:rFonts w:hint="cs"/>
          <w:rtl/>
        </w:rPr>
        <w:t>؛ چرا که در هر حال از مشایخ ابن ابی عمیر هستند و از طریق مبنای وثاقت مشایخ ابن ابی عمیر قابل اعتماد هستند. توضیح اینکه:</w:t>
      </w:r>
      <w:r>
        <w:rPr>
          <w:rFonts w:hint="cs"/>
          <w:rtl/>
        </w:rPr>
        <w:t xml:space="preserve"> نجاشی</w:t>
      </w:r>
      <w:r w:rsidR="007E1121">
        <w:rPr>
          <w:rFonts w:hint="cs"/>
          <w:rtl/>
        </w:rPr>
        <w:t xml:space="preserve"> در ترجمه</w:t>
      </w:r>
      <w:r>
        <w:rPr>
          <w:rFonts w:hint="cs"/>
          <w:rtl/>
        </w:rPr>
        <w:t xml:space="preserve"> حسین بن موسی</w:t>
      </w:r>
      <w:r w:rsidR="007E1121">
        <w:rPr>
          <w:rFonts w:hint="cs"/>
          <w:rtl/>
        </w:rPr>
        <w:t xml:space="preserve"> فرموده است:</w:t>
      </w:r>
    </w:p>
    <w:p w:rsidR="007E1121" w:rsidRPr="00635185" w:rsidRDefault="007E1121" w:rsidP="00B40326">
      <w:pPr>
        <w:pStyle w:val="ListParagraph"/>
        <w:jc w:val="both"/>
        <w:rPr>
          <w:color w:val="000080"/>
        </w:rPr>
      </w:pPr>
      <w:r w:rsidRPr="00635185">
        <w:rPr>
          <w:rFonts w:hint="cs"/>
          <w:color w:val="000080"/>
          <w:rtl/>
        </w:rPr>
        <w:t>«</w:t>
      </w:r>
      <w:r w:rsidR="00635185" w:rsidRPr="00635185">
        <w:rPr>
          <w:rFonts w:hint="cs"/>
          <w:color w:val="000080"/>
          <w:rtl/>
        </w:rPr>
        <w:t>حسین بن موسی له کتاب رواه ابن أبی عمیر»</w:t>
      </w:r>
    </w:p>
    <w:p w:rsidR="00B52466" w:rsidRDefault="00B52466" w:rsidP="007E1121">
      <w:pPr>
        <w:pStyle w:val="ListParagraph"/>
        <w:jc w:val="both"/>
        <w:rPr>
          <w:rtl/>
        </w:rPr>
      </w:pPr>
      <w:r>
        <w:rPr>
          <w:rFonts w:hint="cs"/>
          <w:rtl/>
        </w:rPr>
        <w:t xml:space="preserve"> شیخ طوسی نیز حسن بن موس</w:t>
      </w:r>
      <w:r w:rsidR="00B45D58">
        <w:rPr>
          <w:rFonts w:hint="cs"/>
          <w:rtl/>
        </w:rPr>
        <w:t>ی را ترجمه کرده است. تعبیر شیخ</w:t>
      </w:r>
      <w:r>
        <w:rPr>
          <w:rFonts w:hint="cs"/>
          <w:rtl/>
        </w:rPr>
        <w:t xml:space="preserve"> چنین است:</w:t>
      </w:r>
    </w:p>
    <w:p w:rsidR="00B52466" w:rsidRPr="00B45D58" w:rsidRDefault="00B45D58" w:rsidP="00B45D58">
      <w:pPr>
        <w:pStyle w:val="ListParagraph"/>
        <w:rPr>
          <w:color w:val="000080"/>
          <w:rtl/>
        </w:rPr>
      </w:pPr>
      <w:r w:rsidRPr="00B45D58">
        <w:rPr>
          <w:rFonts w:hint="cs"/>
          <w:color w:val="000080"/>
          <w:rtl/>
        </w:rPr>
        <w:t>«</w:t>
      </w:r>
      <w:r w:rsidRPr="00B45D58">
        <w:rPr>
          <w:color w:val="000080"/>
          <w:rtl/>
        </w:rPr>
        <w:t>الحسن بن موسى.</w:t>
      </w:r>
      <w:r w:rsidRPr="00B45D58">
        <w:rPr>
          <w:rFonts w:hint="cs"/>
          <w:color w:val="000080"/>
          <w:rtl/>
        </w:rPr>
        <w:t xml:space="preserve"> </w:t>
      </w:r>
      <w:r w:rsidRPr="00B45D58">
        <w:rPr>
          <w:color w:val="000080"/>
          <w:rtl/>
        </w:rPr>
        <w:t>له أصل.</w:t>
      </w:r>
      <w:r w:rsidRPr="00B45D58">
        <w:rPr>
          <w:rFonts w:hint="cs"/>
          <w:color w:val="000080"/>
          <w:rtl/>
        </w:rPr>
        <w:t xml:space="preserve"> </w:t>
      </w:r>
      <w:r w:rsidRPr="00B45D58">
        <w:rPr>
          <w:color w:val="000080"/>
          <w:rtl/>
        </w:rPr>
        <w:t>أخبرنا به ابن أبي جيد، عن ابن الوليد، عن الصفّار، عن أحمد بن محمّد بن عيسى، عن ابن أبي عمير، عن الحسن بن موسى</w:t>
      </w:r>
      <w:r w:rsidRPr="00B45D58">
        <w:rPr>
          <w:rFonts w:hint="cs"/>
          <w:color w:val="000080"/>
          <w:rtl/>
        </w:rPr>
        <w:t>»</w:t>
      </w:r>
      <w:r>
        <w:rPr>
          <w:rStyle w:val="FootnoteReference"/>
          <w:color w:val="000080"/>
          <w:rtl/>
        </w:rPr>
        <w:footnoteReference w:id="7"/>
      </w:r>
      <w:r w:rsidRPr="00B45D58">
        <w:rPr>
          <w:color w:val="000080"/>
          <w:rtl/>
        </w:rPr>
        <w:t>.</w:t>
      </w:r>
    </w:p>
    <w:p w:rsidR="00B52466" w:rsidRDefault="00635185" w:rsidP="00635185">
      <w:pPr>
        <w:jc w:val="both"/>
        <w:rPr>
          <w:rtl/>
        </w:rPr>
      </w:pPr>
      <w:r>
        <w:rPr>
          <w:rFonts w:hint="cs"/>
          <w:rtl/>
        </w:rPr>
        <w:t xml:space="preserve">بنابراین با نظر به متن نجاشی و شیخ طوسی می بینیم که هر دو از مشایخ ابن ابی عمیر هستند؛ بنابراین یک نفر بودن یا دو نفر بودن این دو اسم اهمیتی ندارد. </w:t>
      </w:r>
      <w:r w:rsidR="00B52466">
        <w:rPr>
          <w:rFonts w:hint="cs"/>
          <w:rtl/>
        </w:rPr>
        <w:t xml:space="preserve">مهم این است که هر دو از مشایخ ابن ابی عمیر هستند. از این رو محقق سیستانی این روایت را از نظر سندی معتبر می دانند. محقق زنجانی نیز در کتاب نکاج ج 20 ص 6272 فرموده اند که سند مذکور تمام است. </w:t>
      </w:r>
    </w:p>
    <w:p w:rsidR="00635185" w:rsidRDefault="00635185" w:rsidP="00635185">
      <w:pPr>
        <w:pStyle w:val="Heading3"/>
        <w:rPr>
          <w:rtl/>
        </w:rPr>
      </w:pPr>
      <w:r>
        <w:rPr>
          <w:rFonts w:hint="cs"/>
          <w:rtl/>
        </w:rPr>
        <w:t xml:space="preserve"> </w:t>
      </w:r>
      <w:bookmarkStart w:id="6" w:name="_Toc83043899"/>
      <w:r>
        <w:rPr>
          <w:rFonts w:hint="cs"/>
          <w:rtl/>
        </w:rPr>
        <w:t>کلام محقق سیستانی در مناقشه به دلالت روایت</w:t>
      </w:r>
      <w:bookmarkEnd w:id="6"/>
      <w:r>
        <w:rPr>
          <w:rFonts w:hint="cs"/>
          <w:rtl/>
        </w:rPr>
        <w:t xml:space="preserve"> </w:t>
      </w:r>
    </w:p>
    <w:p w:rsidR="00635185" w:rsidRDefault="00B52466" w:rsidP="00635185">
      <w:pPr>
        <w:jc w:val="both"/>
        <w:rPr>
          <w:rFonts w:hint="cs"/>
          <w:rtl/>
        </w:rPr>
      </w:pPr>
      <w:r>
        <w:rPr>
          <w:rFonts w:hint="cs"/>
          <w:rtl/>
        </w:rPr>
        <w:t>محقق سیستانی در مورد این روایت معتقدند: با وجود این</w:t>
      </w:r>
      <w:r w:rsidR="00635185">
        <w:rPr>
          <w:rFonts w:hint="cs"/>
          <w:rtl/>
        </w:rPr>
        <w:t>که ظاهر روایت در</w:t>
      </w:r>
      <w:r>
        <w:rPr>
          <w:rFonts w:hint="cs"/>
          <w:rtl/>
        </w:rPr>
        <w:t xml:space="preserve"> جواز است، لکن ممکن است </w:t>
      </w:r>
      <w:r w:rsidR="00635185">
        <w:rPr>
          <w:rFonts w:hint="cs"/>
          <w:rtl/>
        </w:rPr>
        <w:t xml:space="preserve">با توجه به قید یمینا و شمالا که در سوال راوی آمده است گفته شود: </w:t>
      </w:r>
      <w:r>
        <w:rPr>
          <w:rFonts w:hint="cs"/>
          <w:rtl/>
        </w:rPr>
        <w:t xml:space="preserve">شبهه در ذهن سعید بن یسار این بوده است که کسی که عذر دارد اگر تکیه به دیوار پشتی بدهد، اشکالی ندارد و اعتدال او به هم نمی خورد. ولی همین آدم معذور که مجاز بود تکیه به پشت بدهد، ایا می </w:t>
      </w:r>
      <w:r>
        <w:rPr>
          <w:rFonts w:hint="cs"/>
          <w:rtl/>
        </w:rPr>
        <w:lastRenderedPageBreak/>
        <w:t xml:space="preserve">تواند تکیه به دیوار بغلی بدهد؟ مبادا اقامه ی صلب او به هم بخورد؟ لذا ممکن است امام اینطور فهمیده باشند که این شخص در فرضی که مجوز اعتماد بر دیوار دارد سوال می کند که اعتماد بر </w:t>
      </w:r>
      <w:r w:rsidR="00635185">
        <w:rPr>
          <w:rFonts w:hint="cs"/>
          <w:rtl/>
        </w:rPr>
        <w:t>دیوار طرف راست یا چپ مشکلی دارد یا ندارد</w:t>
      </w:r>
      <w:r>
        <w:rPr>
          <w:rFonts w:hint="cs"/>
          <w:rtl/>
        </w:rPr>
        <w:t>؟ امام می فرمایند مشکلی ندارد</w:t>
      </w:r>
      <w:r w:rsidR="00635185">
        <w:rPr>
          <w:rFonts w:hint="cs"/>
          <w:rtl/>
        </w:rPr>
        <w:t xml:space="preserve">. </w:t>
      </w:r>
      <w:r>
        <w:rPr>
          <w:rFonts w:hint="cs"/>
          <w:rtl/>
        </w:rPr>
        <w:t xml:space="preserve">محقق سیستانی می فرماید چه خصوصیتی داشت که سعید از اتکاء بر چپ و راست سوال کند؟ شاید خصوصیتی داشته است. بنابراین سوال راوی موهم است و شاید امام از این سوال اینطور فهمیده است که حال که اتکاء بر پشت </w:t>
      </w:r>
      <w:r w:rsidR="00635185">
        <w:rPr>
          <w:rFonts w:hint="cs"/>
          <w:rtl/>
        </w:rPr>
        <w:t>در حال عذر جایز است آیا تکی</w:t>
      </w:r>
      <w:r>
        <w:rPr>
          <w:rFonts w:hint="cs"/>
          <w:rtl/>
        </w:rPr>
        <w:t>ه بر یمین و یسار نیز جایز است؟ امام فرمودند لا بأس ولی اینکه چه زمانی جایز است؟</w:t>
      </w:r>
      <w:r w:rsidR="00635185">
        <w:rPr>
          <w:rFonts w:hint="cs"/>
          <w:rtl/>
        </w:rPr>
        <w:t xml:space="preserve"> در این روایت مطرح نشده است و شاید فرض عذر را می گوید. </w:t>
      </w:r>
      <w:r>
        <w:rPr>
          <w:rFonts w:hint="cs"/>
          <w:rtl/>
        </w:rPr>
        <w:t>بنابراین محقق سیستانی روایات مجوزه را قبول نمی کنند و طبق روایات دال بر شرطیت استقلال احتیاط واجب را مطرح کرده اند.</w:t>
      </w:r>
    </w:p>
    <w:p w:rsidR="00B52466" w:rsidRDefault="00635185" w:rsidP="00635185">
      <w:pPr>
        <w:pStyle w:val="Heading4"/>
        <w:rPr>
          <w:rtl/>
        </w:rPr>
      </w:pPr>
      <w:bookmarkStart w:id="7" w:name="_Toc83043900"/>
      <w:r>
        <w:rPr>
          <w:rFonts w:hint="cs"/>
          <w:rtl/>
        </w:rPr>
        <w:t>مناقشه در فرمایش محقق سیستانی</w:t>
      </w:r>
      <w:bookmarkEnd w:id="7"/>
      <w:r>
        <w:rPr>
          <w:rFonts w:hint="cs"/>
          <w:rtl/>
        </w:rPr>
        <w:t xml:space="preserve"> </w:t>
      </w:r>
      <w:r w:rsidR="00B52466">
        <w:rPr>
          <w:rFonts w:hint="cs"/>
          <w:rtl/>
        </w:rPr>
        <w:t xml:space="preserve"> </w:t>
      </w:r>
    </w:p>
    <w:p w:rsidR="00B52466" w:rsidRDefault="00B52466" w:rsidP="00B52466">
      <w:pPr>
        <w:jc w:val="both"/>
        <w:rPr>
          <w:rtl/>
        </w:rPr>
      </w:pPr>
      <w:r>
        <w:rPr>
          <w:rFonts w:hint="cs"/>
          <w:rtl/>
        </w:rPr>
        <w:t>انصاف این است که این احتمالات خلاف ظاهر است؛ شاید محل ابتلای شخص راوی تکیه به دیوار چپ و راست بوده است. امام نفرموده است که اختیارا جایز نیست، بلکه مطلق فرموده اند که اشکالی ندارد. مثل اینکه کسی از شما بپرسد که اگر کسی تکیه به دیوار راست و چپ بدهد اشکال دارد؟ شما بگویید اشکال ندارد. عرف از این جواب مطلق اشکال ندا</w:t>
      </w:r>
      <w:r w:rsidR="001B0579">
        <w:rPr>
          <w:rFonts w:hint="cs"/>
          <w:rtl/>
        </w:rPr>
        <w:t xml:space="preserve">شتن را متوجه می شود و عقلاء به این ظهور احتجاج می کنند. </w:t>
      </w:r>
    </w:p>
    <w:p w:rsidR="00635185" w:rsidRDefault="00635185" w:rsidP="00635185">
      <w:pPr>
        <w:pStyle w:val="Heading3"/>
        <w:rPr>
          <w:rtl/>
        </w:rPr>
      </w:pPr>
      <w:bookmarkStart w:id="8" w:name="_Toc83043901"/>
      <w:r>
        <w:rPr>
          <w:rFonts w:hint="cs"/>
          <w:rtl/>
        </w:rPr>
        <w:t>مختار استاد در مسئله</w:t>
      </w:r>
      <w:bookmarkEnd w:id="8"/>
      <w:r>
        <w:rPr>
          <w:rFonts w:hint="cs"/>
          <w:rtl/>
        </w:rPr>
        <w:t xml:space="preserve"> </w:t>
      </w:r>
    </w:p>
    <w:p w:rsidR="00D609DB" w:rsidRDefault="005B4856" w:rsidP="00A42FC3">
      <w:pPr>
        <w:jc w:val="both"/>
        <w:rPr>
          <w:rtl/>
        </w:rPr>
      </w:pPr>
      <w:r>
        <w:rPr>
          <w:rFonts w:hint="cs"/>
          <w:rtl/>
        </w:rPr>
        <w:t xml:space="preserve">بنابراین خلاصه بحث این شد که جمع عرفی بر حمل بر کراهت را مورد پذیرش قرار دادیم و اعتماد را حتی در حال اختیار جایز دانستیم. </w:t>
      </w:r>
    </w:p>
    <w:p w:rsidR="00D609DB" w:rsidRDefault="00D609DB" w:rsidP="00D609DB">
      <w:pPr>
        <w:pStyle w:val="Heading3"/>
        <w:rPr>
          <w:rtl/>
        </w:rPr>
      </w:pPr>
      <w:bookmarkStart w:id="9" w:name="_Toc83043902"/>
      <w:r>
        <w:rPr>
          <w:rFonts w:hint="cs"/>
          <w:rtl/>
        </w:rPr>
        <w:t>مناقشه در فرمایش صاحب جواهر مبنی بر حمل بر تقیه</w:t>
      </w:r>
      <w:bookmarkEnd w:id="9"/>
      <w:r>
        <w:rPr>
          <w:rFonts w:hint="cs"/>
          <w:rtl/>
        </w:rPr>
        <w:t xml:space="preserve"> </w:t>
      </w:r>
    </w:p>
    <w:p w:rsidR="00D609DB" w:rsidRDefault="005B4856" w:rsidP="00A42FC3">
      <w:pPr>
        <w:jc w:val="both"/>
        <w:rPr>
          <w:rtl/>
        </w:rPr>
      </w:pPr>
      <w:r>
        <w:rPr>
          <w:rFonts w:hint="cs"/>
          <w:rtl/>
        </w:rPr>
        <w:t>اینکه صاحب جواهر روایات مجوزه را به دلیل موافقت با عامه و مخصوصا اعراض اصحاب از این روایات، حمل بر تقیه فرموده اند و</w:t>
      </w:r>
      <w:r w:rsidR="008B7107">
        <w:rPr>
          <w:rFonts w:hint="cs"/>
          <w:rtl/>
        </w:rPr>
        <w:t xml:space="preserve"> روایات مانعه را مقدم داشته اند،</w:t>
      </w:r>
      <w:r>
        <w:rPr>
          <w:rFonts w:hint="cs"/>
          <w:rtl/>
        </w:rPr>
        <w:t xml:space="preserve"> تمام نیست؛ زیرا روشن نیست که مشهور عامه فتوا بر جواز اعتماد بدهند. بر فرض هم که فتوا بدهند حمل بر تقیه بعد از عجز از جمع عرفی است. اگر جمع عرفی اقتضاء کند که ما روایات مانعه را بر کراهت حمل کنیم، عرف اصلا این دو حدیث را خبرین مختلفین نمی بیند تا مجبور بر حمل بر تقیه شویم. مشی فقهاء نیز چنین بوده است که جمع عرفی را بر مرجحات مقدم می کرده اند. </w:t>
      </w:r>
    </w:p>
    <w:p w:rsidR="00A42FC3" w:rsidRDefault="005B4856" w:rsidP="00B867BA">
      <w:pPr>
        <w:jc w:val="both"/>
        <w:rPr>
          <w:rtl/>
        </w:rPr>
      </w:pPr>
      <w:r>
        <w:rPr>
          <w:rFonts w:hint="cs"/>
          <w:rtl/>
        </w:rPr>
        <w:lastRenderedPageBreak/>
        <w:t>اما اینکه اعراض اصحاب را مطرح کردند، اعراض اصحاب ثابت نیست؛ زیرا اصحاب توجیه کرده اند. گفتیم که مشهور روایات شرطیت را حمل بر موارد تکیه با اعتماد کرده اند و روایات مجوزه را بر تکیه بدون اعتماد حمل کرده اند</w:t>
      </w:r>
      <w:r w:rsidR="00D609DB">
        <w:rPr>
          <w:rFonts w:hint="cs"/>
          <w:rtl/>
        </w:rPr>
        <w:t>؛</w:t>
      </w:r>
      <w:r>
        <w:rPr>
          <w:rFonts w:hint="cs"/>
          <w:rtl/>
        </w:rPr>
        <w:t xml:space="preserve"> بنابراین اعراض نکرده اند؛</w:t>
      </w:r>
      <w:r w:rsidR="00A42FC3">
        <w:rPr>
          <w:rFonts w:hint="cs"/>
          <w:rtl/>
        </w:rPr>
        <w:t xml:space="preserve"> زیرا اعراض بدین معنا است که اصلا اعتناء به روایت نکنند نه اینکه به صدد توجیه آن بر آیند،</w:t>
      </w:r>
      <w:r>
        <w:rPr>
          <w:rFonts w:hint="cs"/>
          <w:rtl/>
        </w:rPr>
        <w:t xml:space="preserve"> علاوه بر اینکه اعراض مشهور موهن روایت نیست و خبر ثقه حتی با وجود اعراض مشهور حجت است. </w:t>
      </w:r>
      <w:r w:rsidR="00A42FC3">
        <w:rPr>
          <w:rFonts w:hint="cs"/>
          <w:rtl/>
        </w:rPr>
        <w:t>برخی مثل سید سیستانی و سید صدر هم که اعراض از سند را مخرب سند می دانند، ولی اعراض از دلالت را مخرب نمی دانند</w:t>
      </w:r>
      <w:r w:rsidR="00D609DB">
        <w:rPr>
          <w:rFonts w:hint="cs"/>
          <w:rtl/>
        </w:rPr>
        <w:t>؛</w:t>
      </w:r>
      <w:r w:rsidR="00A42FC3">
        <w:rPr>
          <w:rFonts w:hint="cs"/>
          <w:rtl/>
        </w:rPr>
        <w:t xml:space="preserve"> زیرا می گویند حتی اگر ظن نوعی به خلاف هم پیدا شود ظهور حجت است. اگر هم ادعای ارتکاز عام متشرعی مطرح شود، در جواب می گوییم ارتکاز عامه متشرعی عرفی نیست و ثابت نیست. وقتی فقهاء در صدد جمع بین روایات بوده اند و طرح نکرده اند، </w:t>
      </w:r>
      <w:r w:rsidR="00B867BA">
        <w:rPr>
          <w:rFonts w:hint="cs"/>
          <w:rtl/>
        </w:rPr>
        <w:t>نمی توان ثابت کرد</w:t>
      </w:r>
      <w:r w:rsidR="00A42FC3">
        <w:rPr>
          <w:rFonts w:hint="cs"/>
          <w:rtl/>
        </w:rPr>
        <w:t xml:space="preserve"> که ارتکاز متشرعی بوده است و بر اساس آن این فرمایشات را داشته اند. </w:t>
      </w:r>
    </w:p>
    <w:p w:rsidR="00B867BA" w:rsidRDefault="00B867BA" w:rsidP="00B867BA">
      <w:pPr>
        <w:pStyle w:val="Heading2"/>
        <w:rPr>
          <w:rtl/>
        </w:rPr>
      </w:pPr>
      <w:bookmarkStart w:id="10" w:name="_Toc83043903"/>
      <w:r>
        <w:rPr>
          <w:rFonts w:hint="cs"/>
          <w:rtl/>
        </w:rPr>
        <w:t>وجوب انتصاب و استقرار در حال اختیار</w:t>
      </w:r>
      <w:bookmarkEnd w:id="10"/>
      <w:r>
        <w:rPr>
          <w:rFonts w:hint="cs"/>
          <w:rtl/>
        </w:rPr>
        <w:t xml:space="preserve"> </w:t>
      </w:r>
    </w:p>
    <w:p w:rsidR="0095704E" w:rsidRDefault="0095704E" w:rsidP="00A42FC3">
      <w:pPr>
        <w:jc w:val="both"/>
        <w:rPr>
          <w:rtl/>
        </w:rPr>
      </w:pPr>
      <w:r>
        <w:rPr>
          <w:rFonts w:hint="cs"/>
          <w:rtl/>
        </w:rPr>
        <w:t>ص</w:t>
      </w:r>
      <w:r w:rsidR="00AD7080">
        <w:rPr>
          <w:rFonts w:hint="cs"/>
          <w:rtl/>
        </w:rPr>
        <w:t>احب عروه بعد از بیان</w:t>
      </w:r>
      <w:r w:rsidR="000C5AED">
        <w:rPr>
          <w:rFonts w:hint="cs"/>
          <w:rtl/>
        </w:rPr>
        <w:t xml:space="preserve"> ش</w:t>
      </w:r>
      <w:r w:rsidR="00AD7080">
        <w:rPr>
          <w:rFonts w:hint="cs"/>
          <w:rtl/>
        </w:rPr>
        <w:t xml:space="preserve">رطیت انتصاب و استقرار و استقلال، قید «فی حال الإختیار» را مطرح کرده اند. </w:t>
      </w:r>
    </w:p>
    <w:p w:rsidR="0095704E" w:rsidRPr="00B52466" w:rsidRDefault="0095704E" w:rsidP="00EF25A1">
      <w:pPr>
        <w:jc w:val="both"/>
        <w:rPr>
          <w:rtl/>
        </w:rPr>
      </w:pPr>
      <w:r>
        <w:rPr>
          <w:rFonts w:hint="cs"/>
          <w:rtl/>
        </w:rPr>
        <w:t>محقق حکیم قید حال الإختیار را فقط به استقلال برگردانده است و می فرماید ظاهرش این است که اگر عاجز از استقلال شدید می توانید تکیه بدهید</w:t>
      </w:r>
      <w:r w:rsidR="00AD7080">
        <w:rPr>
          <w:rFonts w:hint="cs"/>
          <w:rtl/>
        </w:rPr>
        <w:t>،</w:t>
      </w:r>
      <w:r>
        <w:rPr>
          <w:rFonts w:hint="cs"/>
          <w:rtl/>
        </w:rPr>
        <w:t xml:space="preserve"> ولی ظاهر کلام سید</w:t>
      </w:r>
      <w:r w:rsidR="00AD7080">
        <w:rPr>
          <w:rFonts w:hint="cs"/>
          <w:rtl/>
        </w:rPr>
        <w:t xml:space="preserve"> این است که به تمام شروط بر می گردد</w:t>
      </w:r>
      <w:r>
        <w:rPr>
          <w:rFonts w:hint="cs"/>
          <w:rtl/>
        </w:rPr>
        <w:t>؛ یعنی انتصاب و استقرار نیز مشروط به حال اختیار هستند. از این رو باید جداگانه مورد بررسی قرار گیرند. مثلا اگر کسی می تواند بایستد ولی بدون اقامه ی صلب، آیا بایستد یا اینکه بنشیند و اقامه صلب داشته باشد؟</w:t>
      </w:r>
      <w:r w:rsidR="004A44A0">
        <w:rPr>
          <w:rFonts w:hint="cs"/>
          <w:rtl/>
        </w:rPr>
        <w:t xml:space="preserve"> بلی،</w:t>
      </w:r>
      <w:r>
        <w:rPr>
          <w:rFonts w:hint="cs"/>
          <w:rtl/>
        </w:rPr>
        <w:t xml:space="preserve"> گاهی اگر بنشیند باز هم خمیده است،</w:t>
      </w:r>
      <w:r w:rsidR="004D2853">
        <w:rPr>
          <w:rFonts w:hint="cs"/>
          <w:rtl/>
        </w:rPr>
        <w:t xml:space="preserve"> </w:t>
      </w:r>
      <w:r>
        <w:rPr>
          <w:rFonts w:hint="cs"/>
          <w:rtl/>
        </w:rPr>
        <w:t>معلوم است که باید بایستد، ولی بحث در جایی است که اگر کسی بایستد نمی تواند اقامه صلب کند</w:t>
      </w:r>
      <w:r w:rsidR="004A44A0">
        <w:rPr>
          <w:rFonts w:hint="cs"/>
          <w:rtl/>
        </w:rPr>
        <w:t>،</w:t>
      </w:r>
      <w:r>
        <w:rPr>
          <w:rFonts w:hint="cs"/>
          <w:rtl/>
        </w:rPr>
        <w:t xml:space="preserve"> ولی اگر بنشیند می تواند اقامه صلب کند، آیا قیام بدون اقامه صلب کند یا اینکه بنشیند؟ برخی از بزرگان </w:t>
      </w:r>
      <w:r w:rsidR="00EF25A1">
        <w:rPr>
          <w:rFonts w:hint="cs"/>
          <w:rtl/>
        </w:rPr>
        <w:t>مثل علامه در نهایه الأحکام و شهید در ذکری</w:t>
      </w:r>
      <w:r w:rsidR="00EF25A1">
        <w:rPr>
          <w:rFonts w:hint="cs"/>
          <w:rtl/>
        </w:rPr>
        <w:t xml:space="preserve"> فرموده اند</w:t>
      </w:r>
      <w:r>
        <w:rPr>
          <w:rFonts w:hint="cs"/>
          <w:rtl/>
        </w:rPr>
        <w:t xml:space="preserve"> که اگر اقامه صلب نکند قیام صدق نمی کند </w:t>
      </w:r>
      <w:r w:rsidR="00EF25A1">
        <w:rPr>
          <w:rFonts w:hint="cs"/>
          <w:rtl/>
        </w:rPr>
        <w:t xml:space="preserve">و </w:t>
      </w:r>
      <w:r>
        <w:rPr>
          <w:rFonts w:hint="cs"/>
          <w:rtl/>
        </w:rPr>
        <w:t xml:space="preserve">انحناء مخل به قیام است و کسی که منحنی می شود در نزد عرف قائم نیست. قیام به معنای ایستادن کامل است و اگر منحنی شود دیگر قائم نیست، ولو اینکه راکع نیز نباشد. </w:t>
      </w:r>
      <w:r w:rsidR="007C3C82">
        <w:rPr>
          <w:rFonts w:hint="cs"/>
          <w:rtl/>
        </w:rPr>
        <w:t xml:space="preserve">در جلسه ی آینده به بررسی این فرمایشات خواهیم پرداخت ان شاءالله. </w:t>
      </w:r>
    </w:p>
    <w:p w:rsidR="00E609A5" w:rsidRDefault="00E609A5" w:rsidP="00D3794F">
      <w:pPr>
        <w:jc w:val="both"/>
        <w:rPr>
          <w:rtl/>
        </w:rPr>
      </w:pPr>
    </w:p>
    <w:p w:rsidR="00E609A5" w:rsidRDefault="00E609A5" w:rsidP="00D3794F">
      <w:pPr>
        <w:jc w:val="both"/>
        <w:rPr>
          <w:rtl/>
        </w:rPr>
      </w:pPr>
    </w:p>
    <w:p w:rsidR="00E609A5" w:rsidRDefault="00E609A5" w:rsidP="00D3794F">
      <w:pPr>
        <w:jc w:val="both"/>
        <w:rPr>
          <w:rtl/>
        </w:rPr>
      </w:pPr>
    </w:p>
    <w:p w:rsidR="00E609A5" w:rsidRDefault="00E609A5" w:rsidP="00D3794F">
      <w:pPr>
        <w:jc w:val="both"/>
        <w:rPr>
          <w:rtl/>
        </w:rPr>
      </w:pPr>
    </w:p>
    <w:sectPr w:rsidR="00E609A5"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BBD" w:rsidRDefault="00DC6BBD" w:rsidP="008B750B">
      <w:pPr>
        <w:spacing w:line="240" w:lineRule="auto"/>
      </w:pPr>
      <w:r>
        <w:separator/>
      </w:r>
    </w:p>
  </w:endnote>
  <w:endnote w:type="continuationSeparator" w:id="0">
    <w:p w:rsidR="00DC6BBD" w:rsidRDefault="00DC6BB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fontKey="{B165097D-6BC7-4413-98FC-B26AFD56496A}"/>
  </w:font>
  <w:font w:name="B Badr">
    <w:panose1 w:val="00000400000000000000"/>
    <w:charset w:val="B2"/>
    <w:family w:val="auto"/>
    <w:pitch w:val="variable"/>
    <w:sig w:usb0="00002001" w:usb1="80000000" w:usb2="00000008" w:usb3="00000000" w:csb0="00000040" w:csb1="00000000"/>
    <w:embedRegular r:id="rId2" w:fontKey="{9C0FA2E9-91A9-445D-9D54-3C0AF61B21C9}"/>
    <w:embedBold r:id="rId3" w:fontKey="{31E86DA8-F707-492C-AB4C-98F6D10F2D80}"/>
    <w:embedBoldItalic r:id="rId4" w:fontKey="{BD3F8FDB-72BE-4BEA-B5BF-66650CE04082}"/>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embedRegular r:id="rId5" w:subsetted="1" w:fontKey="{FBAA2CC0-A2B8-4687-9D98-9CCDD1773293}"/>
    <w:embedBold r:id="rId6" w:fontKey="{E0D81010-1C5E-4B16-9845-9B01069AAC67}"/>
  </w:font>
  <w:font w:name="B Lotus">
    <w:panose1 w:val="00000400000000000000"/>
    <w:charset w:val="B2"/>
    <w:family w:val="auto"/>
    <w:pitch w:val="variable"/>
    <w:sig w:usb0="00002001" w:usb1="80000000" w:usb2="00000008" w:usb3="00000000" w:csb0="00000040" w:csb1="00000000"/>
    <w:embedRegular r:id="rId7" w:fontKey="{CCC71B7C-1E21-4B58-B53B-31F521AE0BF5}"/>
    <w:embedBold r:id="rId8" w:fontKey="{48AEC5D2-27B7-425F-8B31-B35F64FF975E}"/>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21"/>
      <w:gridCol w:w="2213"/>
      <w:gridCol w:w="4670"/>
    </w:tblGrid>
    <w:tr w:rsidR="009E345B" w:rsidRPr="006D44C1" w:rsidTr="0020241A">
      <w:tc>
        <w:tcPr>
          <w:tcW w:w="3382" w:type="dxa"/>
          <w:tcBorders>
            <w:top w:val="nil"/>
            <w:left w:val="nil"/>
            <w:bottom w:val="nil"/>
            <w:right w:val="nil"/>
          </w:tcBorders>
        </w:tcPr>
        <w:p w:rsidR="009E345B" w:rsidRDefault="009E345B"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4A09CC">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9E345B" w:rsidRDefault="009E345B" w:rsidP="006D44C1">
          <w:pPr>
            <w:pStyle w:val="Footer"/>
            <w:jc w:val="right"/>
            <w:rPr>
              <w:rtl/>
            </w:rPr>
          </w:pPr>
          <w:r>
            <w:rPr>
              <w:rFonts w:hint="cs"/>
              <w:rtl/>
            </w:rPr>
            <w:t xml:space="preserve">صفحه </w:t>
          </w:r>
          <w:r>
            <w:fldChar w:fldCharType="begin"/>
          </w:r>
          <w:r>
            <w:instrText>PAGE   \* MERGEFORMAT</w:instrText>
          </w:r>
          <w:r>
            <w:fldChar w:fldCharType="separate"/>
          </w:r>
          <w:r w:rsidR="00805242" w:rsidRPr="00805242">
            <w:rPr>
              <w:noProof/>
              <w:rtl/>
              <w:lang w:val="fa-IR"/>
            </w:rPr>
            <w:t>1</w:t>
          </w:r>
          <w:r>
            <w:rPr>
              <w:noProof/>
            </w:rPr>
            <w:fldChar w:fldCharType="end"/>
          </w:r>
        </w:p>
      </w:tc>
      <w:tc>
        <w:tcPr>
          <w:tcW w:w="4786" w:type="dxa"/>
          <w:tcBorders>
            <w:top w:val="nil"/>
            <w:left w:val="nil"/>
            <w:bottom w:val="nil"/>
            <w:right w:val="nil"/>
          </w:tcBorders>
          <w:vAlign w:val="center"/>
        </w:tcPr>
        <w:p w:rsidR="009E345B" w:rsidRPr="006D44C1" w:rsidRDefault="009E345B" w:rsidP="001B6799">
          <w:pPr>
            <w:pStyle w:val="Footer"/>
            <w:bidi w:val="0"/>
            <w:rPr>
              <w:color w:val="808080" w:themeColor="background1" w:themeShade="80"/>
              <w:rtl/>
            </w:rPr>
          </w:pPr>
          <w:bookmarkStart w:id="18" w:name="BokAdres"/>
          <w:bookmarkEnd w:id="18"/>
        </w:p>
      </w:tc>
    </w:tr>
  </w:tbl>
  <w:p w:rsidR="009E345B" w:rsidRDefault="009E345B"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BBD" w:rsidRDefault="00DC6BBD" w:rsidP="008B750B">
      <w:pPr>
        <w:spacing w:line="240" w:lineRule="auto"/>
      </w:pPr>
      <w:r>
        <w:separator/>
      </w:r>
    </w:p>
  </w:footnote>
  <w:footnote w:type="continuationSeparator" w:id="0">
    <w:p w:rsidR="00DC6BBD" w:rsidRDefault="00DC6BBD" w:rsidP="008B750B">
      <w:pPr>
        <w:spacing w:line="240" w:lineRule="auto"/>
      </w:pPr>
      <w:r>
        <w:continuationSeparator/>
      </w:r>
    </w:p>
  </w:footnote>
  <w:footnote w:id="1">
    <w:p w:rsidR="00A108F8" w:rsidRDefault="00A108F8" w:rsidP="00A108F8">
      <w:pPr>
        <w:pStyle w:val="FootnoteText"/>
        <w:jc w:val="both"/>
      </w:pPr>
      <w:r>
        <w:rPr>
          <w:rStyle w:val="FootnoteReference"/>
        </w:rPr>
        <w:footnoteRef/>
      </w:r>
      <w:r>
        <w:rPr>
          <w:rtl/>
        </w:rPr>
        <w:t xml:space="preserve"> </w:t>
      </w:r>
      <w:r>
        <w:rPr>
          <w:rFonts w:hint="cs"/>
          <w:rtl/>
        </w:rPr>
        <w:t>.</w:t>
      </w:r>
      <w:r w:rsidRPr="00A108F8">
        <w:rPr>
          <w:rtl/>
        </w:rPr>
        <w:t>بحار الأنوار (ط - بيروت)، ج‏82، ص: 279</w:t>
      </w:r>
      <w:r>
        <w:t>.</w:t>
      </w:r>
    </w:p>
  </w:footnote>
  <w:footnote w:id="2">
    <w:p w:rsidR="00A108F8" w:rsidRDefault="00A108F8" w:rsidP="00A108F8">
      <w:pPr>
        <w:pStyle w:val="FootnoteText"/>
        <w:jc w:val="both"/>
        <w:rPr>
          <w:rtl/>
        </w:rPr>
      </w:pPr>
      <w:r>
        <w:rPr>
          <w:rStyle w:val="FootnoteReference"/>
        </w:rPr>
        <w:footnoteRef/>
      </w:r>
      <w:r>
        <w:rPr>
          <w:rtl/>
        </w:rPr>
        <w:t xml:space="preserve"> </w:t>
      </w:r>
      <w:r>
        <w:rPr>
          <w:rFonts w:hint="cs"/>
          <w:rtl/>
        </w:rPr>
        <w:t>. روایت حماد چنین است: «</w:t>
      </w:r>
      <w:r w:rsidRPr="00A108F8">
        <w:rPr>
          <w:rtl/>
        </w:rPr>
        <w:t xml:space="preserve">عَلِيُّ بْنُ إِبْرَاهِيمَ عَنْ أَبِيهِ عَنْ حَمَّادِ بْنِ عِيسَى قَالَ </w:t>
      </w:r>
      <w:r w:rsidRPr="00A108F8">
        <w:rPr>
          <w:color w:val="008000"/>
          <w:rtl/>
        </w:rPr>
        <w:t>قَالَ لِي أَبُو عَبْدِ اللَّهِ ع يَوْماً يَا حَمَّادُ تُحْسِنُ أَنْ تُصَلِّيَ قَالَ فَقُلْتُ يَا سَيِّدِي أَنَا أَحْفَظُ كِتَابَ حَرِيزٍ فِي الصَّلَاةِ فَقَالَ لَا عَلَيْكَ يَا حَمَّادُ قُمْ فَصَلِّ قَالَ فَقُمْتُ بَيْنَ يَدَيْهِ مُتَوَجِّهاً إِلَى الْقِبْلَةِ فَاسْتَفْتَحْتُ الصَّلَاةَ فَرَكَعْتُ وَ سَجَدْتُ فَقَالَ يَا حَمَّادُ لَا تُحْسِنُ أَنْ تُصَلِّيَ مَا أَقْبَحَ بِالرَّجُلِ مِنْكُمْ يَأْتِي عَلَيْهِ سِتُّونَ سَنَةً أَوْ سَبْعُونَ سَنَةً فَلَا يُقِيمُ صَلَاةً وَاحِدَةً بِحُدُودِهَا تَامَّةً قَالَ حَمَّادٌ فَأَصَابَنِي فِي نَفْسِي الذُّلُّ فَقُلْتُ جُعِلْتُ فِدَاكَ فَعَلِّمْنِي الصَّلَاةَ فَقَامَ أَبُو عَبْدِ اللَّهِ ع مُسْتَقْبِلَ الْقِبْلَةِ مُنْتَصِباً فَأَرْسَلَ يَدَيْهِ جَمِيعاً عَلَى فَخِذَيْهِ قَدْ ضَمَّ أَصَابِعَهُ وَ قَرَّبَ بَيْنَ قَدَمَيْهِ حَتَّى كَانَ بَيْنَهُمَا قَدْرُ ثَلَاثِ أَصَابِعَ مُنْفَرِجَاتٍ وَ اسْتَقْبَلَ بِأَصَابِعِ رِجْلَيْهِ جَمِيعاً الْقِبْلَةَ لَمْ يُحَرِّفْهُمَا عَنِ الْقِبْلَةِ وَ قَالَ بِخُشُوعٍ اللَّهُ أَكْبَرُ ثُمَّ قَرَأَ الْحَمْدَ بِتَرْتِيلٍ وَ قُلْ هُوَ اللَّهُ أَحَدٌ ثُمَّ صَبَرَ هُنَيَّةً بِقَدْرِ مَا يَتَنَفَّسُ وَ هُوَ قَائِمٌ ثُمَّ رَفَعَ يَدَيْهِ حِيَالَ وَجْهِهِ وَ قَالَ اللَّهُ أَكْبَرُ وَ هُوَ قَائِمٌ ثُمَّ رَكَعَ وَ مَلَأَ كَفَّيْهِ مِنْ رُكْبَتَيْهِ مُنْفَرِجَاتٍ وَ رَدَّ رُكْبَتَيْهِ إِلَى خَلْفِهِ حَتَّى اسْتَوَى ظَهْرُهُ حَتَّى لَوْ صُبَّ عَلَيْهِ قَطْرَةٌ مِنْ مَاءٍ أَوْ دُهْنٍ لَمْ تَزُلْ لِاسْتِوَاءِ ظَهْرِهِ وَ مَدَّ عُنُقَهُ وَ غَمَّضَ عَيْنَيْهِ ثُمَّ سَبَّحَ ثَلَاثاً بِتَرْتِيلٍ فَقَالَ سُبْحَانَ رَبِّيَ الْعَظِيمِ وَ بِحَمْدِهِ ثُمَّ اسْتَوَى قَائِماً فَلَمَّا اسْتَمْكَنَ مِنَ الْقِيَامِ قَالَ سَمِعَ اللَّهُ لِمَنْ حَمِدَهُ ثُمَّ كَبَّرَ وَ هُوَ قَائِمٌ وَ رَفَعَ يَدَيْهِ حِيَالَ وَجْهِهِ ثُمَّ سَجَدَ وَ بَسَط</w:t>
      </w:r>
      <w:r w:rsidRPr="00A108F8">
        <w:rPr>
          <w:rFonts w:hint="cs"/>
          <w:color w:val="008000"/>
          <w:rtl/>
        </w:rPr>
        <w:t xml:space="preserve"> </w:t>
      </w:r>
      <w:r w:rsidRPr="00A108F8">
        <w:rPr>
          <w:color w:val="008000"/>
          <w:rtl/>
        </w:rPr>
        <w:t>كَفَّيْهِ مَضْمُومَتَيِ الْأَصَابِعِ بَيْنَ يَدَيْ رُكْبَتَيْهِ حِيَالَ وَجْهِهِ فَقَالَ- سُبْحَانَ رَبِّيَ الْأَعْلَى وَ بِحَمْدِهِ ثَلَاثَ مَرَّاتٍ وَ لَمْ يَضَعْ شَيْئاً مِنْ جَسَدِهِ عَلَى شَيْ‏ءٍ مِنْهُ وَ سَجَدَ عَلَى ثَمَانِيَةِ أَعْظُمٍ الْكَفَّيْنِ وَ الرُّكْبَتَيْنِ وَ أَنَامِلِ إِبْهَامَيِ الرِّجْلَيْنِ وَ الْجَبْهَةِ وَ الْأَنْفِ وَ قَالَ سَبْعَةٌ مِنْهَا فَرْضٌ يُسْجَدُ عَلَيْهَا وَ هِيَ الَّتِي ذَكَرَهَا اللَّهُ فِي كِتَابِهِ فَقَالَ وَ أَنَّ الْمَساجِدَ لِلَّهِ فَلا تَدْعُوا مَعَ اللَّهِ أَحَداً وَ هِيَ الْجَبْهَةُ وَ الْكَفَّانِ وَ الرُّكْبَتَانِ وَ الْإِبْهَامَانِ وَ وَضْعُ الْأَنْفِ عَلَى الْأَرْضِ سُنَّةٌ ثُمَّ رَفَعَ رَأْسَهُ مِنَ السُّجُودِ فَلَمَّا اسْتَوَى جَالِساً قَالَ اللَّهُ أَكْبَرُ ثُمَّ قَعَدَ عَلَى فَخِذِهِ الْأَيْسَرِ وَ قَدْ وَضَعَ ظَاهِرَ قَدَمِهِ الْأَيْمَنِ عَلَى بَطْنِ قَدَمِهِ الْأَيْسَرِ وَ قَالَ أَسْتَغْفِرُ اللَّهَ رَبِّي وَ أَتُوبُ إِلَيْهِ ثُمَّ كَبَّرَ وَ هُوَ جَالِسٌ وَ سَجَدَ السَّجْدَةَ الثَّانِيَةَ وَ قَالَ كَمَا قَالَ فِي الْأُولَى وَ لَمْ يَضَعْ شَيْئاً مِنْ بَدَنِهِ عَلَى شَيْ‏ءٍ مِنْهُ فِي رُكُوعٍ وَ لَا سُجُودٍ وَ كَانَ مُجَّنِّحاً وَ لَمْ يَضَعْ ذِرَاعَيْهِ عَلَى الْأَرْضِ فَصَلَّى رَكْعَتَيْنِ عَلَى هَذَا وَ يَدَاهُ مَضْمُومَتَا الْأَصَابِعِ وَ هُوَ جَالِسٌ فِي التَّشَهُّدِ فَلَمَّا فَرَغَ مِنَ التَّشَهُّدِ سَلَّمَ فَقَالَ يَا حَمَّادُ هَكَذَا صَلِّ</w:t>
      </w:r>
      <w:r>
        <w:rPr>
          <w:rFonts w:hint="cs"/>
          <w:rtl/>
        </w:rPr>
        <w:t>».</w:t>
      </w:r>
      <w:r w:rsidRPr="00A108F8">
        <w:rPr>
          <w:rtl/>
        </w:rPr>
        <w:t>الكافي (ط - الإسلامية)، ج‏3، ص: 312</w:t>
      </w:r>
      <w:r>
        <w:rPr>
          <w:rFonts w:hint="cs"/>
          <w:rtl/>
        </w:rPr>
        <w:t xml:space="preserve">. </w:t>
      </w:r>
    </w:p>
  </w:footnote>
  <w:footnote w:id="3">
    <w:p w:rsidR="00C559A4" w:rsidRDefault="00C559A4" w:rsidP="00C559A4">
      <w:pPr>
        <w:pStyle w:val="FootnoteText"/>
      </w:pPr>
      <w:r>
        <w:rPr>
          <w:rStyle w:val="FootnoteReference"/>
        </w:rPr>
        <w:footnoteRef/>
      </w:r>
      <w:r>
        <w:rPr>
          <w:rtl/>
        </w:rPr>
        <w:t xml:space="preserve"> </w:t>
      </w:r>
      <w:r>
        <w:rPr>
          <w:rFonts w:hint="cs"/>
          <w:rtl/>
        </w:rPr>
        <w:t>.</w:t>
      </w:r>
      <w:r w:rsidRPr="00C559A4">
        <w:rPr>
          <w:rtl/>
        </w:rPr>
        <w:t>تهذيب الأحكام (تحقيق خرسان)، ج‏2، ص: 327</w:t>
      </w:r>
      <w:r>
        <w:rPr>
          <w:rFonts w:hint="cs"/>
          <w:rtl/>
        </w:rPr>
        <w:t xml:space="preserve">. </w:t>
      </w:r>
    </w:p>
  </w:footnote>
  <w:footnote w:id="4">
    <w:p w:rsidR="000B5AB6" w:rsidRDefault="000B5AB6" w:rsidP="000B5AB6">
      <w:pPr>
        <w:pStyle w:val="FootnoteText"/>
      </w:pPr>
      <w:r>
        <w:rPr>
          <w:rStyle w:val="FootnoteReference"/>
        </w:rPr>
        <w:footnoteRef/>
      </w:r>
      <w:r>
        <w:rPr>
          <w:rtl/>
        </w:rPr>
        <w:t xml:space="preserve"> </w:t>
      </w:r>
      <w:r>
        <w:t xml:space="preserve">. </w:t>
      </w:r>
      <w:r>
        <w:rPr>
          <w:rtl/>
        </w:rPr>
        <w:t xml:space="preserve"> </w:t>
      </w:r>
      <w:r w:rsidRPr="009A5F58">
        <w:rPr>
          <w:rtl/>
        </w:rPr>
        <w:t>قرب الإسناد (ط - الحديثة)، متن، ص: 171</w:t>
      </w:r>
      <w:r>
        <w:t xml:space="preserve">. </w:t>
      </w:r>
    </w:p>
  </w:footnote>
  <w:footnote w:id="5">
    <w:p w:rsidR="00537E48" w:rsidRDefault="00537E48" w:rsidP="00537E48">
      <w:pPr>
        <w:pStyle w:val="FootnoteText"/>
      </w:pPr>
      <w:r>
        <w:rPr>
          <w:rStyle w:val="FootnoteReference"/>
        </w:rPr>
        <w:footnoteRef/>
      </w:r>
      <w:r>
        <w:rPr>
          <w:rtl/>
        </w:rPr>
        <w:t xml:space="preserve"> </w:t>
      </w:r>
      <w:r>
        <w:rPr>
          <w:rFonts w:hint="cs"/>
          <w:rtl/>
        </w:rPr>
        <w:t xml:space="preserve">. </w:t>
      </w:r>
      <w:r w:rsidRPr="00537E48">
        <w:rPr>
          <w:rtl/>
        </w:rPr>
        <w:t>الكافي (ط - الإسلامية)، ج‏1، ص: 330</w:t>
      </w:r>
      <w:r>
        <w:rPr>
          <w:rFonts w:hint="cs"/>
          <w:rtl/>
        </w:rPr>
        <w:t xml:space="preserve">. </w:t>
      </w:r>
    </w:p>
  </w:footnote>
  <w:footnote w:id="6">
    <w:p w:rsidR="007E1121" w:rsidRDefault="007E1121" w:rsidP="007E1121">
      <w:pPr>
        <w:pStyle w:val="FootnoteText"/>
      </w:pPr>
      <w:r>
        <w:rPr>
          <w:rStyle w:val="FootnoteReference"/>
        </w:rPr>
        <w:footnoteRef/>
      </w:r>
      <w:r>
        <w:rPr>
          <w:rtl/>
        </w:rPr>
        <w:t xml:space="preserve"> </w:t>
      </w:r>
      <w:r>
        <w:rPr>
          <w:rFonts w:hint="cs"/>
          <w:rtl/>
        </w:rPr>
        <w:t>.</w:t>
      </w:r>
      <w:r w:rsidRPr="007E1121">
        <w:rPr>
          <w:rtl/>
        </w:rPr>
        <w:t>تهذيب الأحكام (تحقيق خرسان)، ج‏2، ص: 327</w:t>
      </w:r>
      <w:r>
        <w:rPr>
          <w:rFonts w:hint="cs"/>
          <w:rtl/>
        </w:rPr>
        <w:t xml:space="preserve">. </w:t>
      </w:r>
    </w:p>
  </w:footnote>
  <w:footnote w:id="7">
    <w:p w:rsidR="00B45D58" w:rsidRDefault="00B45D58" w:rsidP="00B45D58">
      <w:pPr>
        <w:pStyle w:val="FootnoteText"/>
        <w:rPr>
          <w:rFonts w:hint="cs"/>
        </w:rPr>
      </w:pPr>
      <w:r>
        <w:rPr>
          <w:rStyle w:val="FootnoteReference"/>
        </w:rPr>
        <w:footnoteRef/>
      </w:r>
      <w:r>
        <w:rPr>
          <w:rtl/>
        </w:rPr>
        <w:t xml:space="preserve"> </w:t>
      </w:r>
      <w:r>
        <w:rPr>
          <w:rFonts w:hint="cs"/>
          <w:rtl/>
        </w:rPr>
        <w:t>.</w:t>
      </w:r>
      <w:r w:rsidRPr="00B45D58">
        <w:rPr>
          <w:rtl/>
        </w:rPr>
        <w:t>فهرست كتب الشيعة و أصولهم و أسماء المصنفين و أصحاب الأصول (للطوسي) ( ط - الحديثة)، النص، ص: 127</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5B" w:rsidRPr="001D2E9A" w:rsidRDefault="009E345B" w:rsidP="00B4159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1" w:name="BokNum"/>
    <w:bookmarkEnd w:id="11"/>
    <w:r>
      <w:rPr>
        <w:rFonts w:hint="cs"/>
        <w:b/>
        <w:bCs/>
        <w:sz w:val="20"/>
        <w:szCs w:val="24"/>
        <w:rtl/>
      </w:rPr>
      <w:t>00</w:t>
    </w:r>
    <w:r w:rsidR="00B41590">
      <w:rPr>
        <w:rFonts w:hint="cs"/>
        <w:b/>
        <w:bCs/>
        <w:sz w:val="20"/>
        <w:szCs w:val="24"/>
        <w:rtl/>
      </w:rPr>
      <w:t>7</w:t>
    </w:r>
    <w:r>
      <w:rPr>
        <w:rFonts w:hint="cs"/>
        <w:b/>
        <w:bCs/>
        <w:sz w:val="20"/>
        <w:szCs w:val="24"/>
        <w:rtl/>
      </w:rPr>
      <w:tab/>
    </w:r>
    <w:r w:rsidRPr="00C32A7E">
      <w:rPr>
        <w:rFonts w:hint="cs"/>
        <w:b/>
        <w:bCs/>
        <w:color w:val="632423" w:themeColor="accent2" w:themeShade="80"/>
        <w:sz w:val="20"/>
        <w:szCs w:val="24"/>
        <w:rtl/>
      </w:rPr>
      <w:t xml:space="preserve">درس خارج </w:t>
    </w:r>
    <w:bookmarkStart w:id="12" w:name="Bokdars"/>
    <w:bookmarkEnd w:id="12"/>
    <w:r>
      <w:rPr>
        <w:rFonts w:hint="cs"/>
        <w:b/>
        <w:bCs/>
        <w:color w:val="632423" w:themeColor="accent2" w:themeShade="80"/>
        <w:sz w:val="20"/>
        <w:szCs w:val="24"/>
        <w:rtl/>
      </w:rPr>
      <w:t xml:space="preserve"> فقه حضرت</w:t>
    </w:r>
    <w:r w:rsidRPr="00C32A7E">
      <w:rPr>
        <w:rFonts w:hint="cs"/>
        <w:b/>
        <w:bCs/>
        <w:color w:val="632423" w:themeColor="accent2" w:themeShade="80"/>
        <w:sz w:val="20"/>
        <w:szCs w:val="24"/>
        <w:rtl/>
      </w:rPr>
      <w:t xml:space="preserve"> استاد </w:t>
    </w:r>
    <w:bookmarkStart w:id="13" w:name="Bokostad"/>
    <w:bookmarkEnd w:id="13"/>
    <w:r>
      <w:rPr>
        <w:rFonts w:hint="cs"/>
        <w:b/>
        <w:bCs/>
        <w:color w:val="632423" w:themeColor="accent2" w:themeShade="80"/>
        <w:sz w:val="20"/>
        <w:szCs w:val="24"/>
        <w:rtl/>
      </w:rPr>
      <w:t>شهیدی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4" w:name="BokTarikh"/>
    <w:bookmarkEnd w:id="14"/>
    <w:r>
      <w:rPr>
        <w:rFonts w:hint="cs"/>
        <w:sz w:val="24"/>
        <w:szCs w:val="24"/>
        <w:rtl/>
      </w:rPr>
      <w:t>2</w:t>
    </w:r>
    <w:r w:rsidR="00B41590">
      <w:rPr>
        <w:rFonts w:hint="cs"/>
        <w:sz w:val="24"/>
        <w:szCs w:val="24"/>
        <w:rtl/>
      </w:rPr>
      <w:t>9</w:t>
    </w:r>
    <w:r>
      <w:rPr>
        <w:sz w:val="24"/>
        <w:szCs w:val="24"/>
        <w:rtl/>
      </w:rPr>
      <w:t xml:space="preserve"> /</w:t>
    </w:r>
    <w:r>
      <w:rPr>
        <w:rFonts w:hint="cs"/>
        <w:sz w:val="24"/>
        <w:szCs w:val="24"/>
        <w:rtl/>
      </w:rPr>
      <w:t>6</w:t>
    </w:r>
    <w:r>
      <w:rPr>
        <w:sz w:val="24"/>
        <w:szCs w:val="24"/>
        <w:rtl/>
      </w:rPr>
      <w:t xml:space="preserve"> /1</w:t>
    </w:r>
    <w:r>
      <w:rPr>
        <w:rFonts w:hint="cs"/>
        <w:sz w:val="24"/>
        <w:szCs w:val="24"/>
        <w:rtl/>
      </w:rPr>
      <w:t>400</w:t>
    </w:r>
  </w:p>
  <w:p w:rsidR="009E345B" w:rsidRPr="00F16B53" w:rsidRDefault="009E345B" w:rsidP="00501BE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5" w:name="BokSabj"/>
    <w:bookmarkEnd w:id="15"/>
    <w:r w:rsidRPr="00102585">
      <w:rPr>
        <w:rFonts w:hint="cs"/>
        <w:color w:val="000000" w:themeColor="text1"/>
        <w:sz w:val="24"/>
        <w:szCs w:val="24"/>
        <w:rtl/>
      </w:rPr>
      <w:t xml:space="preserve">  </w:t>
    </w:r>
    <w:r w:rsidR="00501BEC">
      <w:rPr>
        <w:rFonts w:hint="cs"/>
        <w:color w:val="000000" w:themeColor="text1"/>
        <w:sz w:val="24"/>
        <w:szCs w:val="24"/>
        <w:rtl/>
      </w:rPr>
      <w:t xml:space="preserve">قیام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6" w:name="Bokmoqarer"/>
    <w:bookmarkEnd w:id="16"/>
    <w:r>
      <w:rPr>
        <w:rFonts w:hint="cs"/>
        <w:sz w:val="24"/>
        <w:szCs w:val="24"/>
        <w:rtl/>
      </w:rPr>
      <w:t xml:space="preserve"> </w:t>
    </w:r>
    <w:r>
      <w:rPr>
        <w:sz w:val="24"/>
        <w:szCs w:val="24"/>
      </w:rPr>
      <w:t xml:space="preserve"> </w:t>
    </w:r>
    <w:r>
      <w:rPr>
        <w:rFonts w:hint="cs"/>
        <w:sz w:val="24"/>
        <w:szCs w:val="24"/>
        <w:rtl/>
      </w:rPr>
      <w:t xml:space="preserve"> سید رضا حسنی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7" w:name="BokSabj2"/>
    <w:bookmarkEnd w:id="17"/>
    <w:r w:rsidR="00501BEC">
      <w:rPr>
        <w:rFonts w:hint="cs"/>
        <w:sz w:val="24"/>
        <w:szCs w:val="24"/>
        <w:rtl/>
      </w:rPr>
      <w:t>شرطیت استقلال در قیام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536C11"/>
    <w:multiLevelType w:val="hybridMultilevel"/>
    <w:tmpl w:val="E61AF9D4"/>
    <w:lvl w:ilvl="0" w:tplc="0252571A">
      <w:start w:val="2"/>
      <w:numFmt w:val="bullet"/>
      <w:lvlText w:val="-"/>
      <w:lvlJc w:val="left"/>
      <w:pPr>
        <w:ind w:left="720" w:hanging="360"/>
      </w:pPr>
      <w:rPr>
        <w:rFonts w:ascii="Calibri" w:eastAsia="Calibri" w:hAnsi="Calibri" w:cs="B Badr" w:hint="default"/>
        <w:b w:val="0"/>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792BE6"/>
    <w:multiLevelType w:val="hybridMultilevel"/>
    <w:tmpl w:val="9D3A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2E70A8"/>
    <w:multiLevelType w:val="hybridMultilevel"/>
    <w:tmpl w:val="56E6401C"/>
    <w:lvl w:ilvl="0" w:tplc="EA00A69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E4C86"/>
    <w:multiLevelType w:val="hybridMultilevel"/>
    <w:tmpl w:val="C4766124"/>
    <w:lvl w:ilvl="0" w:tplc="29A6391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55225"/>
    <w:multiLevelType w:val="hybridMultilevel"/>
    <w:tmpl w:val="98D49DBA"/>
    <w:lvl w:ilvl="0" w:tplc="9F7CDE3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0393"/>
    <w:multiLevelType w:val="hybridMultilevel"/>
    <w:tmpl w:val="2E04975E"/>
    <w:lvl w:ilvl="0" w:tplc="7D140E8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B0314"/>
    <w:multiLevelType w:val="hybridMultilevel"/>
    <w:tmpl w:val="6004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47842"/>
    <w:multiLevelType w:val="hybridMultilevel"/>
    <w:tmpl w:val="F60A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42881"/>
    <w:multiLevelType w:val="hybridMultilevel"/>
    <w:tmpl w:val="CB04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6343F"/>
    <w:multiLevelType w:val="hybridMultilevel"/>
    <w:tmpl w:val="1E66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6"/>
  </w:num>
  <w:num w:numId="8">
    <w:abstractNumId w:val="14"/>
  </w:num>
  <w:num w:numId="9">
    <w:abstractNumId w:val="11"/>
  </w:num>
  <w:num w:numId="10">
    <w:abstractNumId w:val="7"/>
  </w:num>
  <w:num w:numId="11">
    <w:abstractNumId w:val="5"/>
  </w:num>
  <w:num w:numId="12">
    <w:abstractNumId w:val="9"/>
  </w:num>
  <w:num w:numId="13">
    <w:abstractNumId w:val="8"/>
  </w:num>
  <w:num w:numId="14">
    <w:abstractNumId w:val="12"/>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TrueTypeFonts/>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5D26"/>
    <w:rsid w:val="000072A3"/>
    <w:rsid w:val="00025777"/>
    <w:rsid w:val="00025B70"/>
    <w:rsid w:val="000277B3"/>
    <w:rsid w:val="00031A30"/>
    <w:rsid w:val="00032E3A"/>
    <w:rsid w:val="000353D7"/>
    <w:rsid w:val="00036993"/>
    <w:rsid w:val="0003785F"/>
    <w:rsid w:val="000437EF"/>
    <w:rsid w:val="00043FB9"/>
    <w:rsid w:val="00052EA7"/>
    <w:rsid w:val="00055496"/>
    <w:rsid w:val="00057597"/>
    <w:rsid w:val="000639A6"/>
    <w:rsid w:val="00071F11"/>
    <w:rsid w:val="00080A41"/>
    <w:rsid w:val="0008299B"/>
    <w:rsid w:val="000913AA"/>
    <w:rsid w:val="000942BA"/>
    <w:rsid w:val="00094847"/>
    <w:rsid w:val="00096C63"/>
    <w:rsid w:val="000B1A39"/>
    <w:rsid w:val="000B2915"/>
    <w:rsid w:val="000B5AB6"/>
    <w:rsid w:val="000B5DB5"/>
    <w:rsid w:val="000C3947"/>
    <w:rsid w:val="000C5AED"/>
    <w:rsid w:val="000D2A37"/>
    <w:rsid w:val="000D30E9"/>
    <w:rsid w:val="000D6818"/>
    <w:rsid w:val="000E335E"/>
    <w:rsid w:val="000E433E"/>
    <w:rsid w:val="000F16CF"/>
    <w:rsid w:val="000F5BAC"/>
    <w:rsid w:val="000F60CF"/>
    <w:rsid w:val="00102585"/>
    <w:rsid w:val="00104BA8"/>
    <w:rsid w:val="00112FDA"/>
    <w:rsid w:val="00114AB7"/>
    <w:rsid w:val="00116B2B"/>
    <w:rsid w:val="00116EAA"/>
    <w:rsid w:val="00117684"/>
    <w:rsid w:val="00123223"/>
    <w:rsid w:val="00124E3D"/>
    <w:rsid w:val="00124EB5"/>
    <w:rsid w:val="001265CE"/>
    <w:rsid w:val="00126824"/>
    <w:rsid w:val="00127E95"/>
    <w:rsid w:val="00130659"/>
    <w:rsid w:val="00130789"/>
    <w:rsid w:val="001347C7"/>
    <w:rsid w:val="001356B0"/>
    <w:rsid w:val="001356DF"/>
    <w:rsid w:val="00136036"/>
    <w:rsid w:val="0013617D"/>
    <w:rsid w:val="001366F1"/>
    <w:rsid w:val="00137DC1"/>
    <w:rsid w:val="00151937"/>
    <w:rsid w:val="00163E7F"/>
    <w:rsid w:val="00181844"/>
    <w:rsid w:val="001837E9"/>
    <w:rsid w:val="00187DFA"/>
    <w:rsid w:val="0019022B"/>
    <w:rsid w:val="00195345"/>
    <w:rsid w:val="00196909"/>
    <w:rsid w:val="0019782D"/>
    <w:rsid w:val="001A1BC1"/>
    <w:rsid w:val="001A1EA5"/>
    <w:rsid w:val="001A2574"/>
    <w:rsid w:val="001A27D7"/>
    <w:rsid w:val="001A294E"/>
    <w:rsid w:val="001A4ED8"/>
    <w:rsid w:val="001B0579"/>
    <w:rsid w:val="001B2488"/>
    <w:rsid w:val="001B6799"/>
    <w:rsid w:val="001B690A"/>
    <w:rsid w:val="001C1362"/>
    <w:rsid w:val="001D2E9A"/>
    <w:rsid w:val="001D597F"/>
    <w:rsid w:val="001E14B8"/>
    <w:rsid w:val="001E3FD4"/>
    <w:rsid w:val="001F47C9"/>
    <w:rsid w:val="0020241A"/>
    <w:rsid w:val="00203821"/>
    <w:rsid w:val="002071D8"/>
    <w:rsid w:val="00211632"/>
    <w:rsid w:val="0021630D"/>
    <w:rsid w:val="00235990"/>
    <w:rsid w:val="0024121B"/>
    <w:rsid w:val="00247D2F"/>
    <w:rsid w:val="00256560"/>
    <w:rsid w:val="0027605E"/>
    <w:rsid w:val="00281E00"/>
    <w:rsid w:val="00294A52"/>
    <w:rsid w:val="002A0013"/>
    <w:rsid w:val="002A5B9E"/>
    <w:rsid w:val="002B0EEE"/>
    <w:rsid w:val="002B575F"/>
    <w:rsid w:val="002B67C0"/>
    <w:rsid w:val="002B729B"/>
    <w:rsid w:val="002C0E13"/>
    <w:rsid w:val="002C23B5"/>
    <w:rsid w:val="002C2F53"/>
    <w:rsid w:val="002C53A2"/>
    <w:rsid w:val="002D0040"/>
    <w:rsid w:val="002D2FA8"/>
    <w:rsid w:val="002E1CB5"/>
    <w:rsid w:val="002E220F"/>
    <w:rsid w:val="00303BF4"/>
    <w:rsid w:val="00307311"/>
    <w:rsid w:val="0032100F"/>
    <w:rsid w:val="003337B8"/>
    <w:rsid w:val="0033402C"/>
    <w:rsid w:val="00337661"/>
    <w:rsid w:val="00340521"/>
    <w:rsid w:val="00345C73"/>
    <w:rsid w:val="0035047A"/>
    <w:rsid w:val="00354A99"/>
    <w:rsid w:val="00360311"/>
    <w:rsid w:val="00361922"/>
    <w:rsid w:val="003723D6"/>
    <w:rsid w:val="0037339B"/>
    <w:rsid w:val="003809B1"/>
    <w:rsid w:val="00386C11"/>
    <w:rsid w:val="0039689A"/>
    <w:rsid w:val="00397466"/>
    <w:rsid w:val="003A6148"/>
    <w:rsid w:val="003A76DC"/>
    <w:rsid w:val="003C2554"/>
    <w:rsid w:val="003C33F6"/>
    <w:rsid w:val="003C3D2E"/>
    <w:rsid w:val="003C43A5"/>
    <w:rsid w:val="003D182C"/>
    <w:rsid w:val="003E1C5C"/>
    <w:rsid w:val="003E43ED"/>
    <w:rsid w:val="003E5ADB"/>
    <w:rsid w:val="003E6650"/>
    <w:rsid w:val="003F331A"/>
    <w:rsid w:val="003F5B46"/>
    <w:rsid w:val="00400871"/>
    <w:rsid w:val="00401363"/>
    <w:rsid w:val="00402E47"/>
    <w:rsid w:val="00406737"/>
    <w:rsid w:val="004112B5"/>
    <w:rsid w:val="0042312B"/>
    <w:rsid w:val="00425015"/>
    <w:rsid w:val="00430994"/>
    <w:rsid w:val="00441B6D"/>
    <w:rsid w:val="004556EF"/>
    <w:rsid w:val="00462B07"/>
    <w:rsid w:val="00464D29"/>
    <w:rsid w:val="00465BD2"/>
    <w:rsid w:val="004715C8"/>
    <w:rsid w:val="004724C1"/>
    <w:rsid w:val="00480EE4"/>
    <w:rsid w:val="00481C31"/>
    <w:rsid w:val="00482FC1"/>
    <w:rsid w:val="00483027"/>
    <w:rsid w:val="004871AA"/>
    <w:rsid w:val="004918D7"/>
    <w:rsid w:val="004926E1"/>
    <w:rsid w:val="004A09CC"/>
    <w:rsid w:val="004A2FEA"/>
    <w:rsid w:val="004A44A0"/>
    <w:rsid w:val="004B21DA"/>
    <w:rsid w:val="004B2F9E"/>
    <w:rsid w:val="004B3F99"/>
    <w:rsid w:val="004C3BC5"/>
    <w:rsid w:val="004D2853"/>
    <w:rsid w:val="004D2DD7"/>
    <w:rsid w:val="004D75C5"/>
    <w:rsid w:val="004D7A65"/>
    <w:rsid w:val="004E2186"/>
    <w:rsid w:val="004E66FB"/>
    <w:rsid w:val="004F470A"/>
    <w:rsid w:val="004F4C59"/>
    <w:rsid w:val="005009D6"/>
    <w:rsid w:val="00500C8F"/>
    <w:rsid w:val="00501909"/>
    <w:rsid w:val="00501BEC"/>
    <w:rsid w:val="00507BBB"/>
    <w:rsid w:val="005128DF"/>
    <w:rsid w:val="0051592A"/>
    <w:rsid w:val="005206FE"/>
    <w:rsid w:val="005257ED"/>
    <w:rsid w:val="005306F8"/>
    <w:rsid w:val="0053378E"/>
    <w:rsid w:val="00537E48"/>
    <w:rsid w:val="0054023D"/>
    <w:rsid w:val="005419F2"/>
    <w:rsid w:val="005426BF"/>
    <w:rsid w:val="0055424A"/>
    <w:rsid w:val="005564E8"/>
    <w:rsid w:val="00556F99"/>
    <w:rsid w:val="00557E1D"/>
    <w:rsid w:val="00560D2A"/>
    <w:rsid w:val="0056213C"/>
    <w:rsid w:val="00575770"/>
    <w:rsid w:val="00580C24"/>
    <w:rsid w:val="0058656B"/>
    <w:rsid w:val="005916CC"/>
    <w:rsid w:val="005968EF"/>
    <w:rsid w:val="00596C1E"/>
    <w:rsid w:val="005A2E26"/>
    <w:rsid w:val="005B4856"/>
    <w:rsid w:val="005B7BCA"/>
    <w:rsid w:val="005C0DAE"/>
    <w:rsid w:val="005C188E"/>
    <w:rsid w:val="005D2349"/>
    <w:rsid w:val="005E1B60"/>
    <w:rsid w:val="005E5507"/>
    <w:rsid w:val="005E607B"/>
    <w:rsid w:val="005F0A8D"/>
    <w:rsid w:val="005F666E"/>
    <w:rsid w:val="00601229"/>
    <w:rsid w:val="00603B67"/>
    <w:rsid w:val="00607708"/>
    <w:rsid w:val="00613BFE"/>
    <w:rsid w:val="006162A2"/>
    <w:rsid w:val="00624050"/>
    <w:rsid w:val="006240DA"/>
    <w:rsid w:val="0063256E"/>
    <w:rsid w:val="00633F04"/>
    <w:rsid w:val="00635185"/>
    <w:rsid w:val="00635219"/>
    <w:rsid w:val="00635EC0"/>
    <w:rsid w:val="00640B58"/>
    <w:rsid w:val="00651B02"/>
    <w:rsid w:val="00651B19"/>
    <w:rsid w:val="00654CF7"/>
    <w:rsid w:val="00657BD2"/>
    <w:rsid w:val="00660A29"/>
    <w:rsid w:val="006750BA"/>
    <w:rsid w:val="00677C34"/>
    <w:rsid w:val="00691A16"/>
    <w:rsid w:val="00695519"/>
    <w:rsid w:val="006A1FA8"/>
    <w:rsid w:val="006A2499"/>
    <w:rsid w:val="006A4134"/>
    <w:rsid w:val="006A441C"/>
    <w:rsid w:val="006A5DDA"/>
    <w:rsid w:val="006A6701"/>
    <w:rsid w:val="006B21F4"/>
    <w:rsid w:val="006B253F"/>
    <w:rsid w:val="006B312D"/>
    <w:rsid w:val="006B3753"/>
    <w:rsid w:val="006B7AD6"/>
    <w:rsid w:val="006C43D0"/>
    <w:rsid w:val="006C50FD"/>
    <w:rsid w:val="006D1DD4"/>
    <w:rsid w:val="006D2548"/>
    <w:rsid w:val="006D4014"/>
    <w:rsid w:val="006D44C1"/>
    <w:rsid w:val="006E1E5A"/>
    <w:rsid w:val="006E27C3"/>
    <w:rsid w:val="006E5651"/>
    <w:rsid w:val="006E5806"/>
    <w:rsid w:val="006E5B85"/>
    <w:rsid w:val="006F026A"/>
    <w:rsid w:val="006F2C24"/>
    <w:rsid w:val="00700435"/>
    <w:rsid w:val="0070265B"/>
    <w:rsid w:val="00704813"/>
    <w:rsid w:val="00705403"/>
    <w:rsid w:val="007111CF"/>
    <w:rsid w:val="0071381B"/>
    <w:rsid w:val="0072290D"/>
    <w:rsid w:val="00723D6D"/>
    <w:rsid w:val="00724537"/>
    <w:rsid w:val="00724CC7"/>
    <w:rsid w:val="00731724"/>
    <w:rsid w:val="0073474B"/>
    <w:rsid w:val="00735511"/>
    <w:rsid w:val="00737208"/>
    <w:rsid w:val="00744DE6"/>
    <w:rsid w:val="007514A6"/>
    <w:rsid w:val="00752F1A"/>
    <w:rsid w:val="00755AE9"/>
    <w:rsid w:val="007579A8"/>
    <w:rsid w:val="00762452"/>
    <w:rsid w:val="007639E0"/>
    <w:rsid w:val="00775507"/>
    <w:rsid w:val="00783473"/>
    <w:rsid w:val="0078594B"/>
    <w:rsid w:val="00787150"/>
    <w:rsid w:val="00795E02"/>
    <w:rsid w:val="0079746D"/>
    <w:rsid w:val="007979D0"/>
    <w:rsid w:val="007A4E18"/>
    <w:rsid w:val="007A6196"/>
    <w:rsid w:val="007A7B8C"/>
    <w:rsid w:val="007B1577"/>
    <w:rsid w:val="007B7FA4"/>
    <w:rsid w:val="007C3C82"/>
    <w:rsid w:val="007C6D9E"/>
    <w:rsid w:val="007D1C43"/>
    <w:rsid w:val="007D3AE1"/>
    <w:rsid w:val="007D6C53"/>
    <w:rsid w:val="007D6EE0"/>
    <w:rsid w:val="007E1121"/>
    <w:rsid w:val="007E1564"/>
    <w:rsid w:val="007E1E87"/>
    <w:rsid w:val="007E5B3F"/>
    <w:rsid w:val="007F023A"/>
    <w:rsid w:val="007F2257"/>
    <w:rsid w:val="0080091D"/>
    <w:rsid w:val="0080392B"/>
    <w:rsid w:val="00804108"/>
    <w:rsid w:val="00804FC4"/>
    <w:rsid w:val="00805242"/>
    <w:rsid w:val="00816367"/>
    <w:rsid w:val="00816A0B"/>
    <w:rsid w:val="008211C6"/>
    <w:rsid w:val="00824B22"/>
    <w:rsid w:val="00830C53"/>
    <w:rsid w:val="00837FAA"/>
    <w:rsid w:val="00841F77"/>
    <w:rsid w:val="0084449D"/>
    <w:rsid w:val="00844627"/>
    <w:rsid w:val="0084700F"/>
    <w:rsid w:val="00851C24"/>
    <w:rsid w:val="0085276D"/>
    <w:rsid w:val="00862241"/>
    <w:rsid w:val="00862FD7"/>
    <w:rsid w:val="00863390"/>
    <w:rsid w:val="0086385C"/>
    <w:rsid w:val="00871916"/>
    <w:rsid w:val="00886268"/>
    <w:rsid w:val="008956DD"/>
    <w:rsid w:val="00895845"/>
    <w:rsid w:val="008A3C70"/>
    <w:rsid w:val="008A510E"/>
    <w:rsid w:val="008A522A"/>
    <w:rsid w:val="008B4464"/>
    <w:rsid w:val="008B7107"/>
    <w:rsid w:val="008B750B"/>
    <w:rsid w:val="008C3162"/>
    <w:rsid w:val="008D1F14"/>
    <w:rsid w:val="008E3924"/>
    <w:rsid w:val="008E68EE"/>
    <w:rsid w:val="008F0C73"/>
    <w:rsid w:val="008F13F7"/>
    <w:rsid w:val="008F3FCA"/>
    <w:rsid w:val="008F5B4D"/>
    <w:rsid w:val="00904CFA"/>
    <w:rsid w:val="00907425"/>
    <w:rsid w:val="0091475F"/>
    <w:rsid w:val="00922432"/>
    <w:rsid w:val="00923C34"/>
    <w:rsid w:val="00924152"/>
    <w:rsid w:val="0092513D"/>
    <w:rsid w:val="00927A9F"/>
    <w:rsid w:val="009335CC"/>
    <w:rsid w:val="00935A55"/>
    <w:rsid w:val="00941CEB"/>
    <w:rsid w:val="0094720F"/>
    <w:rsid w:val="00953B28"/>
    <w:rsid w:val="00954322"/>
    <w:rsid w:val="0095704E"/>
    <w:rsid w:val="00957CAA"/>
    <w:rsid w:val="00957DB1"/>
    <w:rsid w:val="00966927"/>
    <w:rsid w:val="0096778A"/>
    <w:rsid w:val="00977656"/>
    <w:rsid w:val="00982711"/>
    <w:rsid w:val="009846A7"/>
    <w:rsid w:val="009869CD"/>
    <w:rsid w:val="0098794D"/>
    <w:rsid w:val="0099463D"/>
    <w:rsid w:val="0099497B"/>
    <w:rsid w:val="009A393C"/>
    <w:rsid w:val="009A43BA"/>
    <w:rsid w:val="009A5F58"/>
    <w:rsid w:val="009A6158"/>
    <w:rsid w:val="009B0D05"/>
    <w:rsid w:val="009B4CA6"/>
    <w:rsid w:val="009B79F8"/>
    <w:rsid w:val="009C66D5"/>
    <w:rsid w:val="009D13FD"/>
    <w:rsid w:val="009D266A"/>
    <w:rsid w:val="009D2FF7"/>
    <w:rsid w:val="009E345B"/>
    <w:rsid w:val="009F4543"/>
    <w:rsid w:val="009F72D6"/>
    <w:rsid w:val="009F7E07"/>
    <w:rsid w:val="00A01522"/>
    <w:rsid w:val="00A066D5"/>
    <w:rsid w:val="00A1042E"/>
    <w:rsid w:val="00A108F8"/>
    <w:rsid w:val="00A10A11"/>
    <w:rsid w:val="00A13C6A"/>
    <w:rsid w:val="00A1633E"/>
    <w:rsid w:val="00A17B09"/>
    <w:rsid w:val="00A26DA6"/>
    <w:rsid w:val="00A319AD"/>
    <w:rsid w:val="00A32325"/>
    <w:rsid w:val="00A33C41"/>
    <w:rsid w:val="00A356C9"/>
    <w:rsid w:val="00A42FC3"/>
    <w:rsid w:val="00A457C6"/>
    <w:rsid w:val="00A46AD0"/>
    <w:rsid w:val="00A47063"/>
    <w:rsid w:val="00A473A8"/>
    <w:rsid w:val="00A513F0"/>
    <w:rsid w:val="00A57927"/>
    <w:rsid w:val="00A61AC8"/>
    <w:rsid w:val="00A6366F"/>
    <w:rsid w:val="00A65D4C"/>
    <w:rsid w:val="00A70512"/>
    <w:rsid w:val="00A92492"/>
    <w:rsid w:val="00AA1F60"/>
    <w:rsid w:val="00AA40D7"/>
    <w:rsid w:val="00AB5F7D"/>
    <w:rsid w:val="00AC0C50"/>
    <w:rsid w:val="00AC6FE2"/>
    <w:rsid w:val="00AD7080"/>
    <w:rsid w:val="00AF2DD3"/>
    <w:rsid w:val="00AF3925"/>
    <w:rsid w:val="00B11ADB"/>
    <w:rsid w:val="00B1296B"/>
    <w:rsid w:val="00B2292F"/>
    <w:rsid w:val="00B3221E"/>
    <w:rsid w:val="00B40326"/>
    <w:rsid w:val="00B41590"/>
    <w:rsid w:val="00B43169"/>
    <w:rsid w:val="00B4480F"/>
    <w:rsid w:val="00B45D58"/>
    <w:rsid w:val="00B501A8"/>
    <w:rsid w:val="00B52466"/>
    <w:rsid w:val="00B55AE4"/>
    <w:rsid w:val="00B63FF9"/>
    <w:rsid w:val="00B70B46"/>
    <w:rsid w:val="00B739B0"/>
    <w:rsid w:val="00B73A98"/>
    <w:rsid w:val="00B76A56"/>
    <w:rsid w:val="00B814A3"/>
    <w:rsid w:val="00B867BA"/>
    <w:rsid w:val="00B96F38"/>
    <w:rsid w:val="00BA0493"/>
    <w:rsid w:val="00BA7F51"/>
    <w:rsid w:val="00BB153B"/>
    <w:rsid w:val="00BB2113"/>
    <w:rsid w:val="00BC2484"/>
    <w:rsid w:val="00BC716B"/>
    <w:rsid w:val="00BD0E74"/>
    <w:rsid w:val="00BD3D2A"/>
    <w:rsid w:val="00BD5F8C"/>
    <w:rsid w:val="00BE29DD"/>
    <w:rsid w:val="00BE7B1A"/>
    <w:rsid w:val="00C01BE3"/>
    <w:rsid w:val="00C0317E"/>
    <w:rsid w:val="00C066AF"/>
    <w:rsid w:val="00C10E06"/>
    <w:rsid w:val="00C145B8"/>
    <w:rsid w:val="00C2438F"/>
    <w:rsid w:val="00C27944"/>
    <w:rsid w:val="00C31AF0"/>
    <w:rsid w:val="00C32A7E"/>
    <w:rsid w:val="00C3423C"/>
    <w:rsid w:val="00C34F28"/>
    <w:rsid w:val="00C368DF"/>
    <w:rsid w:val="00C40131"/>
    <w:rsid w:val="00C442C5"/>
    <w:rsid w:val="00C4725F"/>
    <w:rsid w:val="00C5439C"/>
    <w:rsid w:val="00C559A4"/>
    <w:rsid w:val="00C57A14"/>
    <w:rsid w:val="00C57B5C"/>
    <w:rsid w:val="00C57C7C"/>
    <w:rsid w:val="00C61049"/>
    <w:rsid w:val="00C63FFE"/>
    <w:rsid w:val="00C70805"/>
    <w:rsid w:val="00C76962"/>
    <w:rsid w:val="00C86A16"/>
    <w:rsid w:val="00C91BB4"/>
    <w:rsid w:val="00C91EB6"/>
    <w:rsid w:val="00CA10B0"/>
    <w:rsid w:val="00CA2D85"/>
    <w:rsid w:val="00CA2F8E"/>
    <w:rsid w:val="00CA3EE2"/>
    <w:rsid w:val="00CA7FD5"/>
    <w:rsid w:val="00CB1B96"/>
    <w:rsid w:val="00CB1F07"/>
    <w:rsid w:val="00CB3287"/>
    <w:rsid w:val="00CB33E2"/>
    <w:rsid w:val="00CB4E68"/>
    <w:rsid w:val="00CC16FB"/>
    <w:rsid w:val="00CC2733"/>
    <w:rsid w:val="00CD0050"/>
    <w:rsid w:val="00CE7481"/>
    <w:rsid w:val="00CF0A8F"/>
    <w:rsid w:val="00CF53B6"/>
    <w:rsid w:val="00D0159E"/>
    <w:rsid w:val="00D048CE"/>
    <w:rsid w:val="00D10998"/>
    <w:rsid w:val="00D15CBD"/>
    <w:rsid w:val="00D17103"/>
    <w:rsid w:val="00D221CB"/>
    <w:rsid w:val="00D23391"/>
    <w:rsid w:val="00D31805"/>
    <w:rsid w:val="00D356CC"/>
    <w:rsid w:val="00D363F7"/>
    <w:rsid w:val="00D3794F"/>
    <w:rsid w:val="00D37E62"/>
    <w:rsid w:val="00D405AD"/>
    <w:rsid w:val="00D43A0E"/>
    <w:rsid w:val="00D460F5"/>
    <w:rsid w:val="00D55197"/>
    <w:rsid w:val="00D552B9"/>
    <w:rsid w:val="00D556F1"/>
    <w:rsid w:val="00D609DB"/>
    <w:rsid w:val="00D65FAC"/>
    <w:rsid w:val="00D735B2"/>
    <w:rsid w:val="00D74021"/>
    <w:rsid w:val="00D76D01"/>
    <w:rsid w:val="00D77F3D"/>
    <w:rsid w:val="00D82279"/>
    <w:rsid w:val="00D922A9"/>
    <w:rsid w:val="00D9394A"/>
    <w:rsid w:val="00DA155A"/>
    <w:rsid w:val="00DB0CBB"/>
    <w:rsid w:val="00DB17CD"/>
    <w:rsid w:val="00DB67CC"/>
    <w:rsid w:val="00DC3783"/>
    <w:rsid w:val="00DC6BBD"/>
    <w:rsid w:val="00DD2414"/>
    <w:rsid w:val="00DE1070"/>
    <w:rsid w:val="00DE1597"/>
    <w:rsid w:val="00DE2EE3"/>
    <w:rsid w:val="00DF7C82"/>
    <w:rsid w:val="00E00219"/>
    <w:rsid w:val="00E002C6"/>
    <w:rsid w:val="00E01A8D"/>
    <w:rsid w:val="00E0316B"/>
    <w:rsid w:val="00E25E10"/>
    <w:rsid w:val="00E30C1B"/>
    <w:rsid w:val="00E361C0"/>
    <w:rsid w:val="00E3690D"/>
    <w:rsid w:val="00E50B41"/>
    <w:rsid w:val="00E5219B"/>
    <w:rsid w:val="00E52D07"/>
    <w:rsid w:val="00E5518B"/>
    <w:rsid w:val="00E569A5"/>
    <w:rsid w:val="00E609A5"/>
    <w:rsid w:val="00E609FE"/>
    <w:rsid w:val="00E61411"/>
    <w:rsid w:val="00E630BE"/>
    <w:rsid w:val="00E75920"/>
    <w:rsid w:val="00E77771"/>
    <w:rsid w:val="00E80D96"/>
    <w:rsid w:val="00E871FA"/>
    <w:rsid w:val="00E936A4"/>
    <w:rsid w:val="00E93FD6"/>
    <w:rsid w:val="00E954BB"/>
    <w:rsid w:val="00EA45E7"/>
    <w:rsid w:val="00EB78E3"/>
    <w:rsid w:val="00EB7BE3"/>
    <w:rsid w:val="00EC1C4B"/>
    <w:rsid w:val="00EC735A"/>
    <w:rsid w:val="00ED0A8A"/>
    <w:rsid w:val="00ED5F38"/>
    <w:rsid w:val="00EE6ABE"/>
    <w:rsid w:val="00EE6CAA"/>
    <w:rsid w:val="00EF1D28"/>
    <w:rsid w:val="00EF25A1"/>
    <w:rsid w:val="00EF27FE"/>
    <w:rsid w:val="00F010D0"/>
    <w:rsid w:val="00F07FB6"/>
    <w:rsid w:val="00F149D0"/>
    <w:rsid w:val="00F16B53"/>
    <w:rsid w:val="00F16FFA"/>
    <w:rsid w:val="00F21651"/>
    <w:rsid w:val="00F25ECD"/>
    <w:rsid w:val="00F318BE"/>
    <w:rsid w:val="00F33297"/>
    <w:rsid w:val="00F3384F"/>
    <w:rsid w:val="00F343FB"/>
    <w:rsid w:val="00F359FE"/>
    <w:rsid w:val="00F42159"/>
    <w:rsid w:val="00F4256E"/>
    <w:rsid w:val="00F42EE1"/>
    <w:rsid w:val="00F564CA"/>
    <w:rsid w:val="00F56C38"/>
    <w:rsid w:val="00F5794B"/>
    <w:rsid w:val="00F60F1F"/>
    <w:rsid w:val="00F62FE7"/>
    <w:rsid w:val="00F64141"/>
    <w:rsid w:val="00F66355"/>
    <w:rsid w:val="00F67401"/>
    <w:rsid w:val="00F67508"/>
    <w:rsid w:val="00F71FC9"/>
    <w:rsid w:val="00F73B48"/>
    <w:rsid w:val="00F74F51"/>
    <w:rsid w:val="00F75C3E"/>
    <w:rsid w:val="00F776AA"/>
    <w:rsid w:val="00F842AD"/>
    <w:rsid w:val="00F914EB"/>
    <w:rsid w:val="00F91B85"/>
    <w:rsid w:val="00F938E7"/>
    <w:rsid w:val="00F94621"/>
    <w:rsid w:val="00FA3B17"/>
    <w:rsid w:val="00FA5E8D"/>
    <w:rsid w:val="00FA5F3D"/>
    <w:rsid w:val="00FB399E"/>
    <w:rsid w:val="00FB67B8"/>
    <w:rsid w:val="00FB7F50"/>
    <w:rsid w:val="00FC0820"/>
    <w:rsid w:val="00FC1B0D"/>
    <w:rsid w:val="00FC2A85"/>
    <w:rsid w:val="00FC40AF"/>
    <w:rsid w:val="00FC73B9"/>
    <w:rsid w:val="00FD0A16"/>
    <w:rsid w:val="00FE3D7D"/>
    <w:rsid w:val="00FE6DCF"/>
    <w:rsid w:val="00FF2D86"/>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4F4D6"/>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unhideWhenUsed/>
    <w:qFormat/>
    <w:rsid w:val="00D77F3D"/>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4247539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4D66-63E6-48E1-AB83-78D81D1B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52</TotalTime>
  <Pages>1</Pages>
  <Words>1948</Words>
  <Characters>11106</Characters>
  <Application>Microsoft Office Word</Application>
  <DocSecurity>0</DocSecurity>
  <Lines>92</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13028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37</cp:revision>
  <cp:lastPrinted>2021-09-20T10:56:00Z</cp:lastPrinted>
  <dcterms:created xsi:type="dcterms:W3CDTF">2021-09-20T07:12:00Z</dcterms:created>
  <dcterms:modified xsi:type="dcterms:W3CDTF">2021-09-20T10:56:00Z</dcterms:modified>
  <cp:contentStatus>ویرایش 2.5</cp:contentStatus>
  <cp:version>2.7</cp:version>
</cp:coreProperties>
</file>