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E827AA">
      <w:pPr>
        <w:jc w:val="lowKashida"/>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C91EB6" w:rsidRPr="00C91EB6" w:rsidRDefault="00A01522" w:rsidP="00E827AA">
      <w:pPr>
        <w:jc w:val="lowKashida"/>
      </w:pPr>
      <w:r>
        <w:rPr>
          <w:rFonts w:cs="B Titr"/>
          <w:noProof/>
          <w:webHidden/>
          <w:color w:val="632423" w:themeColor="accent2" w:themeShade="80"/>
          <w:szCs w:val="24"/>
          <w:rtl/>
        </w:rPr>
        <w:fldChar w:fldCharType="begin"/>
      </w:r>
      <w:r>
        <w:rPr>
          <w:rFonts w:cs="B Titr"/>
          <w:noProof/>
          <w:webHidden/>
          <w:color w:val="632423" w:themeColor="accent2" w:themeShade="80"/>
          <w:szCs w:val="24"/>
          <w:rtl/>
        </w:rPr>
        <w:instrText xml:space="preserve"> </w:instrText>
      </w:r>
      <w:r>
        <w:rPr>
          <w:rFonts w:cs="B Titr"/>
          <w:noProof/>
          <w:webHidden/>
          <w:color w:val="632423" w:themeColor="accent2" w:themeShade="80"/>
          <w:szCs w:val="24"/>
        </w:rPr>
        <w:instrText>TOC</w:instrText>
      </w:r>
      <w:r>
        <w:rPr>
          <w:rFonts w:cs="B Titr"/>
          <w:noProof/>
          <w:webHidden/>
          <w:color w:val="632423" w:themeColor="accent2" w:themeShade="80"/>
          <w:szCs w:val="24"/>
          <w:rtl/>
        </w:rPr>
        <w:instrText xml:space="preserve"> \</w:instrText>
      </w:r>
      <w:r>
        <w:rPr>
          <w:rFonts w:cs="B Titr"/>
          <w:noProof/>
          <w:webHidden/>
          <w:color w:val="632423" w:themeColor="accent2" w:themeShade="80"/>
          <w:szCs w:val="24"/>
        </w:rPr>
        <w:instrText>o \h \z \u</w:instrText>
      </w:r>
      <w:r>
        <w:rPr>
          <w:rFonts w:cs="B Titr"/>
          <w:noProof/>
          <w:webHidden/>
          <w:color w:val="632423" w:themeColor="accent2" w:themeShade="80"/>
          <w:szCs w:val="24"/>
          <w:rtl/>
        </w:rPr>
        <w:instrText xml:space="preserve"> </w:instrText>
      </w:r>
      <w:r>
        <w:rPr>
          <w:rFonts w:cs="B Titr"/>
          <w:noProof/>
          <w:webHidden/>
          <w:color w:val="632423" w:themeColor="accent2" w:themeShade="80"/>
          <w:szCs w:val="24"/>
          <w:rtl/>
        </w:rPr>
        <w:fldChar w:fldCharType="separate"/>
      </w:r>
      <w:r>
        <w:rPr>
          <w:rFonts w:cs="B Titr" w:hint="cs"/>
          <w:b/>
          <w:bCs/>
          <w:noProof/>
          <w:webHidden/>
          <w:color w:val="632423" w:themeColor="accent2" w:themeShade="80"/>
          <w:szCs w:val="24"/>
          <w:rtl/>
        </w:rPr>
        <w:t>هیچ ورودی فهرست مطالب یافت نشد.</w:t>
      </w:r>
      <w:r>
        <w:rPr>
          <w:rFonts w:cs="B Titr"/>
          <w:noProof/>
          <w:webHidden/>
          <w:color w:val="632423" w:themeColor="accent2" w:themeShade="80"/>
          <w:szCs w:val="24"/>
          <w:rtl/>
        </w:rPr>
        <w:fldChar w:fldCharType="end"/>
      </w:r>
    </w:p>
    <w:p w:rsidR="00F343FB" w:rsidRPr="00A6366F" w:rsidRDefault="00F842AD" w:rsidP="00E827AA">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BB146C">
        <w:rPr>
          <w:rFonts w:hint="cs"/>
          <w:rtl/>
        </w:rPr>
        <w:t xml:space="preserve">بررسی </w:t>
      </w:r>
      <w:r w:rsidR="00B3671C">
        <w:rPr>
          <w:rtl/>
        </w:rPr>
        <w:t>جواز تقل</w:t>
      </w:r>
      <w:r w:rsidR="00B3671C">
        <w:rPr>
          <w:rFonts w:hint="cs"/>
          <w:rtl/>
        </w:rPr>
        <w:t>ی</w:t>
      </w:r>
      <w:r w:rsidR="00B3671C">
        <w:rPr>
          <w:rFonts w:hint="eastAsia"/>
          <w:rtl/>
        </w:rPr>
        <w:t>د</w:t>
      </w:r>
      <w:r w:rsidR="00B3671C">
        <w:rPr>
          <w:rtl/>
        </w:rPr>
        <w:t xml:space="preserve"> ابتدائ</w:t>
      </w:r>
      <w:r w:rsidR="00B3671C">
        <w:rPr>
          <w:rFonts w:hint="cs"/>
          <w:rtl/>
        </w:rPr>
        <w:t>ی</w:t>
      </w:r>
      <w:r w:rsidR="00B3671C">
        <w:rPr>
          <w:rtl/>
        </w:rPr>
        <w:t xml:space="preserve"> از م</w:t>
      </w:r>
      <w:r w:rsidR="00B3671C">
        <w:rPr>
          <w:rFonts w:hint="cs"/>
          <w:rtl/>
        </w:rPr>
        <w:t>ی</w:t>
      </w:r>
      <w:r w:rsidR="00B3671C">
        <w:rPr>
          <w:rFonts w:hint="eastAsia"/>
          <w:rtl/>
        </w:rPr>
        <w:t>ت</w:t>
      </w:r>
      <w:r w:rsidR="00386C11" w:rsidRPr="00A6366F">
        <w:rPr>
          <w:rFonts w:hint="cs"/>
          <w:rtl/>
        </w:rPr>
        <w:t>/</w:t>
      </w:r>
      <w:bookmarkStart w:id="1" w:name="BokSabj_d"/>
      <w:bookmarkEnd w:id="1"/>
      <w:r w:rsidR="00BB146C">
        <w:rPr>
          <w:rFonts w:hint="cs"/>
          <w:rtl/>
        </w:rPr>
        <w:t xml:space="preserve"> </w:t>
      </w:r>
      <w:r w:rsidR="00B3671C">
        <w:rPr>
          <w:rtl/>
        </w:rPr>
        <w:t>شرط</w:t>
      </w:r>
      <w:r w:rsidR="00B3671C">
        <w:rPr>
          <w:rFonts w:hint="cs"/>
          <w:rtl/>
        </w:rPr>
        <w:t>ی</w:t>
      </w:r>
      <w:r w:rsidR="00B3671C">
        <w:rPr>
          <w:rFonts w:hint="eastAsia"/>
          <w:rtl/>
        </w:rPr>
        <w:t>ت</w:t>
      </w:r>
      <w:r w:rsidR="00B3671C">
        <w:rPr>
          <w:rtl/>
        </w:rPr>
        <w:t xml:space="preserve"> ح</w:t>
      </w:r>
      <w:r w:rsidR="00B3671C">
        <w:rPr>
          <w:rFonts w:hint="cs"/>
          <w:rtl/>
        </w:rPr>
        <w:t>ی</w:t>
      </w:r>
      <w:r w:rsidR="00B3671C">
        <w:rPr>
          <w:rFonts w:hint="eastAsia"/>
          <w:rtl/>
        </w:rPr>
        <w:t>ات</w:t>
      </w:r>
      <w:r w:rsidR="00B3671C">
        <w:rPr>
          <w:rtl/>
        </w:rPr>
        <w:t xml:space="preserve"> در مرجع تقل</w:t>
      </w:r>
      <w:r w:rsidR="00B3671C">
        <w:rPr>
          <w:rFonts w:hint="cs"/>
          <w:rtl/>
        </w:rPr>
        <w:t>ی</w:t>
      </w:r>
      <w:r w:rsidR="00B3671C">
        <w:rPr>
          <w:rFonts w:hint="eastAsia"/>
          <w:rtl/>
        </w:rPr>
        <w:t>د</w:t>
      </w:r>
      <w:r w:rsidR="00386C11" w:rsidRPr="00A6366F">
        <w:rPr>
          <w:rFonts w:hint="cs"/>
          <w:rtl/>
        </w:rPr>
        <w:t>/</w:t>
      </w:r>
      <w:bookmarkStart w:id="2" w:name="Bokkolli"/>
      <w:bookmarkEnd w:id="2"/>
      <w:r w:rsidR="002A02C7">
        <w:rPr>
          <w:rFonts w:hint="cs"/>
          <w:rtl/>
        </w:rPr>
        <w:t xml:space="preserve"> </w:t>
      </w:r>
      <w:r w:rsidR="00B3671C">
        <w:rPr>
          <w:rtl/>
        </w:rPr>
        <w:t>اجتهاد و تقل</w:t>
      </w:r>
      <w:r w:rsidR="00B3671C">
        <w:rPr>
          <w:rFonts w:hint="cs"/>
          <w:rtl/>
        </w:rPr>
        <w:t>ی</w:t>
      </w:r>
      <w:r w:rsidR="00BB146C">
        <w:rPr>
          <w:rFonts w:hint="cs"/>
          <w:rtl/>
        </w:rPr>
        <w:t>د/ خاتمه</w:t>
      </w:r>
      <w:r w:rsidR="001B6799" w:rsidRPr="00A6366F">
        <w:rPr>
          <w:rFonts w:hint="cs"/>
          <w:rtl/>
        </w:rPr>
        <w:t xml:space="preserve"> </w:t>
      </w:r>
    </w:p>
    <w:p w:rsidR="008F5B4D" w:rsidRPr="009C66D5" w:rsidRDefault="008F5B4D" w:rsidP="00E827AA">
      <w:pPr>
        <w:jc w:val="lowKashida"/>
        <w:rPr>
          <w:rStyle w:val="Emphasis"/>
          <w:b/>
          <w:bCs w:val="0"/>
          <w:rtl/>
        </w:rPr>
      </w:pPr>
      <w:r w:rsidRPr="009C66D5">
        <w:rPr>
          <w:rStyle w:val="Emphasis"/>
          <w:rFonts w:hint="cs"/>
          <w:b/>
          <w:bCs w:val="0"/>
          <w:rtl/>
        </w:rPr>
        <w:t>خلاصه مباحث گذشته:</w:t>
      </w:r>
    </w:p>
    <w:p w:rsidR="00247D2F" w:rsidRPr="003A6148" w:rsidRDefault="008D39E2" w:rsidP="00E827AA">
      <w:pPr>
        <w:pBdr>
          <w:bottom w:val="double" w:sz="6" w:space="1" w:color="auto"/>
        </w:pBdr>
        <w:jc w:val="lowKashida"/>
      </w:pPr>
      <w:r>
        <w:rPr>
          <w:rFonts w:hint="cs"/>
          <w:rtl/>
        </w:rPr>
        <w:t>بحث در شرطیت حیات</w:t>
      </w:r>
      <w:r w:rsidR="00C15075">
        <w:rPr>
          <w:rFonts w:hint="cs"/>
          <w:rtl/>
        </w:rPr>
        <w:t xml:space="preserve"> در مرجع تقلید است که در این بخش</w:t>
      </w:r>
      <w:r>
        <w:rPr>
          <w:rFonts w:hint="cs"/>
          <w:rtl/>
        </w:rPr>
        <w:t xml:space="preserve"> به بحث جواز تقلید ابتدائی از میت پرداخته شد. در مورد عدم جواز تقلید ابتدائی از میت </w:t>
      </w:r>
      <w:r w:rsidR="00EA0862">
        <w:rPr>
          <w:rFonts w:hint="cs"/>
          <w:rtl/>
        </w:rPr>
        <w:t>ادله ای از جمله اجماع، از بین رفتن رأی با مرگ مجتهد و زوال رأی مجتهد بعد از مرگ به جهت کشف واقع مطرح و مورد بررسی قرار گرفت.</w:t>
      </w:r>
      <w:r w:rsidR="004C2D0E">
        <w:rPr>
          <w:rFonts w:hint="cs"/>
          <w:rtl/>
        </w:rPr>
        <w:t xml:space="preserve"> </w:t>
      </w:r>
      <w:r w:rsidR="004C2D0E" w:rsidRPr="00B007F2">
        <w:rPr>
          <w:rFonts w:hint="cs"/>
          <w:rtl/>
        </w:rPr>
        <w:t xml:space="preserve">در ادامه ادعای </w:t>
      </w:r>
      <w:r w:rsidR="004C2D0E" w:rsidRPr="00B007F2">
        <w:rPr>
          <w:rtl/>
        </w:rPr>
        <w:t>عدم شمول دل</w:t>
      </w:r>
      <w:r w:rsidR="004C2D0E" w:rsidRPr="00B007F2">
        <w:rPr>
          <w:rFonts w:hint="cs"/>
          <w:rtl/>
        </w:rPr>
        <w:t>ی</w:t>
      </w:r>
      <w:r w:rsidR="004C2D0E" w:rsidRPr="00B007F2">
        <w:rPr>
          <w:rFonts w:hint="eastAsia"/>
          <w:rtl/>
        </w:rPr>
        <w:t>ل</w:t>
      </w:r>
      <w:r w:rsidR="004C2D0E" w:rsidRPr="00B007F2">
        <w:rPr>
          <w:rtl/>
        </w:rPr>
        <w:t xml:space="preserve"> حج</w:t>
      </w:r>
      <w:r w:rsidR="004C2D0E" w:rsidRPr="00B007F2">
        <w:rPr>
          <w:rFonts w:hint="cs"/>
          <w:rtl/>
        </w:rPr>
        <w:t>ی</w:t>
      </w:r>
      <w:r w:rsidR="004C2D0E" w:rsidRPr="00B007F2">
        <w:rPr>
          <w:rFonts w:hint="eastAsia"/>
          <w:rtl/>
        </w:rPr>
        <w:t>ت</w:t>
      </w:r>
      <w:r w:rsidR="004C2D0E" w:rsidRPr="00B007F2">
        <w:rPr>
          <w:rtl/>
        </w:rPr>
        <w:t xml:space="preserve"> نسبت به فتوا</w:t>
      </w:r>
      <w:r w:rsidR="004C2D0E" w:rsidRPr="00B007F2">
        <w:rPr>
          <w:rFonts w:hint="cs"/>
          <w:rtl/>
        </w:rPr>
        <w:t>ی</w:t>
      </w:r>
      <w:r w:rsidR="004C2D0E" w:rsidRPr="00B007F2">
        <w:rPr>
          <w:rtl/>
        </w:rPr>
        <w:t xml:space="preserve"> م</w:t>
      </w:r>
      <w:r w:rsidR="004C2D0E" w:rsidRPr="00B007F2">
        <w:rPr>
          <w:rFonts w:hint="cs"/>
          <w:rtl/>
        </w:rPr>
        <w:t>ی</w:t>
      </w:r>
      <w:r w:rsidR="004C2D0E" w:rsidRPr="00B007F2">
        <w:rPr>
          <w:rFonts w:hint="eastAsia"/>
          <w:rtl/>
        </w:rPr>
        <w:t>ت</w:t>
      </w:r>
      <w:r w:rsidR="004C2D0E" w:rsidRPr="00B007F2">
        <w:rPr>
          <w:rFonts w:hint="cs"/>
          <w:rtl/>
        </w:rPr>
        <w:t xml:space="preserve"> مورد بررسی قرار می گیرد.</w:t>
      </w:r>
    </w:p>
    <w:p w:rsidR="001A1EA5" w:rsidRPr="00FD169A" w:rsidRDefault="004C2D0E" w:rsidP="00E827AA">
      <w:pPr>
        <w:pStyle w:val="Heading1"/>
        <w:jc w:val="lowKashida"/>
        <w:rPr>
          <w:rFonts w:cs="B Lotus"/>
          <w:rtl/>
        </w:rPr>
      </w:pPr>
      <w:bookmarkStart w:id="3" w:name="_Toc20058750"/>
      <w:r>
        <w:rPr>
          <w:rFonts w:hint="cs"/>
          <w:rtl/>
        </w:rPr>
        <w:t>أدله عدم جواز تقلید</w:t>
      </w:r>
      <w:bookmarkEnd w:id="3"/>
      <w:r>
        <w:rPr>
          <w:rFonts w:hint="cs"/>
          <w:rtl/>
        </w:rPr>
        <w:t xml:space="preserve"> </w:t>
      </w:r>
      <w:r w:rsidR="008C075B">
        <w:rPr>
          <w:rFonts w:hint="cs"/>
          <w:rtl/>
        </w:rPr>
        <w:t>ابتدائی از میت</w:t>
      </w:r>
    </w:p>
    <w:p w:rsidR="0015705D" w:rsidRPr="00FD169A" w:rsidRDefault="0015705D" w:rsidP="00E827AA">
      <w:pPr>
        <w:jc w:val="lowKashida"/>
        <w:rPr>
          <w:rtl/>
        </w:rPr>
      </w:pPr>
      <w:r w:rsidRPr="00FD169A">
        <w:rPr>
          <w:rFonts w:hint="cs"/>
          <w:rtl/>
        </w:rPr>
        <w:t>قائلین به عدم جواز تقلید ابتدائی میت، وجوهی ذ</w:t>
      </w:r>
      <w:r w:rsidR="00097ACB" w:rsidRPr="00FD169A">
        <w:rPr>
          <w:rFonts w:hint="cs"/>
          <w:rtl/>
        </w:rPr>
        <w:t xml:space="preserve">کر کرده اند که سه وجه </w:t>
      </w:r>
      <w:r w:rsidR="009147C2">
        <w:rPr>
          <w:rFonts w:hint="cs"/>
          <w:rtl/>
        </w:rPr>
        <w:t>در جلسه پیشین</w:t>
      </w:r>
      <w:r w:rsidRPr="00FD169A">
        <w:rPr>
          <w:rFonts w:hint="cs"/>
          <w:rtl/>
        </w:rPr>
        <w:t xml:space="preserve"> اشاره</w:t>
      </w:r>
      <w:r w:rsidR="009147C2">
        <w:rPr>
          <w:rFonts w:hint="cs"/>
          <w:rtl/>
        </w:rPr>
        <w:t xml:space="preserve"> شده</w:t>
      </w:r>
      <w:r w:rsidRPr="00FD169A">
        <w:rPr>
          <w:rFonts w:hint="cs"/>
          <w:rtl/>
        </w:rPr>
        <w:t xml:space="preserve"> و </w:t>
      </w:r>
      <w:r w:rsidR="009147C2">
        <w:rPr>
          <w:rFonts w:hint="cs"/>
          <w:rtl/>
        </w:rPr>
        <w:t xml:space="preserve">مورد </w:t>
      </w:r>
      <w:r w:rsidRPr="00FD169A">
        <w:rPr>
          <w:rFonts w:hint="cs"/>
          <w:rtl/>
        </w:rPr>
        <w:t xml:space="preserve">بررسی قرار </w:t>
      </w:r>
      <w:r w:rsidR="00097ACB" w:rsidRPr="00FD169A">
        <w:rPr>
          <w:rFonts w:hint="cs"/>
          <w:rtl/>
        </w:rPr>
        <w:t xml:space="preserve">گرفت و در ادامه ادعای </w:t>
      </w:r>
      <w:r w:rsidR="00097ACB" w:rsidRPr="00FD169A">
        <w:rPr>
          <w:rtl/>
        </w:rPr>
        <w:t>عدم شمول دل</w:t>
      </w:r>
      <w:r w:rsidR="00097ACB" w:rsidRPr="00FD169A">
        <w:rPr>
          <w:rFonts w:hint="cs"/>
          <w:rtl/>
        </w:rPr>
        <w:t>ی</w:t>
      </w:r>
      <w:r w:rsidR="00097ACB" w:rsidRPr="00FD169A">
        <w:rPr>
          <w:rFonts w:hint="eastAsia"/>
          <w:rtl/>
        </w:rPr>
        <w:t>ل</w:t>
      </w:r>
      <w:r w:rsidR="00097ACB" w:rsidRPr="00FD169A">
        <w:rPr>
          <w:rtl/>
        </w:rPr>
        <w:t xml:space="preserve"> حج</w:t>
      </w:r>
      <w:r w:rsidR="00097ACB" w:rsidRPr="00FD169A">
        <w:rPr>
          <w:rFonts w:hint="cs"/>
          <w:rtl/>
        </w:rPr>
        <w:t>ی</w:t>
      </w:r>
      <w:r w:rsidR="00097ACB" w:rsidRPr="00FD169A">
        <w:rPr>
          <w:rFonts w:hint="eastAsia"/>
          <w:rtl/>
        </w:rPr>
        <w:t>ت</w:t>
      </w:r>
      <w:r w:rsidR="00097ACB" w:rsidRPr="00FD169A">
        <w:rPr>
          <w:rtl/>
        </w:rPr>
        <w:t xml:space="preserve"> نسبت به فتوا</w:t>
      </w:r>
      <w:r w:rsidR="00097ACB" w:rsidRPr="00FD169A">
        <w:rPr>
          <w:rFonts w:hint="cs"/>
          <w:rtl/>
        </w:rPr>
        <w:t>ی</w:t>
      </w:r>
      <w:r w:rsidR="00097ACB" w:rsidRPr="00FD169A">
        <w:rPr>
          <w:rtl/>
        </w:rPr>
        <w:t xml:space="preserve"> م</w:t>
      </w:r>
      <w:r w:rsidR="00097ACB" w:rsidRPr="00FD169A">
        <w:rPr>
          <w:rFonts w:hint="cs"/>
          <w:rtl/>
        </w:rPr>
        <w:t>ی</w:t>
      </w:r>
      <w:r w:rsidR="00097ACB" w:rsidRPr="00FD169A">
        <w:rPr>
          <w:rFonts w:hint="eastAsia"/>
          <w:rtl/>
        </w:rPr>
        <w:t>ت</w:t>
      </w:r>
      <w:r w:rsidR="00097ACB" w:rsidRPr="00FD169A">
        <w:rPr>
          <w:rFonts w:hint="cs"/>
          <w:rtl/>
        </w:rPr>
        <w:t xml:space="preserve"> مورد بررسی قرار می گیرد.</w:t>
      </w:r>
    </w:p>
    <w:p w:rsidR="00097ACB" w:rsidRDefault="00097ACB" w:rsidP="00E827AA">
      <w:pPr>
        <w:pStyle w:val="Heading2"/>
        <w:jc w:val="lowKashida"/>
        <w:rPr>
          <w:rtl/>
        </w:rPr>
      </w:pPr>
      <w:bookmarkStart w:id="4" w:name="_Toc20058755"/>
      <w:r>
        <w:rPr>
          <w:rFonts w:hint="cs"/>
          <w:rtl/>
        </w:rPr>
        <w:t>د: عدم شمول دلیل حجیت نسبت به فتوای میت</w:t>
      </w:r>
      <w:bookmarkEnd w:id="4"/>
    </w:p>
    <w:p w:rsidR="007F1756" w:rsidRDefault="00FD169A" w:rsidP="00E827AA">
      <w:pPr>
        <w:jc w:val="lowKashida"/>
        <w:rPr>
          <w:rFonts w:hint="cs"/>
          <w:rtl/>
        </w:rPr>
      </w:pPr>
      <w:r>
        <w:rPr>
          <w:rFonts w:hint="cs"/>
          <w:rtl/>
        </w:rPr>
        <w:t>چهارمین دلیل برای عدم جواز تقلید ابتدائی میت این است که ادله حجیت فتوای مجتهد شامل مجتهد میت نمی شود.</w:t>
      </w:r>
    </w:p>
    <w:p w:rsidR="00FD169A" w:rsidRDefault="00FD169A" w:rsidP="00E827AA">
      <w:pPr>
        <w:jc w:val="lowKashida"/>
        <w:rPr>
          <w:rFonts w:hint="cs"/>
          <w:rtl/>
        </w:rPr>
      </w:pPr>
      <w:r>
        <w:rPr>
          <w:rFonts w:hint="cs"/>
          <w:rtl/>
        </w:rPr>
        <w:t xml:space="preserve">توضیح </w:t>
      </w:r>
      <w:r w:rsidR="009147C2">
        <w:rPr>
          <w:rFonts w:hint="cs"/>
          <w:rtl/>
        </w:rPr>
        <w:t>اشکال اینکه</w:t>
      </w:r>
      <w:r>
        <w:rPr>
          <w:rFonts w:hint="cs"/>
          <w:rtl/>
        </w:rPr>
        <w:t xml:space="preserve"> دلیل حجیت فتوای مجتهد، سیره عقلائیه، سیره متشرعیه، </w:t>
      </w:r>
      <w:r w:rsidR="00834328">
        <w:rPr>
          <w:rFonts w:hint="cs"/>
          <w:rtl/>
        </w:rPr>
        <w:t>خطابات لفظیه از آیات و روایات و یا استصحاب حجیت است که هیچ یک شامل تقلید ابتدائی از میت نمی شود.</w:t>
      </w:r>
    </w:p>
    <w:p w:rsidR="00834328" w:rsidRPr="007F1756" w:rsidRDefault="00D25014" w:rsidP="00E827AA">
      <w:pPr>
        <w:pStyle w:val="Heading3"/>
        <w:jc w:val="lowKashida"/>
        <w:rPr>
          <w:rtl/>
        </w:rPr>
      </w:pPr>
      <w:r>
        <w:rPr>
          <w:rFonts w:hint="cs"/>
          <w:rtl/>
        </w:rPr>
        <w:t>تبیین عدم شمول سیره عقلائیه</w:t>
      </w:r>
    </w:p>
    <w:p w:rsidR="0082102E" w:rsidRDefault="00D25014" w:rsidP="00E827AA">
      <w:pPr>
        <w:jc w:val="lowKashida"/>
        <w:rPr>
          <w:rFonts w:hint="cs"/>
          <w:rtl/>
        </w:rPr>
      </w:pPr>
      <w:r>
        <w:rPr>
          <w:rFonts w:hint="cs"/>
          <w:rtl/>
        </w:rPr>
        <w:t>در مورد عدم شمول سیره عقلائیه نسبت به تقلید ابتدائی از میت بیان شد که اگرچه ارتکاز عقلاء بر عدم تفاوت بین فتوای مجتهد زنده و میت است و در هر دو صورت ک</w:t>
      </w:r>
      <w:r w:rsidR="003248FB">
        <w:rPr>
          <w:rFonts w:hint="cs"/>
          <w:rtl/>
        </w:rPr>
        <w:t xml:space="preserve">اشفیت برای فتوای مجتهد وجود داشته و فتوای مجتهد، حتی بعد از موت هم حجت خواهد بود، اما امضای این </w:t>
      </w:r>
      <w:r w:rsidR="0082102E">
        <w:rPr>
          <w:rFonts w:hint="cs"/>
          <w:rtl/>
        </w:rPr>
        <w:t>ارتکاز توسط شارع احراز نشده است</w:t>
      </w:r>
      <w:r w:rsidR="001D01B4">
        <w:rPr>
          <w:rFonts w:hint="cs"/>
          <w:rtl/>
        </w:rPr>
        <w:t xml:space="preserve">. </w:t>
      </w:r>
      <w:r w:rsidR="0082102E">
        <w:rPr>
          <w:rFonts w:hint="cs"/>
          <w:rtl/>
        </w:rPr>
        <w:t>در این زمینه بیاناتی وجود دارد که در ادامه طرح و مورد بررسی قرار می گیرد:</w:t>
      </w:r>
    </w:p>
    <w:p w:rsidR="0082102E" w:rsidRDefault="0082102E" w:rsidP="00E827AA">
      <w:pPr>
        <w:pStyle w:val="Heading4"/>
        <w:jc w:val="lowKashida"/>
        <w:rPr>
          <w:rFonts w:hint="cs"/>
          <w:rtl/>
        </w:rPr>
      </w:pPr>
      <w:r>
        <w:rPr>
          <w:rFonts w:hint="cs"/>
          <w:rtl/>
        </w:rPr>
        <w:t>الف:</w:t>
      </w:r>
      <w:r w:rsidRPr="0082102E">
        <w:rPr>
          <w:rtl/>
        </w:rPr>
        <w:t xml:space="preserve"> عدم احراز امضا</w:t>
      </w:r>
      <w:r w:rsidRPr="0082102E">
        <w:rPr>
          <w:rFonts w:hint="cs"/>
          <w:rtl/>
        </w:rPr>
        <w:t>ی</w:t>
      </w:r>
      <w:r w:rsidRPr="0082102E">
        <w:rPr>
          <w:rtl/>
        </w:rPr>
        <w:t xml:space="preserve"> شارع در صورت امضاء شدن بعض س</w:t>
      </w:r>
      <w:r w:rsidRPr="0082102E">
        <w:rPr>
          <w:rFonts w:hint="cs"/>
          <w:rtl/>
        </w:rPr>
        <w:t>ی</w:t>
      </w:r>
      <w:r w:rsidRPr="0082102E">
        <w:rPr>
          <w:rFonts w:hint="eastAsia"/>
          <w:rtl/>
        </w:rPr>
        <w:t>ره</w:t>
      </w:r>
    </w:p>
    <w:p w:rsidR="0016334D" w:rsidRDefault="003248FB" w:rsidP="00E827AA">
      <w:pPr>
        <w:jc w:val="lowKashida"/>
        <w:rPr>
          <w:rtl/>
        </w:rPr>
      </w:pPr>
      <w:r>
        <w:rPr>
          <w:rFonts w:hint="cs"/>
          <w:rtl/>
        </w:rPr>
        <w:t xml:space="preserve">مرحوم استاد فرموده اند: </w:t>
      </w:r>
      <w:r w:rsidR="004F2079">
        <w:rPr>
          <w:rFonts w:hint="cs"/>
          <w:rtl/>
        </w:rPr>
        <w:t xml:space="preserve">در صورتی که سیره عقلائیه وجود داشته باشد که </w:t>
      </w:r>
      <w:r w:rsidR="001D01B4">
        <w:rPr>
          <w:rFonts w:hint="cs"/>
          <w:rtl/>
        </w:rPr>
        <w:t xml:space="preserve">شارع </w:t>
      </w:r>
      <w:r w:rsidR="004F2079">
        <w:rPr>
          <w:rFonts w:hint="cs"/>
          <w:rtl/>
        </w:rPr>
        <w:t xml:space="preserve">به </w:t>
      </w:r>
      <w:r w:rsidR="001D01B4">
        <w:rPr>
          <w:rFonts w:hint="cs"/>
          <w:rtl/>
        </w:rPr>
        <w:t>صورت کلی نسبت به آن سکوت کرده</w:t>
      </w:r>
      <w:r w:rsidR="004F2079">
        <w:rPr>
          <w:rFonts w:hint="cs"/>
          <w:rtl/>
        </w:rPr>
        <w:t xml:space="preserve"> باشد، دلیل بر امضای کلی آن سیره خواهد بود، اما </w:t>
      </w:r>
      <w:r>
        <w:rPr>
          <w:rFonts w:hint="cs"/>
          <w:rtl/>
        </w:rPr>
        <w:t xml:space="preserve">اگر سیره عقلائیه وجود داشته باشد که در نصوص شرعیه بخشی </w:t>
      </w:r>
      <w:r>
        <w:rPr>
          <w:rFonts w:hint="cs"/>
          <w:rtl/>
        </w:rPr>
        <w:lastRenderedPageBreak/>
        <w:t>از این سیره امضاء شده و نسبت به بخش دیگر سکوت شده باشد، کاشفی از امضای ب</w:t>
      </w:r>
      <w:r w:rsidR="0020193E">
        <w:rPr>
          <w:rFonts w:hint="cs"/>
          <w:rtl/>
        </w:rPr>
        <w:t>خش مورد سکوت واقع شده وجود نخواهد داشت</w:t>
      </w:r>
      <w:r>
        <w:rPr>
          <w:rFonts w:hint="cs"/>
          <w:rtl/>
        </w:rPr>
        <w:t>.</w:t>
      </w:r>
      <w:r w:rsidR="0016334D">
        <w:rPr>
          <w:rFonts w:hint="cs"/>
          <w:rtl/>
        </w:rPr>
        <w:t xml:space="preserve"> در محل بحث هم آیات و روایاتی مثل </w:t>
      </w:r>
      <w:r w:rsidR="0016334D" w:rsidRPr="00563FF9">
        <w:rPr>
          <w:rFonts w:hint="cs"/>
          <w:color w:val="008000"/>
          <w:rtl/>
        </w:rPr>
        <w:t>«</w:t>
      </w:r>
      <w:r w:rsidR="0016334D" w:rsidRPr="00563FF9">
        <w:rPr>
          <w:color w:val="008000"/>
          <w:rtl/>
        </w:rPr>
        <w:t>كُنَّا عِنْدَ أَبِي عَبْدِ اللَّهِ ع فَقَالَ أَ مَا لَكُمْ مِنْ مَفْزَعٍ أَ مَا لَكُمْ مِنْ مُسْتَرَاحٍ تَسْتَرِيحُونَ إِلَيْهِ مَا يَمْنَعُكُمْ مِنَ الْحَارِثِ بْنِ الْمُغِيرَةِ النَّصْرِيِّ.</w:t>
      </w:r>
      <w:r w:rsidR="0016334D" w:rsidRPr="00563FF9">
        <w:rPr>
          <w:rFonts w:hint="cs"/>
          <w:color w:val="008000"/>
          <w:rtl/>
        </w:rPr>
        <w:t>»</w:t>
      </w:r>
      <w:r w:rsidR="0016334D" w:rsidRPr="00563FF9">
        <w:rPr>
          <w:rStyle w:val="FootnoteReference"/>
          <w:color w:val="008000"/>
          <w:rtl/>
        </w:rPr>
        <w:footnoteReference w:id="1"/>
      </w:r>
      <w:r w:rsidR="0016334D">
        <w:rPr>
          <w:rFonts w:hint="cs"/>
          <w:rtl/>
        </w:rPr>
        <w:t xml:space="preserve">وجود دارد که در آنها ارجاع به حیّ شده است. بنابراین با این ادله بخشی از سیره عقلاء در مورد تقلید از مجتهد </w:t>
      </w:r>
      <w:r w:rsidR="00FB4F22">
        <w:rPr>
          <w:rFonts w:hint="cs"/>
          <w:rtl/>
        </w:rPr>
        <w:t>که تقلید از مجتهد حیّ است، مورد امضاء واقع شده است، اما بخش دیگر که تقلید از مجتهد میت باشد، مسکوت باقی مانده است و دیگر کاشف از امضای آن وجود ندارد.</w:t>
      </w:r>
    </w:p>
    <w:p w:rsidR="00E94C06" w:rsidRDefault="00E94C06" w:rsidP="00E827AA">
      <w:pPr>
        <w:pStyle w:val="Heading5"/>
        <w:jc w:val="lowKashida"/>
        <w:rPr>
          <w:rFonts w:hint="cs"/>
          <w:rtl/>
        </w:rPr>
      </w:pPr>
      <w:r>
        <w:rPr>
          <w:rFonts w:hint="cs"/>
          <w:rtl/>
        </w:rPr>
        <w:t>مناقشه</w:t>
      </w:r>
    </w:p>
    <w:p w:rsidR="00B811DF" w:rsidRDefault="00FB4F22" w:rsidP="00E827AA">
      <w:pPr>
        <w:jc w:val="lowKashida"/>
        <w:rPr>
          <w:rFonts w:hint="cs"/>
          <w:rtl/>
        </w:rPr>
      </w:pPr>
      <w:r>
        <w:rPr>
          <w:rFonts w:hint="cs"/>
          <w:rtl/>
        </w:rPr>
        <w:t>به نظر ما کلام مرحوم استاد صحیح نیست؛ چون اگر در بین عقلاء سیره</w:t>
      </w:r>
      <w:r w:rsidR="00514FB9">
        <w:rPr>
          <w:rFonts w:hint="cs"/>
          <w:rtl/>
        </w:rPr>
        <w:t xml:space="preserve"> خارجیه بر مطلبی وجود داشته و یک روایت </w:t>
      </w:r>
      <w:r w:rsidR="00B811DF">
        <w:rPr>
          <w:rFonts w:hint="cs"/>
          <w:rtl/>
        </w:rPr>
        <w:t>به مناسبت مورد</w:t>
      </w:r>
      <w:r w:rsidR="0020193E">
        <w:rPr>
          <w:rFonts w:hint="cs"/>
          <w:rtl/>
        </w:rPr>
        <w:t>،</w:t>
      </w:r>
      <w:r w:rsidR="00B811DF">
        <w:rPr>
          <w:rFonts w:hint="cs"/>
          <w:rtl/>
        </w:rPr>
        <w:t xml:space="preserve"> </w:t>
      </w:r>
      <w:r w:rsidR="00514FB9">
        <w:rPr>
          <w:rFonts w:hint="cs"/>
          <w:rtl/>
        </w:rPr>
        <w:t>بخش</w:t>
      </w:r>
      <w:r w:rsidR="00B811DF">
        <w:rPr>
          <w:rFonts w:hint="cs"/>
          <w:rtl/>
        </w:rPr>
        <w:t xml:space="preserve">ی از </w:t>
      </w:r>
      <w:r w:rsidR="00514FB9">
        <w:rPr>
          <w:rFonts w:hint="cs"/>
          <w:rtl/>
        </w:rPr>
        <w:t xml:space="preserve">آن را امضاء کند، </w:t>
      </w:r>
      <w:r w:rsidR="0020193E">
        <w:rPr>
          <w:rFonts w:hint="cs"/>
          <w:rtl/>
        </w:rPr>
        <w:t>روایت دارای مفهوم نیست تا</w:t>
      </w:r>
      <w:r w:rsidR="00514FB9">
        <w:rPr>
          <w:rFonts w:hint="cs"/>
          <w:rtl/>
        </w:rPr>
        <w:t xml:space="preserve"> به </w:t>
      </w:r>
      <w:r w:rsidR="003310D9">
        <w:rPr>
          <w:rFonts w:hint="cs"/>
          <w:rtl/>
        </w:rPr>
        <w:t>این معنا</w:t>
      </w:r>
      <w:r w:rsidR="00514FB9">
        <w:rPr>
          <w:rFonts w:hint="cs"/>
          <w:rtl/>
        </w:rPr>
        <w:t xml:space="preserve"> باشد که این بخش امضاء شده و سایر بخش ها امضاء نمی شود بلکه از مابقی ساکت است و در نتیجه این مقدار نمی تواند موجب ردع سیره عقلائیه باشد.</w:t>
      </w:r>
      <w:r w:rsidR="00F21075">
        <w:rPr>
          <w:rFonts w:hint="cs"/>
          <w:rtl/>
        </w:rPr>
        <w:t xml:space="preserve"> شبیه این مورد خبر ثقه است که سیره عقلائیه بر حجیت خبر ثقه وجود دارد، اما در روایات ارجاع به خبر ثقه در احکام داده شده است</w:t>
      </w:r>
      <w:r w:rsidR="002726F1">
        <w:rPr>
          <w:rFonts w:hint="cs"/>
          <w:rtl/>
        </w:rPr>
        <w:t xml:space="preserve"> و لذا این گونه نیست که در مورد خبر ثقه در موضوعات نتوان کشف امضای شارع کرد. این امری است که خود مرحوم استاد به آن ملتزم هستند و خبر ثقه در موضوعات را به جهت سیره عقلائیه حجت می دانند</w:t>
      </w:r>
      <w:r w:rsidR="00A271EF">
        <w:rPr>
          <w:rFonts w:hint="cs"/>
          <w:rtl/>
        </w:rPr>
        <w:t>. علاوه بر اینکه مرحوم استاد قائل اند که سیره با عمومات و اطلاقات ردع نمی شود؛ چون عقلاء از عمومات و اطلاقات رادعیت سیره خود را نمی فهمند</w:t>
      </w:r>
      <w:r w:rsidR="00E56431">
        <w:rPr>
          <w:rFonts w:hint="cs"/>
          <w:rtl/>
        </w:rPr>
        <w:t>، در حالی که مرحوم استاد در محل بحث از یک خطاب خاص، رادعیت سیره عقلاء در غیر مورد آن روایت خاص را استفاده کرده اند</w:t>
      </w:r>
      <w:r w:rsidR="006956ED">
        <w:rPr>
          <w:rFonts w:hint="cs"/>
          <w:rtl/>
        </w:rPr>
        <w:t xml:space="preserve"> که به نظر ما صحیح نیست؛ چون رادع باید به نحوی باشد که عقلاء را متوجه خطای خود کند و صرف سکوت از بعض برای ردع از آن مقدار کافی نیست.</w:t>
      </w:r>
    </w:p>
    <w:p w:rsidR="006956ED" w:rsidRDefault="00970DC2" w:rsidP="00E827AA">
      <w:pPr>
        <w:pStyle w:val="Heading4"/>
        <w:jc w:val="lowKashida"/>
        <w:rPr>
          <w:rtl/>
        </w:rPr>
      </w:pPr>
      <w:r>
        <w:rPr>
          <w:rFonts w:hint="cs"/>
          <w:rtl/>
        </w:rPr>
        <w:t>ب:</w:t>
      </w:r>
      <w:r w:rsidR="00716B2D">
        <w:rPr>
          <w:rFonts w:hint="cs"/>
          <w:rtl/>
        </w:rPr>
        <w:t xml:space="preserve"> قابل التزام نبودن جواز تقلید از</w:t>
      </w:r>
      <w:r w:rsidR="00E94C06">
        <w:rPr>
          <w:rFonts w:hint="cs"/>
          <w:rtl/>
        </w:rPr>
        <w:t xml:space="preserve"> میت به جهت ایجاد امام سیزدهم</w:t>
      </w:r>
    </w:p>
    <w:p w:rsidR="00970DC2" w:rsidRDefault="00970DC2" w:rsidP="00E827AA">
      <w:pPr>
        <w:jc w:val="lowKashida"/>
        <w:rPr>
          <w:rFonts w:hint="cs"/>
          <w:rtl/>
        </w:rPr>
      </w:pPr>
      <w:r>
        <w:rPr>
          <w:rFonts w:hint="cs"/>
          <w:rtl/>
        </w:rPr>
        <w:t xml:space="preserve">دومین وجه برای عدم احراز امضای سیره عقلائیه در کلام مرحوم خویی مطرح شده است. </w:t>
      </w:r>
    </w:p>
    <w:p w:rsidR="00B007F2" w:rsidRDefault="00970DC2" w:rsidP="00E827AA">
      <w:pPr>
        <w:jc w:val="lowKashida"/>
        <w:rPr>
          <w:rtl/>
        </w:rPr>
      </w:pPr>
      <w:r>
        <w:rPr>
          <w:rFonts w:hint="cs"/>
          <w:rtl/>
        </w:rPr>
        <w:t>ایشان فرموده اند: در موارد اختلاف فتوا</w:t>
      </w:r>
      <w:r w:rsidR="003310D9">
        <w:rPr>
          <w:rFonts w:hint="cs"/>
          <w:rtl/>
        </w:rPr>
        <w:t>،</w:t>
      </w:r>
      <w:r>
        <w:rPr>
          <w:rFonts w:hint="cs"/>
          <w:rtl/>
        </w:rPr>
        <w:t xml:space="preserve"> </w:t>
      </w:r>
      <w:r w:rsidR="005D75EC">
        <w:rPr>
          <w:rFonts w:hint="cs"/>
          <w:rtl/>
        </w:rPr>
        <w:t xml:space="preserve">بنای عقلاء بر تقلید از اعلم است و مکلفین عادتا علم به اختلاف مراجع در مسائل محل ابتلاء دارند و لذا باید مکلفین تقلید از اعلم داشته باشند که در بحث جواز تقلید، اگر اموات همانند احیاء حکم جواز تقلید داشته باشند، </w:t>
      </w:r>
      <w:r w:rsidR="00E827AA">
        <w:rPr>
          <w:rFonts w:hint="cs"/>
          <w:rtl/>
        </w:rPr>
        <w:t>لازم خواهد بود</w:t>
      </w:r>
      <w:r w:rsidR="005D75EC">
        <w:rPr>
          <w:rFonts w:hint="cs"/>
          <w:rtl/>
        </w:rPr>
        <w:t xml:space="preserve"> که همه مکلفین سراغ مجتهدی بروند که اعلم الاموات و الاحیا</w:t>
      </w:r>
      <w:r w:rsidR="00E827AA">
        <w:rPr>
          <w:rFonts w:hint="cs"/>
          <w:rtl/>
        </w:rPr>
        <w:t>ء باشد، یعنی</w:t>
      </w:r>
      <w:r w:rsidR="005D75EC">
        <w:rPr>
          <w:rFonts w:hint="cs"/>
          <w:rtl/>
        </w:rPr>
        <w:t xml:space="preserve"> به عنوان مثال همگی به سراغ شیخ طوسی بروند </w:t>
      </w:r>
      <w:r w:rsidR="00E827AA">
        <w:rPr>
          <w:rFonts w:hint="cs"/>
          <w:rtl/>
        </w:rPr>
        <w:t xml:space="preserve">در حالی </w:t>
      </w:r>
      <w:r w:rsidR="005D75EC">
        <w:rPr>
          <w:rFonts w:hint="cs"/>
          <w:rtl/>
        </w:rPr>
        <w:t xml:space="preserve">که این مطلب خلاف ضرورت فقه است؛ چون لازمه آن </w:t>
      </w:r>
      <w:r w:rsidR="005D75EC">
        <w:rPr>
          <w:rFonts w:hint="cs"/>
          <w:rtl/>
        </w:rPr>
        <w:lastRenderedPageBreak/>
        <w:t xml:space="preserve">این است که امام سیزدهمی ایجاد شود که </w:t>
      </w:r>
      <w:r w:rsidR="00716B2D">
        <w:rPr>
          <w:rFonts w:hint="cs"/>
          <w:rtl/>
        </w:rPr>
        <w:t>لازم است در ع</w:t>
      </w:r>
      <w:r w:rsidR="002739FF">
        <w:rPr>
          <w:rFonts w:hint="cs"/>
          <w:rtl/>
        </w:rPr>
        <w:t>صر غیبت همگی از او تقلید کنند و این امر</w:t>
      </w:r>
      <w:r w:rsidR="00716B2D">
        <w:rPr>
          <w:rFonts w:hint="cs"/>
          <w:rtl/>
        </w:rPr>
        <w:t xml:space="preserve"> قابل التزام نیست. بنابراین کشف می شود که سیره عقلاء در تقلید از اموات توسط شارع ردع شده است.</w:t>
      </w:r>
    </w:p>
    <w:p w:rsidR="008D36A4" w:rsidRDefault="00E94C06" w:rsidP="00E827AA">
      <w:pPr>
        <w:pStyle w:val="Heading5"/>
        <w:jc w:val="lowKashida"/>
        <w:rPr>
          <w:rtl/>
        </w:rPr>
      </w:pPr>
      <w:r>
        <w:rPr>
          <w:rFonts w:hint="cs"/>
          <w:rtl/>
        </w:rPr>
        <w:t>مناقشه</w:t>
      </w:r>
    </w:p>
    <w:p w:rsidR="00E94C06" w:rsidRDefault="00E94C06" w:rsidP="00E827AA">
      <w:pPr>
        <w:jc w:val="lowKashida"/>
        <w:rPr>
          <w:rFonts w:hint="cs"/>
          <w:rtl/>
        </w:rPr>
      </w:pPr>
      <w:r>
        <w:rPr>
          <w:rFonts w:hint="cs"/>
          <w:rtl/>
        </w:rPr>
        <w:t xml:space="preserve">به نظر ما این کلام مرحوم آقای خویی صحیح نیست و </w:t>
      </w:r>
      <w:r w:rsidR="002739FF">
        <w:rPr>
          <w:rFonts w:hint="cs"/>
          <w:rtl/>
        </w:rPr>
        <w:t xml:space="preserve">دو </w:t>
      </w:r>
      <w:r>
        <w:rPr>
          <w:rFonts w:hint="cs"/>
          <w:rtl/>
        </w:rPr>
        <w:t>اشکال به آن وارد است:</w:t>
      </w:r>
    </w:p>
    <w:p w:rsidR="00E94C06" w:rsidRDefault="00E94C06" w:rsidP="00E827AA">
      <w:pPr>
        <w:pStyle w:val="ListParagraph"/>
        <w:numPr>
          <w:ilvl w:val="0"/>
          <w:numId w:val="16"/>
        </w:numPr>
        <w:jc w:val="lowKashida"/>
        <w:rPr>
          <w:rFonts w:hint="cs"/>
          <w:rtl/>
        </w:rPr>
      </w:pPr>
      <w:r>
        <w:rPr>
          <w:rFonts w:hint="cs"/>
          <w:rtl/>
        </w:rPr>
        <w:t xml:space="preserve"> قدر متیقن </w:t>
      </w:r>
      <w:r w:rsidR="00AB1CAC">
        <w:rPr>
          <w:rFonts w:hint="cs"/>
          <w:rtl/>
        </w:rPr>
        <w:t xml:space="preserve">بیان ایشان این است که تقلید </w:t>
      </w:r>
      <w:r w:rsidR="00CC4415">
        <w:rPr>
          <w:rFonts w:hint="cs"/>
          <w:rtl/>
        </w:rPr>
        <w:t xml:space="preserve">از میت اعلم واجب نباشد؛ چون محذور مطرح شده در کلام ایشان از وجوب تقلید از اعلم رخ می </w:t>
      </w:r>
      <w:r w:rsidR="002739FF">
        <w:rPr>
          <w:rFonts w:hint="cs"/>
          <w:rtl/>
        </w:rPr>
        <w:t>دهد که کشف از عدم وجوب خواهد شد، اما ع</w:t>
      </w:r>
      <w:r w:rsidR="00CC4415">
        <w:rPr>
          <w:rFonts w:hint="cs"/>
          <w:rtl/>
        </w:rPr>
        <w:t>دم جواز وجهی ندارد.</w:t>
      </w:r>
    </w:p>
    <w:p w:rsidR="00CC4415" w:rsidRDefault="00CC4415" w:rsidP="00E827AA">
      <w:pPr>
        <w:pStyle w:val="ListParagraph"/>
        <w:numPr>
          <w:ilvl w:val="0"/>
          <w:numId w:val="16"/>
        </w:numPr>
        <w:jc w:val="lowKashida"/>
        <w:rPr>
          <w:rFonts w:hint="cs"/>
        </w:rPr>
      </w:pPr>
      <w:r>
        <w:rPr>
          <w:rFonts w:hint="cs"/>
          <w:rtl/>
        </w:rPr>
        <w:t xml:space="preserve">اعلم الاموات و الاحیاء شخص معینی نیست؛ چون تطور و تکامل </w:t>
      </w:r>
      <w:r w:rsidR="00CA5355">
        <w:rPr>
          <w:rFonts w:hint="cs"/>
          <w:rtl/>
        </w:rPr>
        <w:t>علم فقه موجب می شود که علمای متأخر</w:t>
      </w:r>
      <w:r w:rsidR="002739FF">
        <w:rPr>
          <w:rFonts w:hint="cs"/>
          <w:rtl/>
        </w:rPr>
        <w:t>،</w:t>
      </w:r>
      <w:r w:rsidR="003858E9">
        <w:rPr>
          <w:rFonts w:hint="cs"/>
          <w:rtl/>
        </w:rPr>
        <w:t xml:space="preserve"> اعلم از علمای گذشته باشند؛ چون</w:t>
      </w:r>
      <w:r w:rsidR="00CA5355">
        <w:rPr>
          <w:rFonts w:hint="cs"/>
          <w:rtl/>
        </w:rPr>
        <w:t xml:space="preserve"> تلاش علمی فقهاء سبب پیشرفت فقه شده و در نتیجه فقهای متأخر مطالبی را می دان</w:t>
      </w:r>
      <w:r w:rsidR="003858E9">
        <w:rPr>
          <w:rFonts w:hint="cs"/>
          <w:rtl/>
        </w:rPr>
        <w:t>ند که علمای متقدم نمی دانسته اند. البته</w:t>
      </w:r>
      <w:r w:rsidR="00CA5355">
        <w:rPr>
          <w:rFonts w:hint="cs"/>
          <w:rtl/>
        </w:rPr>
        <w:t xml:space="preserve"> این مطلب منافات با خدمات علمای گذشته ندارد. به عنوان مثال </w:t>
      </w:r>
      <w:r w:rsidR="003858E9">
        <w:rPr>
          <w:rFonts w:hint="cs"/>
          <w:rtl/>
        </w:rPr>
        <w:t>جناب بوعلی سرآ</w:t>
      </w:r>
      <w:r w:rsidR="00CA5355">
        <w:rPr>
          <w:rFonts w:hint="cs"/>
          <w:rtl/>
        </w:rPr>
        <w:t>مد علم طب است، اما او در زمان خود اعلم بوده است و در حال حاضر علم طلب پیشرفت داشته و چه بسا یک پزشک عمومی از بوعلی سینا اطلاعات بیشتری داشته باشد.</w:t>
      </w:r>
      <w:r w:rsidR="00593ECB">
        <w:rPr>
          <w:rFonts w:hint="cs"/>
          <w:rtl/>
        </w:rPr>
        <w:t xml:space="preserve"> </w:t>
      </w:r>
    </w:p>
    <w:p w:rsidR="00593ECB" w:rsidRDefault="00593ECB" w:rsidP="00E827AA">
      <w:pPr>
        <w:pStyle w:val="ListParagraph"/>
        <w:jc w:val="lowKashida"/>
        <w:rPr>
          <w:rtl/>
        </w:rPr>
      </w:pPr>
      <w:r>
        <w:rPr>
          <w:rFonts w:hint="cs"/>
          <w:rtl/>
        </w:rPr>
        <w:t>بنابراین اعلم الاحیاء و الاموات منحصر در یک فرد نمی شود. علاوه بر اینکه ثبوتا</w:t>
      </w:r>
      <w:r w:rsidR="003858E9">
        <w:rPr>
          <w:rFonts w:hint="cs"/>
          <w:rtl/>
        </w:rPr>
        <w:t>ً</w:t>
      </w:r>
      <w:r>
        <w:rPr>
          <w:rFonts w:hint="cs"/>
          <w:rtl/>
        </w:rPr>
        <w:t xml:space="preserve"> هم منحصر در یک فرد بشود، اثباتا</w:t>
      </w:r>
      <w:r w:rsidR="003858E9">
        <w:rPr>
          <w:rFonts w:hint="cs"/>
          <w:rtl/>
        </w:rPr>
        <w:t>ً</w:t>
      </w:r>
      <w:r>
        <w:rPr>
          <w:rFonts w:hint="cs"/>
          <w:rtl/>
        </w:rPr>
        <w:t xml:space="preserve"> مورد اختلاف واقع می شود؛ چون فردی شیخ مفید را اعلم دانسته و دیگری </w:t>
      </w:r>
      <w:r w:rsidR="000C1FCD">
        <w:rPr>
          <w:rFonts w:hint="cs"/>
          <w:rtl/>
        </w:rPr>
        <w:t>شیخ طوسی را اعلم دانسته و شخص ثالث شیخ انصاری را اعلم می داند. مرحوم میلانی نیز محقق اصفهانی را اعلم می دانند که نقل شده است حتی از شیخ انصاری هم اعلم می دانند. بنابراین هر فردی کسی را اعلم می داند</w:t>
      </w:r>
      <w:r w:rsidR="00A52CD0">
        <w:rPr>
          <w:rFonts w:hint="cs"/>
          <w:rtl/>
        </w:rPr>
        <w:t xml:space="preserve"> و در نتیجه اتفاق نظر ایجاد نمی</w:t>
      </w:r>
      <w:r w:rsidR="00A52CD0">
        <w:rPr>
          <w:rFonts w:hint="eastAsia"/>
          <w:rtl/>
        </w:rPr>
        <w:t>‌</w:t>
      </w:r>
      <w:r w:rsidR="000C1FCD">
        <w:rPr>
          <w:rFonts w:hint="cs"/>
          <w:rtl/>
        </w:rPr>
        <w:t>شود تا محذور امام سیزدهم رخ بدهد.</w:t>
      </w:r>
    </w:p>
    <w:p w:rsidR="00B377B9" w:rsidRPr="00E94C06" w:rsidRDefault="00B377B9" w:rsidP="00E827AA">
      <w:pPr>
        <w:jc w:val="lowKashida"/>
        <w:rPr>
          <w:rtl/>
        </w:rPr>
      </w:pPr>
      <w:r>
        <w:rPr>
          <w:rFonts w:hint="cs"/>
          <w:rtl/>
        </w:rPr>
        <w:t xml:space="preserve">البته مقصود مرحوم آقای خویی در مورد امام سیزدهم روشن است و ایشان امام معصوم را قصد نکرده اند بلکه ایشان بیان کرده اند که باید فرد معینی امام الشیعه در عصر غیبت از </w:t>
      </w:r>
      <w:r w:rsidR="00DC7B44">
        <w:rPr>
          <w:rFonts w:hint="cs"/>
          <w:rtl/>
        </w:rPr>
        <w:t>غیبت صغری تا روز قیامت باشد که خلاف ضرورت فقه است.</w:t>
      </w:r>
    </w:p>
    <w:p w:rsidR="008D36A4" w:rsidRDefault="00DC7B44" w:rsidP="00E827AA">
      <w:pPr>
        <w:jc w:val="lowKashida"/>
        <w:rPr>
          <w:rtl/>
        </w:rPr>
      </w:pPr>
      <w:r>
        <w:rPr>
          <w:rFonts w:hint="cs"/>
          <w:rtl/>
        </w:rPr>
        <w:t xml:space="preserve">خلاصه </w:t>
      </w:r>
      <w:r w:rsidR="004F5E59">
        <w:rPr>
          <w:rFonts w:hint="cs"/>
          <w:rtl/>
        </w:rPr>
        <w:t xml:space="preserve">کلام ما </w:t>
      </w:r>
      <w:r>
        <w:rPr>
          <w:rFonts w:hint="cs"/>
          <w:rtl/>
        </w:rPr>
        <w:t xml:space="preserve">در مورد سیره عقلائیه این است که </w:t>
      </w:r>
      <w:r w:rsidR="004F5E59">
        <w:rPr>
          <w:rFonts w:hint="cs"/>
          <w:rtl/>
        </w:rPr>
        <w:t xml:space="preserve">آقای سیستانی در مورد سیره، تحقق سیره عملیه خارجیه را لازم می دانند و در مورد سیره بر تقلید بیان می کنند که سیره عملیه خارجیه بر تقلید از میت در زمان ائمه علیهم السلام ثابت نیست، اما به نظر ما معاصرت ارتکاز عقلائی با </w:t>
      </w:r>
      <w:r w:rsidR="009658C2">
        <w:rPr>
          <w:rFonts w:hint="cs"/>
          <w:rtl/>
        </w:rPr>
        <w:t>زمان ائمه علیهم السلام کافی است و این ارتکاز در زمان ائمه علیهم السلام وجود داشته است. البته برای حجیت این ارتکاز، نیاز به احراز امضاء وجود دارد و با توجه با اجماعات منقول و شهرت قطعیه بر عدم جواز تقلید ابتدائی میت دیگر کشف امضاء نمی کنیم.</w:t>
      </w:r>
    </w:p>
    <w:p w:rsidR="00855CE7" w:rsidRDefault="00855CE7" w:rsidP="00E827AA">
      <w:pPr>
        <w:pStyle w:val="Heading3"/>
        <w:jc w:val="lowKashida"/>
        <w:rPr>
          <w:rtl/>
        </w:rPr>
      </w:pPr>
      <w:r>
        <w:rPr>
          <w:rFonts w:hint="cs"/>
          <w:rtl/>
        </w:rPr>
        <w:lastRenderedPageBreak/>
        <w:t>تبیین عدم شمول سیره متشرعیه</w:t>
      </w:r>
    </w:p>
    <w:p w:rsidR="00855CE7" w:rsidRDefault="00855CE7" w:rsidP="00E827AA">
      <w:pPr>
        <w:jc w:val="lowKashida"/>
        <w:rPr>
          <w:rFonts w:hint="cs"/>
          <w:rtl/>
        </w:rPr>
      </w:pPr>
      <w:r>
        <w:rPr>
          <w:rFonts w:hint="cs"/>
          <w:rtl/>
        </w:rPr>
        <w:t xml:space="preserve">عدم شمول سیره متشرعیه نسبت به تقلید ابتدائی میت به این جهت است که </w:t>
      </w:r>
      <w:r w:rsidR="0000245A">
        <w:rPr>
          <w:rFonts w:hint="cs"/>
          <w:rtl/>
        </w:rPr>
        <w:t>بنای خارجی و عملی متشرعه بر تقلید ابتدائی از میت محرز نیست.</w:t>
      </w:r>
    </w:p>
    <w:p w:rsidR="0000245A" w:rsidRDefault="0000245A" w:rsidP="00E827AA">
      <w:pPr>
        <w:pStyle w:val="Heading3"/>
        <w:jc w:val="lowKashida"/>
        <w:rPr>
          <w:rtl/>
        </w:rPr>
      </w:pPr>
      <w:r>
        <w:rPr>
          <w:rFonts w:hint="cs"/>
          <w:rtl/>
        </w:rPr>
        <w:t>تبیین عدم شمول آیات و روایات</w:t>
      </w:r>
    </w:p>
    <w:p w:rsidR="0074298A" w:rsidRDefault="0000245A" w:rsidP="00E827AA">
      <w:pPr>
        <w:jc w:val="lowKashida"/>
        <w:rPr>
          <w:rFonts w:hint="cs"/>
          <w:rtl/>
        </w:rPr>
      </w:pPr>
      <w:r>
        <w:rPr>
          <w:rFonts w:hint="cs"/>
          <w:rtl/>
        </w:rPr>
        <w:t xml:space="preserve">مرحوم </w:t>
      </w:r>
      <w:r w:rsidR="0074298A">
        <w:rPr>
          <w:rFonts w:hint="cs"/>
          <w:rtl/>
        </w:rPr>
        <w:t>آقای خویی برای عدم شمول</w:t>
      </w:r>
      <w:r>
        <w:rPr>
          <w:rFonts w:hint="cs"/>
          <w:rtl/>
        </w:rPr>
        <w:t xml:space="preserve"> آیات و روایت نسبت به تقلید ابتدائی از میت </w:t>
      </w:r>
      <w:r w:rsidR="0074298A">
        <w:rPr>
          <w:rFonts w:hint="cs"/>
          <w:rtl/>
        </w:rPr>
        <w:t xml:space="preserve">دو بیان ذکر کرده اند. </w:t>
      </w:r>
    </w:p>
    <w:p w:rsidR="0074298A" w:rsidRDefault="0074298A" w:rsidP="00E827AA">
      <w:pPr>
        <w:pStyle w:val="ListParagraph"/>
        <w:numPr>
          <w:ilvl w:val="0"/>
          <w:numId w:val="17"/>
        </w:numPr>
        <w:jc w:val="lowKashida"/>
      </w:pPr>
      <w:r>
        <w:rPr>
          <w:rFonts w:hint="cs"/>
          <w:rtl/>
        </w:rPr>
        <w:t xml:space="preserve">ایشان در بیان اول خود </w:t>
      </w:r>
      <w:r w:rsidR="0000245A">
        <w:rPr>
          <w:rFonts w:hint="cs"/>
          <w:rtl/>
        </w:rPr>
        <w:t xml:space="preserve">فرموده اند: آیات و روایات امر به رجوع به احیاء کرده اند. در آیه شریفه </w:t>
      </w:r>
      <w:r w:rsidR="008D36A4" w:rsidRPr="0074298A">
        <w:rPr>
          <w:rFonts w:ascii="Sakkal Majalla" w:hAnsi="Sakkal Majalla" w:cs="Sakkal Majalla" w:hint="cs"/>
          <w:rtl/>
        </w:rPr>
        <w:t>﴿</w:t>
      </w:r>
      <w:r w:rsidR="008D36A4" w:rsidRPr="0074298A">
        <w:rPr>
          <w:color w:val="008000"/>
          <w:rtl/>
        </w:rPr>
        <w:t>فَاسْأَلُوا أَهْلَ الذِّكْرِ إِنْ كُنْتُمْ لاَ تَعْلَمُونَ</w:t>
      </w:r>
      <w:r w:rsidR="008D36A4" w:rsidRPr="0074298A">
        <w:rPr>
          <w:rFonts w:ascii="Sakkal Majalla" w:hAnsi="Sakkal Majalla" w:cs="Sakkal Majalla" w:hint="cs"/>
          <w:color w:val="008000"/>
          <w:rtl/>
        </w:rPr>
        <w:t>﴾</w:t>
      </w:r>
      <w:r w:rsidR="008D36A4">
        <w:rPr>
          <w:rStyle w:val="FootnoteReference"/>
          <w:rtl/>
        </w:rPr>
        <w:footnoteReference w:id="2"/>
      </w:r>
      <w:r w:rsidR="0000245A">
        <w:rPr>
          <w:rFonts w:hint="cs"/>
          <w:rtl/>
        </w:rPr>
        <w:t xml:space="preserve"> امر به رجوع به کتاب اهل ذکر نشده است، بلکه امر به رجوع خود اهل ذکر شده است. در آیه شریفه </w:t>
      </w:r>
      <w:r w:rsidR="008D36A4" w:rsidRPr="0074298A">
        <w:rPr>
          <w:rFonts w:ascii="Sakkal Majalla" w:hAnsi="Sakkal Majalla" w:cs="Sakkal Majalla" w:hint="cs"/>
          <w:rtl/>
        </w:rPr>
        <w:t>﴿</w:t>
      </w:r>
      <w:r w:rsidR="008D36A4" w:rsidRPr="0074298A">
        <w:rPr>
          <w:color w:val="008000"/>
          <w:rtl/>
        </w:rPr>
        <w:t>وَ مَا كَانَ الْمُؤْمِنُونَ لِيَنْفِرُوا كَافَّةً فَلَوْ لاَ نَفَرَ مِنْ كُلِّ فِرْقَةٍ مِنْهُمْ طَائِفَةٌ لِيَتَفَقَّهُوا فِي الدِّينِ وَ لِيُنْذِرُوا قَوْمَهُمْ إِذَا رَجَعُوا إِلَيْهِمْ لَعَلَّهُمْ يَحْذَرُونَ</w:t>
      </w:r>
      <w:r w:rsidR="008D36A4" w:rsidRPr="0074298A">
        <w:rPr>
          <w:rFonts w:ascii="Sakkal Majalla" w:hAnsi="Sakkal Majalla" w:cs="Sakkal Majalla" w:hint="cs"/>
          <w:color w:val="008000"/>
          <w:rtl/>
        </w:rPr>
        <w:t>﴾</w:t>
      </w:r>
      <w:r w:rsidR="008D36A4">
        <w:rPr>
          <w:rStyle w:val="FootnoteReference"/>
        </w:rPr>
        <w:footnoteReference w:id="3"/>
      </w:r>
      <w:r w:rsidR="00DC7B44">
        <w:rPr>
          <w:rFonts w:hint="cs"/>
          <w:rtl/>
        </w:rPr>
        <w:t xml:space="preserve"> </w:t>
      </w:r>
      <w:r w:rsidR="0000245A">
        <w:rPr>
          <w:rFonts w:hint="cs"/>
          <w:rtl/>
        </w:rPr>
        <w:t xml:space="preserve"> هم </w:t>
      </w:r>
      <w:r w:rsidR="00263C70">
        <w:rPr>
          <w:rFonts w:hint="cs"/>
          <w:rtl/>
        </w:rPr>
        <w:t>در مورد رجوع خود فقهاء را مطرح کرده و بحث ارسال کتب به قوم را بیان نکرده است.</w:t>
      </w:r>
    </w:p>
    <w:p w:rsidR="0074298A" w:rsidRDefault="008A5795" w:rsidP="00E827AA">
      <w:pPr>
        <w:pStyle w:val="ListParagraph"/>
        <w:jc w:val="lowKashida"/>
        <w:rPr>
          <w:rtl/>
        </w:rPr>
      </w:pPr>
      <w:r>
        <w:rPr>
          <w:rFonts w:hint="cs"/>
          <w:rtl/>
        </w:rPr>
        <w:t>البته بحث الغای خصوصیت وجود دارد که در زمان حیات مجتهد می توان در مورد اینکه از خود او شنیده شود، الغای خصوصیت کرده و شامل مشاهده در کتاب او بش</w:t>
      </w:r>
      <w:r w:rsidR="00273C0F">
        <w:rPr>
          <w:rFonts w:hint="cs"/>
          <w:rtl/>
        </w:rPr>
        <w:t>ود؛ چون احتمال عرفی داده نمی شود که بین سوال شفاهی و مشاهده در مکتوبات</w:t>
      </w:r>
      <w:r w:rsidR="00A52CD0">
        <w:rPr>
          <w:rFonts w:hint="cs"/>
          <w:rtl/>
        </w:rPr>
        <w:t>ِ</w:t>
      </w:r>
      <w:r w:rsidR="00273C0F">
        <w:rPr>
          <w:rFonts w:hint="cs"/>
          <w:rtl/>
        </w:rPr>
        <w:t xml:space="preserve"> در زمان حیات فرد</w:t>
      </w:r>
      <w:r w:rsidR="00A52CD0">
        <w:rPr>
          <w:rFonts w:hint="cs"/>
          <w:rtl/>
        </w:rPr>
        <w:t>،</w:t>
      </w:r>
      <w:r w:rsidR="00273C0F">
        <w:rPr>
          <w:rFonts w:hint="cs"/>
          <w:rtl/>
        </w:rPr>
        <w:t xml:space="preserve"> تفاوتی وجود داشته باشد.</w:t>
      </w:r>
      <w:r>
        <w:rPr>
          <w:rFonts w:hint="cs"/>
          <w:rtl/>
        </w:rPr>
        <w:t xml:space="preserve"> </w:t>
      </w:r>
      <w:r w:rsidR="00E23B61">
        <w:rPr>
          <w:rFonts w:hint="cs"/>
          <w:rtl/>
        </w:rPr>
        <w:t xml:space="preserve">بنابراین از سوال شفاهی الغای خصوصیت می شود، اما سوال شفاهی دارای این لازمه است که فرد مورد سوال زنده باشد و از این لازمه </w:t>
      </w:r>
      <w:r w:rsidR="00E80C46">
        <w:rPr>
          <w:rFonts w:hint="cs"/>
          <w:rtl/>
        </w:rPr>
        <w:t>نمی</w:t>
      </w:r>
      <w:r w:rsidR="00E80C46">
        <w:rPr>
          <w:rFonts w:hint="eastAsia"/>
          <w:rtl/>
        </w:rPr>
        <w:t>‌</w:t>
      </w:r>
      <w:r w:rsidR="00E23B61">
        <w:rPr>
          <w:rFonts w:hint="cs"/>
          <w:rtl/>
        </w:rPr>
        <w:t>توان الغای خصوصیت کرد</w:t>
      </w:r>
      <w:r w:rsidR="004C6874">
        <w:rPr>
          <w:rFonts w:hint="cs"/>
          <w:rtl/>
        </w:rPr>
        <w:t xml:space="preserve">؛ چون </w:t>
      </w:r>
      <w:r w:rsidR="002E5C51">
        <w:rPr>
          <w:rFonts w:hint="cs"/>
          <w:rtl/>
        </w:rPr>
        <w:t xml:space="preserve">شرعا </w:t>
      </w:r>
      <w:r w:rsidR="004C6874">
        <w:rPr>
          <w:rFonts w:hint="cs"/>
          <w:rtl/>
        </w:rPr>
        <w:t>در مورد زنده</w:t>
      </w:r>
      <w:r w:rsidR="004A6364">
        <w:rPr>
          <w:rFonts w:hint="cs"/>
          <w:rtl/>
        </w:rPr>
        <w:t xml:space="preserve"> بودن احتمال خصوصیت داده می شود و وقتی احتمال خصوصیت داده شود، خطاب دارای اطلاق نخواهد بود ولو اینکه ادعاء شود که از نظر عرفی بین حی و میت تفاوتی وجود نداشته باشد؛ چون ارتکاز عرف منشأ ظهور در خطاب نمی شود تا خطاب هم شامل فرض سوال از میت شود. </w:t>
      </w:r>
    </w:p>
    <w:p w:rsidR="004F498F" w:rsidRDefault="004C6874" w:rsidP="00E827AA">
      <w:pPr>
        <w:pStyle w:val="ListParagraph"/>
        <w:jc w:val="lowKashida"/>
        <w:rPr>
          <w:rtl/>
        </w:rPr>
      </w:pPr>
      <w:r>
        <w:rPr>
          <w:rFonts w:hint="cs"/>
          <w:rtl/>
        </w:rPr>
        <w:t>در روایات هم امر به اخذ معالم از یونس بن عبدالرحمن یا زکریا بن آدم شده است که ارجاع به فرد زنده است که شامل تعلم فتاوا از کتب نمی شود. البته در زمان حیات آنها از سوال شفاهی به مطالب در کتاب الغای خصوصیت می شود.</w:t>
      </w:r>
      <w:r w:rsidR="00AC557F">
        <w:rPr>
          <w:rFonts w:hint="cs"/>
          <w:rtl/>
        </w:rPr>
        <w:t xml:space="preserve"> اما از جهت زنده بودن نمی توان الغای خصوصیت کرد. بنابراین آیات و روایات شامل تقلید ابتدائی از میت نمی شود.</w:t>
      </w:r>
    </w:p>
    <w:p w:rsidR="00AC557F" w:rsidRDefault="00AC557F" w:rsidP="00E827AA">
      <w:pPr>
        <w:pStyle w:val="ListParagraph"/>
        <w:jc w:val="lowKashida"/>
        <w:rPr>
          <w:rtl/>
        </w:rPr>
      </w:pPr>
      <w:r>
        <w:rPr>
          <w:rFonts w:hint="cs"/>
          <w:rtl/>
        </w:rPr>
        <w:lastRenderedPageBreak/>
        <w:t xml:space="preserve">به نظر ما کلام مرحوم آقای خویی متین است و لذا اگرچه در دلالت آیات و روایات </w:t>
      </w:r>
      <w:r w:rsidR="00755626">
        <w:rPr>
          <w:rFonts w:hint="cs"/>
          <w:rtl/>
        </w:rPr>
        <w:t>بر حجیت فتوای مجتهد مناقشه کرده ایم، اما فرضا اگر دلیل بر حجیت فتوا باشد، مناقشه آقای خویی مورد پذیرش ما قرار دارد.</w:t>
      </w:r>
    </w:p>
    <w:p w:rsidR="003132D5" w:rsidRDefault="004F498F" w:rsidP="00E827AA">
      <w:pPr>
        <w:pStyle w:val="ListParagraph"/>
        <w:numPr>
          <w:ilvl w:val="0"/>
          <w:numId w:val="17"/>
        </w:numPr>
        <w:jc w:val="lowKashida"/>
        <w:rPr>
          <w:rFonts w:hint="cs"/>
        </w:rPr>
      </w:pPr>
      <w:r>
        <w:rPr>
          <w:rFonts w:hint="cs"/>
          <w:rtl/>
        </w:rPr>
        <w:t xml:space="preserve">بیان دوم مرحوم آقای خویی این است که </w:t>
      </w:r>
      <w:r w:rsidR="00B96114">
        <w:rPr>
          <w:rFonts w:hint="cs"/>
          <w:rtl/>
        </w:rPr>
        <w:t xml:space="preserve">به صورت متعارف مجتهدین دارای اختلاف رأی هستند که دلیل حجیت فتوا نسبت به فتوای متعارض، تعارض کرده و تساقط می کنند که بعد تساقط بنای عقلاء باقی خواهد ماند. از طرف دیگر در مورد بناء عقلاء بیان شد که </w:t>
      </w:r>
      <w:r w:rsidR="00F7460B">
        <w:rPr>
          <w:rFonts w:hint="cs"/>
          <w:rtl/>
        </w:rPr>
        <w:t xml:space="preserve">به جهت ایجاد امام سیزدهم، </w:t>
      </w:r>
      <w:r w:rsidR="00B96114">
        <w:rPr>
          <w:rFonts w:hint="cs"/>
          <w:rtl/>
        </w:rPr>
        <w:t xml:space="preserve">قطعا مورد ردع شارع </w:t>
      </w:r>
      <w:r w:rsidR="00F7460B">
        <w:rPr>
          <w:rFonts w:hint="cs"/>
          <w:rtl/>
        </w:rPr>
        <w:t>واقع شده است.</w:t>
      </w:r>
      <w:bookmarkStart w:id="5" w:name="_GoBack"/>
      <w:bookmarkEnd w:id="5"/>
    </w:p>
    <w:p w:rsidR="00D22A53" w:rsidRDefault="00F7460B" w:rsidP="00E827AA">
      <w:pPr>
        <w:pStyle w:val="ListParagraph"/>
        <w:jc w:val="lowKashida"/>
        <w:rPr>
          <w:rtl/>
        </w:rPr>
      </w:pPr>
      <w:r>
        <w:rPr>
          <w:rFonts w:hint="cs"/>
          <w:rtl/>
        </w:rPr>
        <w:t>توضیح کلام مرحوم آقای خویی این است که در مورد حجیت فتوا سه نوع خطاب متصور است:</w:t>
      </w:r>
    </w:p>
    <w:p w:rsidR="00006A6E" w:rsidRDefault="00F7460B" w:rsidP="00E827AA">
      <w:pPr>
        <w:pStyle w:val="ListParagraph"/>
        <w:numPr>
          <w:ilvl w:val="0"/>
          <w:numId w:val="18"/>
        </w:numPr>
        <w:jc w:val="lowKashida"/>
      </w:pPr>
      <w:r>
        <w:rPr>
          <w:rFonts w:hint="cs"/>
          <w:rtl/>
        </w:rPr>
        <w:t xml:space="preserve">خطاب ترخیصی: </w:t>
      </w:r>
      <w:r w:rsidR="002E7E98">
        <w:rPr>
          <w:rFonts w:hint="cs"/>
          <w:rtl/>
        </w:rPr>
        <w:t xml:space="preserve">در صورت وجود خطاب ترخیصی نسبت به فتوا مشکلی در خصوص فتاوای متعارض ایجاد نمی شود و هر دو را شامل خواهد شد. به عنوان مثال خطاب </w:t>
      </w:r>
      <w:r w:rsidR="002E7E98" w:rsidRPr="00D22A53">
        <w:rPr>
          <w:rFonts w:hint="cs"/>
          <w:color w:val="008000"/>
          <w:rtl/>
        </w:rPr>
        <w:t>«</w:t>
      </w:r>
      <w:r w:rsidR="002E7E98" w:rsidRPr="00D22A53">
        <w:rPr>
          <w:color w:val="008000"/>
          <w:rtl/>
        </w:rPr>
        <w:t>فَأَمَّا مَنْ كَانَ مِنَ الْفُقَهَاءِ صَائِناً لِنَفْسِهِ، حَافِظاً لِدِينِهِ، مُخَالِفاً لِهَوَاهُ، مُطِيعاً لِأَمْرِ مَوْلَاهُ فَلِلْعَوَامِّ أَنْ يُقَلِّدُوهُ.</w:t>
      </w:r>
      <w:r w:rsidR="002E7E98" w:rsidRPr="00D22A53">
        <w:rPr>
          <w:rFonts w:hint="cs"/>
          <w:color w:val="008000"/>
          <w:rtl/>
        </w:rPr>
        <w:t>»</w:t>
      </w:r>
      <w:r w:rsidR="002E7E98" w:rsidRPr="001C0056">
        <w:rPr>
          <w:rStyle w:val="FootnoteReference"/>
          <w:color w:val="008000"/>
          <w:rtl/>
        </w:rPr>
        <w:footnoteReference w:id="4"/>
      </w:r>
      <w:r w:rsidR="002E7E98" w:rsidRPr="00D22A53">
        <w:rPr>
          <w:rFonts w:hint="cs"/>
          <w:color w:val="008000"/>
          <w:rtl/>
        </w:rPr>
        <w:t xml:space="preserve"> </w:t>
      </w:r>
      <w:r w:rsidR="002E7E98">
        <w:rPr>
          <w:rFonts w:hint="cs"/>
          <w:rtl/>
        </w:rPr>
        <w:t xml:space="preserve">دال بر جواز تقلید است که برای عامی تقلید از </w:t>
      </w:r>
      <w:r w:rsidR="00D22A53">
        <w:rPr>
          <w:rFonts w:hint="cs"/>
          <w:rtl/>
        </w:rPr>
        <w:t>هر مجتهد</w:t>
      </w:r>
      <w:r w:rsidR="00477260">
        <w:rPr>
          <w:rFonts w:hint="cs"/>
          <w:rtl/>
        </w:rPr>
        <w:t>ی حتی در صورت تعارض مشکلی ندارد. همان طور که اگر گفته شود که «قیام جایز است» و «جلوس جایز است» بین دو خطاب تعارضی رخ نمی دهد.</w:t>
      </w:r>
    </w:p>
    <w:p w:rsidR="00006A6E" w:rsidRDefault="00006A6E" w:rsidP="00E827AA">
      <w:pPr>
        <w:pStyle w:val="ListParagraph"/>
        <w:ind w:left="1080"/>
        <w:jc w:val="lowKashida"/>
        <w:rPr>
          <w:rtl/>
        </w:rPr>
      </w:pPr>
      <w:r>
        <w:rPr>
          <w:rFonts w:hint="cs"/>
          <w:rtl/>
        </w:rPr>
        <w:t>البته سند روایت «فللعوام یقلدوه» ضعیف است. علاوه بر این روایت</w:t>
      </w:r>
      <w:r w:rsidR="00F76C41">
        <w:rPr>
          <w:rFonts w:hint="cs"/>
          <w:rtl/>
        </w:rPr>
        <w:t xml:space="preserve"> در صحیحه یونس بن یعقوب</w:t>
      </w:r>
      <w:r>
        <w:rPr>
          <w:rFonts w:hint="cs"/>
          <w:rtl/>
        </w:rPr>
        <w:t xml:space="preserve"> </w:t>
      </w:r>
      <w:r>
        <w:rPr>
          <w:rFonts w:hint="cs"/>
          <w:rtl/>
        </w:rPr>
        <w:t xml:space="preserve">تعبیر </w:t>
      </w:r>
      <w:r w:rsidRPr="00006A6E">
        <w:rPr>
          <w:rFonts w:hint="cs"/>
          <w:color w:val="008000"/>
          <w:rtl/>
        </w:rPr>
        <w:t>«</w:t>
      </w:r>
      <w:r w:rsidRPr="00006A6E">
        <w:rPr>
          <w:color w:val="008000"/>
          <w:rtl/>
        </w:rPr>
        <w:t>كُنَّا عِنْدَ أَبِي عَبْدِ اللَّهِ ع فَقَالَ أَ مَا لَكُمْ مِنْ مَفْزَعٍ أَ مَا لَكُمْ مِنْ مُسْتَرَاحٍ تَسْتَرِيحُونَ إِلَيْهِ مَا يَمْنَعُكُمْ مِنَ الْحَارِثِ بْنِ الْمُغِيرَةِ النَّصْرِيِّ.</w:t>
      </w:r>
      <w:r w:rsidRPr="00006A6E">
        <w:rPr>
          <w:rFonts w:hint="cs"/>
          <w:color w:val="008000"/>
          <w:rtl/>
        </w:rPr>
        <w:t>»</w:t>
      </w:r>
      <w:r w:rsidRPr="00563FF9">
        <w:rPr>
          <w:rStyle w:val="FootnoteReference"/>
          <w:color w:val="008000"/>
          <w:rtl/>
        </w:rPr>
        <w:footnoteReference w:id="5"/>
      </w:r>
      <w:r>
        <w:rPr>
          <w:rFonts w:hint="cs"/>
          <w:rtl/>
        </w:rPr>
        <w:t xml:space="preserve"> وجود دارد</w:t>
      </w:r>
      <w:r>
        <w:rPr>
          <w:rFonts w:hint="cs"/>
          <w:rtl/>
        </w:rPr>
        <w:t xml:space="preserve"> که از نظر سندی با مشکل مواجه نیست، اما به نظر ما در دلالت دچار مشکل است؛ چون </w:t>
      </w:r>
      <w:r w:rsidR="00274A5C">
        <w:rPr>
          <w:rFonts w:hint="cs"/>
          <w:rtl/>
        </w:rPr>
        <w:t>محتمل است که حارث بن مغیره راوی بوده و امام علیه السلام فقهاء را برای اخذ حدیث ارجاع به حارث داده است. البته اگر دلالت این روایت بر تقلید مورد پذیرش واقع شود، دارای لس</w:t>
      </w:r>
      <w:r w:rsidR="00DA6AC2">
        <w:rPr>
          <w:rFonts w:hint="cs"/>
          <w:rtl/>
        </w:rPr>
        <w:t>ان ترخیص تقلید است که دارای اطلاق است. در مورد کلام صاحب حاشیه الفتاوی الواضحه هم که قائل به جواز ت</w:t>
      </w:r>
      <w:r w:rsidR="00E25DB0">
        <w:rPr>
          <w:rFonts w:hint="cs"/>
          <w:rtl/>
        </w:rPr>
        <w:t>قلید از مجتهدین متساوی یا</w:t>
      </w:r>
      <w:r w:rsidR="00DA6AC2">
        <w:rPr>
          <w:rFonts w:hint="cs"/>
          <w:rtl/>
        </w:rPr>
        <w:t xml:space="preserve"> اعلم بودن</w:t>
      </w:r>
      <w:r w:rsidR="00E25DB0">
        <w:rPr>
          <w:rFonts w:hint="cs"/>
          <w:rtl/>
        </w:rPr>
        <w:t xml:space="preserve"> یکی از آنها شده اند، احتمال داده می شود که به صحیحه یونس یعقوب باشد که ارجاع به حارث بن مغیره داده است</w:t>
      </w:r>
      <w:r w:rsidR="00F76C41">
        <w:rPr>
          <w:rFonts w:hint="cs"/>
          <w:rtl/>
        </w:rPr>
        <w:t>.</w:t>
      </w:r>
    </w:p>
    <w:p w:rsidR="00006A6E" w:rsidRDefault="00F76C41" w:rsidP="00E827AA">
      <w:pPr>
        <w:pStyle w:val="ListParagraph"/>
        <w:ind w:left="1080"/>
        <w:jc w:val="lowKashida"/>
      </w:pPr>
      <w:r>
        <w:rPr>
          <w:rFonts w:hint="cs"/>
          <w:rtl/>
        </w:rPr>
        <w:t>بنابراین خطاب ترخیص در تقلید شامل فتاوای متعارض می شود.</w:t>
      </w:r>
    </w:p>
    <w:p w:rsidR="00064A10" w:rsidRDefault="00D22A53" w:rsidP="00E827AA">
      <w:pPr>
        <w:pStyle w:val="ListParagraph"/>
        <w:numPr>
          <w:ilvl w:val="0"/>
          <w:numId w:val="18"/>
        </w:numPr>
        <w:jc w:val="lowKashida"/>
      </w:pPr>
      <w:r>
        <w:rPr>
          <w:rFonts w:hint="cs"/>
          <w:rtl/>
        </w:rPr>
        <w:t>خطاب الزامی</w:t>
      </w:r>
      <w:r w:rsidR="00F76C41">
        <w:rPr>
          <w:rFonts w:hint="cs"/>
          <w:rtl/>
        </w:rPr>
        <w:t xml:space="preserve"> بدلی</w:t>
      </w:r>
      <w:r>
        <w:rPr>
          <w:rFonts w:hint="cs"/>
          <w:rtl/>
        </w:rPr>
        <w:t xml:space="preserve">: </w:t>
      </w:r>
      <w:r w:rsidR="00F76C41">
        <w:rPr>
          <w:rFonts w:hint="cs"/>
          <w:rtl/>
        </w:rPr>
        <w:t xml:space="preserve">در صورتی که خطاب تقلید، خطاب الزامی بدلی مثل «قلّد مجتهدا» باشد، </w:t>
      </w:r>
      <w:r w:rsidR="00486BED">
        <w:rPr>
          <w:rFonts w:hint="cs"/>
          <w:rtl/>
        </w:rPr>
        <w:t xml:space="preserve">منعی وجود ندارد که شامل اطراف تعارض شود؛ چون واجب بدلی است و مکلف می تواند با تقلید از هر کدام از </w:t>
      </w:r>
      <w:r w:rsidR="00486BED">
        <w:rPr>
          <w:rFonts w:hint="cs"/>
          <w:rtl/>
        </w:rPr>
        <w:lastRenderedPageBreak/>
        <w:t>مجتهدین یک مصداق برای واجب بدلی ایجاد کند کما اینکه اگر تعبیر به صورت «توضأ بماءٍ» باشد، مکلف می تواند با هر آب مطلقی وضوء بگیرد.</w:t>
      </w:r>
    </w:p>
    <w:p w:rsidR="00E72CB3" w:rsidRDefault="004E5DE2" w:rsidP="00E827AA">
      <w:pPr>
        <w:pStyle w:val="ListParagraph"/>
        <w:numPr>
          <w:ilvl w:val="0"/>
          <w:numId w:val="18"/>
        </w:numPr>
        <w:jc w:val="lowKashida"/>
      </w:pPr>
      <w:r>
        <w:rPr>
          <w:rFonts w:hint="cs"/>
          <w:rtl/>
        </w:rPr>
        <w:t xml:space="preserve">خطاب الزامی استغراقی: در صورتی که خطاب تقلید خطاب الزامی به نحو عام استغراقی مثل «فتوی المجتهد حجة» یا «علیکم بالعمل بفتوی الفقیه» باشد که ظهور در انحلال دارد، در صورت اختلاف مجتهدین تعارض رخ می دهد؛ چون </w:t>
      </w:r>
      <w:r w:rsidR="00D80710">
        <w:rPr>
          <w:rFonts w:hint="cs"/>
          <w:rtl/>
        </w:rPr>
        <w:t xml:space="preserve">خطاب الزامی استغراقی اقتضا می کند که به عنوان مثال به  فتوای مجتهد قائل به قصر عمل شود که موجب منجزیت وجوب قصر و معذریت نسبت به تمام خواهد شد. از طرف دیگر این خطاب شامل فتوای مجتهد قائل به وجوب تمام هم می شود و حکم او را منجز و نسبت به غیرآن معذر می شود که </w:t>
      </w:r>
      <w:r w:rsidR="00E72CB3">
        <w:rPr>
          <w:rFonts w:hint="cs"/>
          <w:rtl/>
        </w:rPr>
        <w:t>با توجه به عدم امکان وجود منجّز و معذّر برای هر یک از وجوب قصر و تمام، بین دو خطاب تعارض رخ می دهد.</w:t>
      </w:r>
    </w:p>
    <w:p w:rsidR="00E72CB3" w:rsidRDefault="00E72CB3" w:rsidP="00E827AA">
      <w:pPr>
        <w:pStyle w:val="ListParagraph"/>
        <w:ind w:left="1080"/>
        <w:jc w:val="lowKashida"/>
        <w:rPr>
          <w:rtl/>
        </w:rPr>
      </w:pPr>
      <w:r>
        <w:rPr>
          <w:rFonts w:hint="cs"/>
          <w:rtl/>
        </w:rPr>
        <w:t xml:space="preserve">بنابراین لازم است که خطابات مورد بررسی قرار گیرد که از کدام قسم است که اگر از قسم سوم باشند، تعارض رخ خواهد داد و در صورتی که از سنخ اول یا دوم باشند، تعارضی رخ نمی دهد. </w:t>
      </w:r>
    </w:p>
    <w:p w:rsidR="00442E1D" w:rsidRDefault="00E72CB3" w:rsidP="005B1AD9">
      <w:pPr>
        <w:jc w:val="lowKashida"/>
        <w:rPr>
          <w:rtl/>
        </w:rPr>
      </w:pPr>
      <w:r>
        <w:rPr>
          <w:rFonts w:hint="cs"/>
          <w:rtl/>
        </w:rPr>
        <w:t xml:space="preserve">در مورد کلام مرحوم آقای خویی هم اشکال ما صغروی است و به ایشان بیان می کنیم که ما به خطاباتی که از سنخ </w:t>
      </w:r>
      <w:r w:rsidR="00196983">
        <w:rPr>
          <w:rFonts w:hint="cs"/>
          <w:rtl/>
        </w:rPr>
        <w:t>اول و دوم</w:t>
      </w:r>
      <w:r>
        <w:rPr>
          <w:rFonts w:hint="cs"/>
          <w:rtl/>
        </w:rPr>
        <w:t xml:space="preserve"> باشد، </w:t>
      </w:r>
      <w:r w:rsidR="00275D3D">
        <w:rPr>
          <w:rFonts w:hint="cs"/>
          <w:rtl/>
        </w:rPr>
        <w:t>دست نیافته ایم؛ چون سند روایت «فللعوام أن یقلدوه»</w:t>
      </w:r>
      <w:r w:rsidR="0046321B">
        <w:rPr>
          <w:rFonts w:hint="cs"/>
          <w:rtl/>
        </w:rPr>
        <w:t xml:space="preserve"> که مربوط به سنخ اول است،</w:t>
      </w:r>
      <w:r w:rsidR="00275D3D">
        <w:rPr>
          <w:rFonts w:hint="cs"/>
          <w:rtl/>
        </w:rPr>
        <w:t xml:space="preserve"> ضعیف است و روایت یونس بن یعقوب هم ظهور</w:t>
      </w:r>
      <w:r w:rsidR="0084202E">
        <w:rPr>
          <w:rFonts w:hint="cs"/>
          <w:rtl/>
        </w:rPr>
        <w:t xml:space="preserve"> در تقلید ندارد. علاوه بر اینکه</w:t>
      </w:r>
      <w:r w:rsidR="00D755D2">
        <w:rPr>
          <w:rFonts w:hint="cs"/>
          <w:rtl/>
        </w:rPr>
        <w:t xml:space="preserve"> اگر ظ</w:t>
      </w:r>
      <w:r w:rsidR="00C402A6">
        <w:rPr>
          <w:rFonts w:hint="cs"/>
          <w:rtl/>
        </w:rPr>
        <w:t>هور در تقلید داشته باشد و</w:t>
      </w:r>
      <w:r w:rsidR="00D755D2">
        <w:rPr>
          <w:rFonts w:hint="cs"/>
          <w:rtl/>
        </w:rPr>
        <w:t xml:space="preserve"> متفاهم عرفی از </w:t>
      </w:r>
      <w:r w:rsidR="005327B6">
        <w:rPr>
          <w:rFonts w:hint="cs"/>
          <w:rtl/>
        </w:rPr>
        <w:t>«</w:t>
      </w:r>
      <w:r w:rsidR="005327B6" w:rsidRPr="005327B6">
        <w:rPr>
          <w:rtl/>
        </w:rPr>
        <w:t>مَا يَمْنَعُكُمْ مِنَ الْحَارِثِ بْنِ الْمُغِيرَةِ النَّصْرِيِّ</w:t>
      </w:r>
      <w:r w:rsidR="005327B6">
        <w:rPr>
          <w:rFonts w:hint="cs"/>
          <w:rtl/>
        </w:rPr>
        <w:t xml:space="preserve">» الزام </w:t>
      </w:r>
      <w:r w:rsidR="00C402A6">
        <w:rPr>
          <w:rFonts w:hint="cs"/>
          <w:rtl/>
        </w:rPr>
        <w:t>باشد،</w:t>
      </w:r>
      <w:r w:rsidR="005327B6">
        <w:rPr>
          <w:rFonts w:hint="cs"/>
          <w:rtl/>
        </w:rPr>
        <w:t xml:space="preserve"> از سنخ قسم سوم دانسته </w:t>
      </w:r>
      <w:r w:rsidR="0050363B">
        <w:rPr>
          <w:rFonts w:hint="cs"/>
          <w:rtl/>
        </w:rPr>
        <w:t>می</w:t>
      </w:r>
      <w:r w:rsidR="0050363B">
        <w:rPr>
          <w:rFonts w:hint="eastAsia"/>
          <w:rtl/>
        </w:rPr>
        <w:t>‌</w:t>
      </w:r>
      <w:r w:rsidR="009C3BAA">
        <w:rPr>
          <w:rFonts w:hint="cs"/>
          <w:rtl/>
        </w:rPr>
        <w:t xml:space="preserve"> </w:t>
      </w:r>
      <w:r w:rsidR="005327B6">
        <w:rPr>
          <w:rFonts w:hint="cs"/>
          <w:rtl/>
        </w:rPr>
        <w:t>شود.</w:t>
      </w:r>
      <w:r w:rsidR="00ED4279">
        <w:rPr>
          <w:rFonts w:hint="cs"/>
          <w:rtl/>
        </w:rPr>
        <w:t xml:space="preserve"> اگر خطاب از سنخ اول یا دوم </w:t>
      </w:r>
      <w:r w:rsidR="00AE2153">
        <w:rPr>
          <w:rFonts w:hint="cs"/>
          <w:rtl/>
        </w:rPr>
        <w:t xml:space="preserve">وجود داشت، </w:t>
      </w:r>
      <w:r w:rsidR="00ED4279">
        <w:rPr>
          <w:rFonts w:hint="cs"/>
          <w:rtl/>
        </w:rPr>
        <w:t xml:space="preserve">بر جواز </w:t>
      </w:r>
      <w:r w:rsidR="00AE2153">
        <w:rPr>
          <w:rFonts w:hint="cs"/>
          <w:rtl/>
        </w:rPr>
        <w:t xml:space="preserve">تقلید </w:t>
      </w:r>
      <w:r w:rsidR="00ED4279">
        <w:rPr>
          <w:rFonts w:hint="cs"/>
          <w:rtl/>
        </w:rPr>
        <w:t xml:space="preserve">حتی در فرض تعارض فتاوا استدلال کرده و اشکال </w:t>
      </w:r>
      <w:r w:rsidR="00C24295">
        <w:rPr>
          <w:rFonts w:hint="cs"/>
          <w:rtl/>
        </w:rPr>
        <w:t xml:space="preserve">مرحوم آقای خویی را نمی پذیرفتیم، اما اطلاق آیات و روایات </w:t>
      </w:r>
      <w:r w:rsidR="003C2C6C">
        <w:rPr>
          <w:rFonts w:hint="cs"/>
          <w:rtl/>
        </w:rPr>
        <w:t>مورد پذیرش ما نیست</w:t>
      </w:r>
      <w:r w:rsidR="00564908">
        <w:rPr>
          <w:rFonts w:hint="cs"/>
          <w:rtl/>
        </w:rPr>
        <w:t>؛ چون از سنخ خطاب اول و دوم نیست</w:t>
      </w:r>
      <w:r w:rsidR="003C7425">
        <w:rPr>
          <w:rFonts w:hint="cs"/>
          <w:rtl/>
        </w:rPr>
        <w:t>ند</w:t>
      </w:r>
      <w:r w:rsidR="00564908">
        <w:rPr>
          <w:rFonts w:hint="cs"/>
          <w:rtl/>
        </w:rPr>
        <w:t xml:space="preserve"> </w:t>
      </w:r>
      <w:r w:rsidR="00F52897">
        <w:rPr>
          <w:rFonts w:hint="cs"/>
          <w:rtl/>
        </w:rPr>
        <w:t>و اگر از سنخ خطاب سوم باشد که الزام به عمل به فتاوای مجتهد به صورت استغراق کرده باشد، منجر به تعارض می شود و لذا ما به آیات و روایات استدلال نمی کنیم</w:t>
      </w:r>
      <w:r w:rsidR="003C7425">
        <w:rPr>
          <w:rFonts w:hint="cs"/>
          <w:rtl/>
        </w:rPr>
        <w:t>. علاوه بر</w:t>
      </w:r>
      <w:r w:rsidR="00106884">
        <w:rPr>
          <w:rFonts w:hint="cs"/>
          <w:rtl/>
        </w:rPr>
        <w:t xml:space="preserve"> اینکه آقای خویی فرموده اند: آیات و روایات ارجاع به احیاء داشته اند و بیش از این مقدار اطلاق ندارد</w:t>
      </w:r>
      <w:r w:rsidR="00414538">
        <w:rPr>
          <w:rFonts w:hint="cs"/>
          <w:rtl/>
        </w:rPr>
        <w:t xml:space="preserve"> و این مطلب</w:t>
      </w:r>
      <w:r w:rsidR="00106884">
        <w:rPr>
          <w:rFonts w:hint="cs"/>
          <w:rtl/>
        </w:rPr>
        <w:t xml:space="preserve"> مورد پذیرش ما قرار قرار داد. </w:t>
      </w:r>
    </w:p>
    <w:p w:rsidR="00B007F2" w:rsidRDefault="00106884" w:rsidP="00442E1D">
      <w:pPr>
        <w:jc w:val="lowKashida"/>
        <w:rPr>
          <w:rFonts w:hint="cs"/>
          <w:rtl/>
        </w:rPr>
      </w:pPr>
      <w:r>
        <w:rPr>
          <w:rFonts w:hint="cs"/>
          <w:rtl/>
        </w:rPr>
        <w:t>بنابراین آیات و روایات دلیل بر حجیت فتوای میت نیست.</w:t>
      </w:r>
    </w:p>
    <w:p w:rsidR="00547672" w:rsidRDefault="00106884" w:rsidP="00E827AA">
      <w:pPr>
        <w:pStyle w:val="Heading3"/>
        <w:jc w:val="lowKashida"/>
        <w:rPr>
          <w:rtl/>
        </w:rPr>
      </w:pPr>
      <w:r>
        <w:rPr>
          <w:rFonts w:hint="cs"/>
          <w:rtl/>
        </w:rPr>
        <w:t>تبیین عدم شمول استصحاب</w:t>
      </w:r>
    </w:p>
    <w:p w:rsidR="00547672" w:rsidRDefault="00547672" w:rsidP="00E827AA">
      <w:pPr>
        <w:jc w:val="lowKashida"/>
        <w:rPr>
          <w:rtl/>
        </w:rPr>
      </w:pPr>
      <w:r>
        <w:rPr>
          <w:rFonts w:hint="cs"/>
          <w:rtl/>
        </w:rPr>
        <w:t xml:space="preserve">تمسک به استصحاب حجیت برای اثبات حجیت فتوای میت به این صورت است که گفته می شود </w:t>
      </w:r>
      <w:r w:rsidR="00097174">
        <w:rPr>
          <w:rFonts w:hint="cs"/>
          <w:rtl/>
        </w:rPr>
        <w:t>فتوای مجتهد در زمان حیات او حجت بوده و در زمان ممات هم حجیت فتاوای او استصحاب می شود.</w:t>
      </w:r>
    </w:p>
    <w:p w:rsidR="00097174" w:rsidRDefault="00097174" w:rsidP="00E827AA">
      <w:pPr>
        <w:jc w:val="lowKashida"/>
        <w:rPr>
          <w:rFonts w:hint="cs"/>
          <w:rtl/>
        </w:rPr>
      </w:pPr>
      <w:r>
        <w:rPr>
          <w:rFonts w:hint="cs"/>
          <w:rtl/>
        </w:rPr>
        <w:t>در مورد استصحاب حجیت فتاوای مجتهد فوت کرده اشکالا</w:t>
      </w:r>
      <w:r w:rsidR="00C15075">
        <w:rPr>
          <w:rFonts w:hint="cs"/>
          <w:rtl/>
        </w:rPr>
        <w:t>تی مطرح شده است</w:t>
      </w:r>
      <w:r>
        <w:rPr>
          <w:rFonts w:hint="cs"/>
          <w:rtl/>
        </w:rPr>
        <w:t>:</w:t>
      </w:r>
    </w:p>
    <w:p w:rsidR="00097174" w:rsidRDefault="00097174" w:rsidP="00E827AA">
      <w:pPr>
        <w:pStyle w:val="ListParagraph"/>
        <w:numPr>
          <w:ilvl w:val="0"/>
          <w:numId w:val="20"/>
        </w:numPr>
        <w:jc w:val="lowKashida"/>
      </w:pPr>
      <w:r>
        <w:rPr>
          <w:rFonts w:hint="cs"/>
          <w:rtl/>
        </w:rPr>
        <w:lastRenderedPageBreak/>
        <w:t>صاحب کفایه در اشکال به این استصحاب فرموده اند: در جریان استصحاب بقاء موضوع شرط است که موضوع حجیت رأی است و میت دارای رأی نیست و لذا موضوع استصحاب باقی نیست. شک در بقاء موضوع هم برای عدم جریان استصحاب کافی است.</w:t>
      </w:r>
    </w:p>
    <w:p w:rsidR="0093369C" w:rsidRDefault="0093369C" w:rsidP="00E827AA">
      <w:pPr>
        <w:pStyle w:val="ListParagraph"/>
        <w:jc w:val="lowKashida"/>
        <w:rPr>
          <w:rtl/>
        </w:rPr>
      </w:pPr>
      <w:r>
        <w:rPr>
          <w:rFonts w:hint="cs"/>
          <w:rtl/>
        </w:rPr>
        <w:t>به نظر ما این اشکال ناتمام است؛ چون موضوع حجیت، حدوث رأی به شرط عدم عدول از آن است که این موضوع محرز البقاء است و لذا این اشکال وارد نیست.</w:t>
      </w:r>
    </w:p>
    <w:p w:rsidR="0093369C" w:rsidRPr="00547672" w:rsidRDefault="0093369C" w:rsidP="00E827AA">
      <w:pPr>
        <w:jc w:val="lowKashida"/>
        <w:rPr>
          <w:rtl/>
        </w:rPr>
      </w:pPr>
      <w:r>
        <w:rPr>
          <w:rFonts w:hint="cs"/>
          <w:rtl/>
        </w:rPr>
        <w:t>اشکالات دیگر استصحاب در جلسه آینده مورد بررسی قرار می گیرد.</w:t>
      </w:r>
    </w:p>
    <w:p w:rsidR="00643A43" w:rsidRPr="00B007F2" w:rsidRDefault="00643A43" w:rsidP="00E827AA">
      <w:pPr>
        <w:pStyle w:val="ListParagraph"/>
        <w:ind w:left="1080"/>
        <w:jc w:val="lowKashida"/>
      </w:pPr>
      <w:r>
        <w:rPr>
          <w:rFonts w:hint="cs"/>
          <w:rtl/>
        </w:rPr>
        <w:t xml:space="preserve"> </w:t>
      </w:r>
    </w:p>
    <w:p w:rsidR="00B007F2" w:rsidRPr="00B007F2" w:rsidRDefault="00B007F2" w:rsidP="00E827AA">
      <w:pPr>
        <w:jc w:val="lowKashida"/>
      </w:pPr>
    </w:p>
    <w:p w:rsidR="00B007F2" w:rsidRPr="00B007F2" w:rsidRDefault="00B007F2" w:rsidP="00E827AA">
      <w:pPr>
        <w:jc w:val="lowKashida"/>
      </w:pPr>
    </w:p>
    <w:p w:rsidR="00B007F2" w:rsidRPr="00B007F2" w:rsidRDefault="00B007F2" w:rsidP="00E827AA">
      <w:pPr>
        <w:jc w:val="lowKashida"/>
      </w:pPr>
    </w:p>
    <w:p w:rsidR="00B007F2" w:rsidRPr="00B007F2" w:rsidRDefault="00B007F2" w:rsidP="00E827AA">
      <w:pPr>
        <w:jc w:val="lowKashida"/>
      </w:pPr>
    </w:p>
    <w:p w:rsidR="00B007F2" w:rsidRPr="00B007F2" w:rsidRDefault="00B007F2" w:rsidP="00E827AA">
      <w:pPr>
        <w:jc w:val="lowKashida"/>
      </w:pPr>
    </w:p>
    <w:p w:rsidR="00B007F2" w:rsidRPr="00B007F2" w:rsidRDefault="00B007F2" w:rsidP="00E827AA">
      <w:pPr>
        <w:jc w:val="lowKashida"/>
      </w:pPr>
    </w:p>
    <w:p w:rsidR="00B007F2" w:rsidRPr="00B007F2" w:rsidRDefault="00B007F2" w:rsidP="00E827AA">
      <w:pPr>
        <w:jc w:val="lowKashida"/>
      </w:pPr>
    </w:p>
    <w:p w:rsidR="00B007F2" w:rsidRPr="00B007F2" w:rsidRDefault="00B007F2" w:rsidP="00E827AA">
      <w:pPr>
        <w:jc w:val="lowKashida"/>
      </w:pPr>
    </w:p>
    <w:p w:rsidR="0015705D" w:rsidRPr="00B007F2" w:rsidRDefault="0015705D" w:rsidP="00E827AA">
      <w:pPr>
        <w:jc w:val="lowKashida"/>
      </w:pPr>
    </w:p>
    <w:sectPr w:rsidR="0015705D" w:rsidRPr="00B007F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E31" w:rsidRDefault="00BF0E31" w:rsidP="008B750B">
      <w:pPr>
        <w:spacing w:line="240" w:lineRule="auto"/>
      </w:pPr>
      <w:r>
        <w:separator/>
      </w:r>
    </w:p>
  </w:endnote>
  <w:endnote w:type="continuationSeparator" w:id="0">
    <w:p w:rsidR="00BF0E31" w:rsidRDefault="00BF0E3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1C0056" w:rsidRPr="00B007F2" w:rsidTr="0020241A">
      <w:tc>
        <w:tcPr>
          <w:tcW w:w="3382" w:type="dxa"/>
          <w:tcBorders>
            <w:top w:val="nil"/>
            <w:left w:val="nil"/>
            <w:bottom w:val="nil"/>
            <w:right w:val="nil"/>
          </w:tcBorders>
        </w:tcPr>
        <w:p w:rsidR="001C0056" w:rsidRPr="00B007F2" w:rsidRDefault="001C0056" w:rsidP="006D44C1">
          <w:pPr>
            <w:pStyle w:val="Footer"/>
            <w:rPr>
              <w:sz w:val="20"/>
              <w:szCs w:val="26"/>
              <w:rtl/>
            </w:rPr>
          </w:pPr>
          <w:r w:rsidRPr="00B007F2">
            <w:rPr>
              <w:rFonts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1C0056" w:rsidRPr="00B007F2" w:rsidRDefault="001C0056" w:rsidP="006D44C1">
          <w:pPr>
            <w:pStyle w:val="Footer"/>
            <w:jc w:val="right"/>
            <w:rPr>
              <w:sz w:val="20"/>
              <w:szCs w:val="26"/>
              <w:rtl/>
            </w:rPr>
          </w:pPr>
          <w:r w:rsidRPr="00B007F2">
            <w:rPr>
              <w:rFonts w:hint="cs"/>
              <w:sz w:val="20"/>
              <w:szCs w:val="26"/>
              <w:rtl/>
            </w:rPr>
            <w:t xml:space="preserve">صفحه </w:t>
          </w:r>
          <w:r w:rsidRPr="00B007F2">
            <w:rPr>
              <w:sz w:val="20"/>
              <w:szCs w:val="26"/>
            </w:rPr>
            <w:fldChar w:fldCharType="begin"/>
          </w:r>
          <w:r w:rsidRPr="00B007F2">
            <w:rPr>
              <w:sz w:val="20"/>
              <w:szCs w:val="26"/>
            </w:rPr>
            <w:instrText>PAGE   \* MERGEFORMAT</w:instrText>
          </w:r>
          <w:r w:rsidRPr="00B007F2">
            <w:rPr>
              <w:sz w:val="20"/>
              <w:szCs w:val="26"/>
            </w:rPr>
            <w:fldChar w:fldCharType="separate"/>
          </w:r>
          <w:r w:rsidR="005B1AD9" w:rsidRPr="005B1AD9">
            <w:rPr>
              <w:noProof/>
              <w:sz w:val="20"/>
              <w:szCs w:val="26"/>
              <w:rtl/>
              <w:lang w:val="fa-IR"/>
            </w:rPr>
            <w:t>5</w:t>
          </w:r>
          <w:r w:rsidRPr="00B007F2">
            <w:rPr>
              <w:noProof/>
              <w:sz w:val="20"/>
              <w:szCs w:val="26"/>
            </w:rPr>
            <w:fldChar w:fldCharType="end"/>
          </w:r>
        </w:p>
      </w:tc>
      <w:tc>
        <w:tcPr>
          <w:tcW w:w="4786" w:type="dxa"/>
          <w:tcBorders>
            <w:top w:val="nil"/>
            <w:left w:val="nil"/>
            <w:bottom w:val="nil"/>
            <w:right w:val="nil"/>
          </w:tcBorders>
          <w:vAlign w:val="center"/>
        </w:tcPr>
        <w:p w:rsidR="001C0056" w:rsidRPr="00B007F2" w:rsidRDefault="001C0056" w:rsidP="001B6799">
          <w:pPr>
            <w:pStyle w:val="Footer"/>
            <w:bidi w:val="0"/>
            <w:rPr>
              <w:color w:val="808080" w:themeColor="background1" w:themeShade="80"/>
              <w:sz w:val="20"/>
              <w:szCs w:val="26"/>
              <w:rtl/>
            </w:rPr>
          </w:pPr>
          <w:bookmarkStart w:id="13" w:name="BokAdres"/>
          <w:bookmarkEnd w:id="13"/>
          <w:r w:rsidRPr="00B007F2">
            <w:rPr>
              <w:color w:val="808080" w:themeColor="background1" w:themeShade="80"/>
              <w:sz w:val="20"/>
              <w:szCs w:val="26"/>
            </w:rPr>
            <w:t>U1ms4_13980701-007_mm2_mfeb.ir</w:t>
          </w:r>
        </w:p>
      </w:tc>
    </w:tr>
  </w:tbl>
  <w:p w:rsidR="001C0056" w:rsidRPr="00B007F2" w:rsidRDefault="001C0056"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E31" w:rsidRDefault="00BF0E31" w:rsidP="008B750B">
      <w:pPr>
        <w:spacing w:line="240" w:lineRule="auto"/>
      </w:pPr>
      <w:r>
        <w:separator/>
      </w:r>
    </w:p>
  </w:footnote>
  <w:footnote w:type="continuationSeparator" w:id="0">
    <w:p w:rsidR="00BF0E31" w:rsidRDefault="00BF0E31" w:rsidP="008B750B">
      <w:pPr>
        <w:spacing w:line="240" w:lineRule="auto"/>
      </w:pPr>
      <w:r>
        <w:continuationSeparator/>
      </w:r>
    </w:p>
  </w:footnote>
  <w:footnote w:id="1">
    <w:p w:rsidR="0016334D" w:rsidRPr="00563FF9" w:rsidRDefault="0016334D" w:rsidP="0016334D">
      <w:pPr>
        <w:pStyle w:val="FootnoteText"/>
      </w:pPr>
      <w:r w:rsidRPr="00075199">
        <w:footnoteRef/>
      </w:r>
      <w:r>
        <w:rPr>
          <w:rtl/>
        </w:rPr>
        <w:t>.</w:t>
      </w:r>
      <w:r w:rsidRPr="00563FF9">
        <w:rPr>
          <w:rtl/>
        </w:rPr>
        <w:t xml:space="preserve"> </w:t>
      </w:r>
      <w:hyperlink r:id="rId1" w:history="1">
        <w:r w:rsidRPr="00563FF9">
          <w:rPr>
            <w:rStyle w:val="Hyperlink"/>
            <w:rtl/>
          </w:rPr>
          <w:t>وسائل الش</w:t>
        </w:r>
        <w:r w:rsidRPr="00563FF9">
          <w:rPr>
            <w:rStyle w:val="Hyperlink"/>
            <w:rFonts w:hint="cs"/>
            <w:rtl/>
          </w:rPr>
          <w:t>ی</w:t>
        </w:r>
        <w:r w:rsidRPr="00563FF9">
          <w:rPr>
            <w:rStyle w:val="Hyperlink"/>
            <w:rFonts w:hint="eastAsia"/>
            <w:rtl/>
          </w:rPr>
          <w:t>عة،</w:t>
        </w:r>
        <w:r w:rsidRPr="00563FF9">
          <w:rPr>
            <w:rStyle w:val="Hyperlink"/>
            <w:rtl/>
          </w:rPr>
          <w:t xml:space="preserve"> الش</w:t>
        </w:r>
        <w:r w:rsidRPr="00563FF9">
          <w:rPr>
            <w:rStyle w:val="Hyperlink"/>
            <w:rFonts w:hint="cs"/>
            <w:rtl/>
          </w:rPr>
          <w:t>ی</w:t>
        </w:r>
        <w:r w:rsidRPr="00563FF9">
          <w:rPr>
            <w:rStyle w:val="Hyperlink"/>
            <w:rFonts w:hint="eastAsia"/>
            <w:rtl/>
          </w:rPr>
          <w:t>خ</w:t>
        </w:r>
        <w:r w:rsidRPr="00563FF9">
          <w:rPr>
            <w:rStyle w:val="Hyperlink"/>
            <w:rtl/>
          </w:rPr>
          <w:t xml:space="preserve"> الحر العاملي، ج27، ص145، أبواب صفات قاض</w:t>
        </w:r>
        <w:r w:rsidRPr="00563FF9">
          <w:rPr>
            <w:rStyle w:val="Hyperlink"/>
            <w:rFonts w:hint="cs"/>
            <w:rtl/>
          </w:rPr>
          <w:t>ی</w:t>
        </w:r>
        <w:r w:rsidRPr="00563FF9">
          <w:rPr>
            <w:rStyle w:val="Hyperlink"/>
            <w:rFonts w:hint="eastAsia"/>
            <w:rtl/>
          </w:rPr>
          <w:t>،</w:t>
        </w:r>
        <w:r w:rsidRPr="00563FF9">
          <w:rPr>
            <w:rStyle w:val="Hyperlink"/>
            <w:rtl/>
          </w:rPr>
          <w:t xml:space="preserve"> باب11، ح24، ط آل البيت.</w:t>
        </w:r>
      </w:hyperlink>
    </w:p>
  </w:footnote>
  <w:footnote w:id="2">
    <w:p w:rsidR="001C0056" w:rsidRPr="00F5145B" w:rsidRDefault="001C0056" w:rsidP="008D36A4">
      <w:pPr>
        <w:pStyle w:val="FootnoteText"/>
      </w:pPr>
      <w:r w:rsidRPr="00075199">
        <w:footnoteRef/>
      </w:r>
      <w:r>
        <w:rPr>
          <w:rtl/>
        </w:rPr>
        <w:t>.</w:t>
      </w:r>
      <w:r w:rsidRPr="00F5145B">
        <w:rPr>
          <w:rtl/>
        </w:rPr>
        <w:t xml:space="preserve"> </w:t>
      </w:r>
      <w:r w:rsidRPr="00F5145B">
        <w:rPr>
          <w:rFonts w:hint="eastAsia"/>
          <w:rtl/>
        </w:rPr>
        <w:t>سوره</w:t>
      </w:r>
      <w:r w:rsidRPr="00F5145B">
        <w:rPr>
          <w:rtl/>
        </w:rPr>
        <w:t xml:space="preserve"> نحل ، آيه 43.</w:t>
      </w:r>
    </w:p>
  </w:footnote>
  <w:footnote w:id="3">
    <w:p w:rsidR="001C0056" w:rsidRPr="00101E5F" w:rsidRDefault="001C0056" w:rsidP="008D36A4">
      <w:pPr>
        <w:pStyle w:val="FootnoteText"/>
        <w:rPr>
          <w:rtl/>
        </w:rPr>
      </w:pPr>
      <w:r w:rsidRPr="00075199">
        <w:footnoteRef/>
      </w:r>
      <w:r>
        <w:rPr>
          <w:rtl/>
        </w:rPr>
        <w:t>.</w:t>
      </w:r>
      <w:r w:rsidRPr="00101E5F">
        <w:rPr>
          <w:rtl/>
        </w:rPr>
        <w:t xml:space="preserve"> </w:t>
      </w:r>
      <w:r w:rsidRPr="00101E5F">
        <w:rPr>
          <w:rFonts w:hint="eastAsia"/>
          <w:rtl/>
        </w:rPr>
        <w:t>سوره</w:t>
      </w:r>
      <w:r w:rsidRPr="00101E5F">
        <w:rPr>
          <w:rtl/>
        </w:rPr>
        <w:t xml:space="preserve"> توبه، آيه 122.</w:t>
      </w:r>
    </w:p>
  </w:footnote>
  <w:footnote w:id="4">
    <w:p w:rsidR="002E7E98" w:rsidRPr="0033074D" w:rsidRDefault="002E7E98" w:rsidP="002E7E98">
      <w:pPr>
        <w:pStyle w:val="FootnoteText"/>
        <w:rPr>
          <w:rtl/>
        </w:rPr>
      </w:pPr>
      <w:r w:rsidRPr="0033074D">
        <w:footnoteRef/>
      </w:r>
      <w:r w:rsidRPr="0033074D">
        <w:rPr>
          <w:rtl/>
        </w:rPr>
        <w:t xml:space="preserve"> </w:t>
      </w:r>
      <w:hyperlink r:id="rId2" w:history="1">
        <w:r w:rsidRPr="0033074D">
          <w:rPr>
            <w:rStyle w:val="Hyperlink"/>
            <w:rtl/>
          </w:rPr>
          <w:t>تفس</w:t>
        </w:r>
        <w:r w:rsidRPr="0033074D">
          <w:rPr>
            <w:rStyle w:val="Hyperlink"/>
            <w:rFonts w:hint="cs"/>
            <w:rtl/>
          </w:rPr>
          <w:t>ی</w:t>
        </w:r>
        <w:r w:rsidRPr="0033074D">
          <w:rPr>
            <w:rStyle w:val="Hyperlink"/>
            <w:rFonts w:hint="eastAsia"/>
            <w:rtl/>
          </w:rPr>
          <w:t>ر</w:t>
        </w:r>
        <w:r w:rsidRPr="0033074D">
          <w:rPr>
            <w:rStyle w:val="Hyperlink"/>
            <w:rtl/>
          </w:rPr>
          <w:t xml:space="preserve"> الإمام العسکر</w:t>
        </w:r>
        <w:r w:rsidRPr="0033074D">
          <w:rPr>
            <w:rStyle w:val="Hyperlink"/>
            <w:rFonts w:hint="cs"/>
            <w:rtl/>
          </w:rPr>
          <w:t>ی</w:t>
        </w:r>
        <w:r w:rsidRPr="0033074D">
          <w:rPr>
            <w:rStyle w:val="Hyperlink"/>
            <w:rFonts w:hint="eastAsia"/>
            <w:rtl/>
          </w:rPr>
          <w:t>،</w:t>
        </w:r>
        <w:r w:rsidRPr="0033074D">
          <w:rPr>
            <w:rStyle w:val="Hyperlink"/>
            <w:rtl/>
          </w:rPr>
          <w:t xml:space="preserve"> المنسوب ا</w:t>
        </w:r>
        <w:r w:rsidRPr="0033074D">
          <w:rPr>
            <w:rStyle w:val="Hyperlink"/>
            <w:rtl/>
          </w:rPr>
          <w:t>ل</w:t>
        </w:r>
        <w:r w:rsidRPr="0033074D">
          <w:rPr>
            <w:rStyle w:val="Hyperlink"/>
            <w:rFonts w:hint="cs"/>
            <w:rtl/>
          </w:rPr>
          <w:t>ی</w:t>
        </w:r>
        <w:r w:rsidRPr="0033074D">
          <w:rPr>
            <w:rStyle w:val="Hyperlink"/>
            <w:rtl/>
          </w:rPr>
          <w:t xml:space="preserve"> الإمام العسکر</w:t>
        </w:r>
        <w:r w:rsidRPr="0033074D">
          <w:rPr>
            <w:rStyle w:val="Hyperlink"/>
            <w:rFonts w:hint="cs"/>
            <w:rtl/>
          </w:rPr>
          <w:t>ی</w:t>
        </w:r>
        <w:r w:rsidRPr="0033074D">
          <w:rPr>
            <w:rStyle w:val="Hyperlink"/>
            <w:rFonts w:hint="eastAsia"/>
            <w:rtl/>
          </w:rPr>
          <w:t>،</w:t>
        </w:r>
        <w:r w:rsidRPr="0033074D">
          <w:rPr>
            <w:rStyle w:val="Hyperlink"/>
            <w:rtl/>
          </w:rPr>
          <w:t xml:space="preserve"> ج1، ص300.</w:t>
        </w:r>
      </w:hyperlink>
    </w:p>
  </w:footnote>
  <w:footnote w:id="5">
    <w:p w:rsidR="00006A6E" w:rsidRPr="00563FF9" w:rsidRDefault="00006A6E" w:rsidP="00006A6E">
      <w:pPr>
        <w:pStyle w:val="FootnoteText"/>
      </w:pPr>
      <w:r w:rsidRPr="00075199">
        <w:footnoteRef/>
      </w:r>
      <w:r>
        <w:rPr>
          <w:rtl/>
        </w:rPr>
        <w:t>.</w:t>
      </w:r>
      <w:r w:rsidRPr="00563FF9">
        <w:rPr>
          <w:rtl/>
        </w:rPr>
        <w:t xml:space="preserve"> </w:t>
      </w:r>
      <w:hyperlink r:id="rId3" w:history="1">
        <w:r w:rsidRPr="00563FF9">
          <w:rPr>
            <w:rStyle w:val="Hyperlink"/>
            <w:rtl/>
          </w:rPr>
          <w:t>وسائل الش</w:t>
        </w:r>
        <w:r w:rsidRPr="00563FF9">
          <w:rPr>
            <w:rStyle w:val="Hyperlink"/>
            <w:rFonts w:hint="cs"/>
            <w:rtl/>
          </w:rPr>
          <w:t>ی</w:t>
        </w:r>
        <w:r w:rsidRPr="00563FF9">
          <w:rPr>
            <w:rStyle w:val="Hyperlink"/>
            <w:rFonts w:hint="eastAsia"/>
            <w:rtl/>
          </w:rPr>
          <w:t>عة،</w:t>
        </w:r>
        <w:r w:rsidRPr="00563FF9">
          <w:rPr>
            <w:rStyle w:val="Hyperlink"/>
            <w:rtl/>
          </w:rPr>
          <w:t xml:space="preserve"> الش</w:t>
        </w:r>
        <w:r w:rsidRPr="00563FF9">
          <w:rPr>
            <w:rStyle w:val="Hyperlink"/>
            <w:rFonts w:hint="cs"/>
            <w:rtl/>
          </w:rPr>
          <w:t>ی</w:t>
        </w:r>
        <w:r w:rsidRPr="00563FF9">
          <w:rPr>
            <w:rStyle w:val="Hyperlink"/>
            <w:rFonts w:hint="eastAsia"/>
            <w:rtl/>
          </w:rPr>
          <w:t>خ</w:t>
        </w:r>
        <w:r w:rsidRPr="00563FF9">
          <w:rPr>
            <w:rStyle w:val="Hyperlink"/>
            <w:rtl/>
          </w:rPr>
          <w:t xml:space="preserve"> الحر العاملي، ج27، ص145، أبواب صفات قاض</w:t>
        </w:r>
        <w:r w:rsidRPr="00563FF9">
          <w:rPr>
            <w:rStyle w:val="Hyperlink"/>
            <w:rFonts w:hint="cs"/>
            <w:rtl/>
          </w:rPr>
          <w:t>ی</w:t>
        </w:r>
        <w:r w:rsidRPr="00563FF9">
          <w:rPr>
            <w:rStyle w:val="Hyperlink"/>
            <w:rFonts w:hint="eastAsia"/>
            <w:rtl/>
          </w:rPr>
          <w:t>،</w:t>
        </w:r>
        <w:r w:rsidRPr="00563FF9">
          <w:rPr>
            <w:rStyle w:val="Hyperlink"/>
            <w:rtl/>
          </w:rPr>
          <w:t xml:space="preserve"> باب11، ح24، ط آل البيت.</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056" w:rsidRPr="001D2E9A" w:rsidRDefault="001C0056"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6" w:name="BokNum"/>
    <w:bookmarkEnd w:id="6"/>
    <w:r>
      <w:rPr>
        <w:b/>
        <w:bCs/>
        <w:sz w:val="20"/>
        <w:szCs w:val="24"/>
        <w:rtl/>
      </w:rPr>
      <w:t>007</w:t>
    </w:r>
    <w:r>
      <w:rPr>
        <w:rFonts w:hint="cs"/>
        <w:b/>
        <w:bCs/>
        <w:sz w:val="20"/>
        <w:szCs w:val="24"/>
        <w:rtl/>
      </w:rPr>
      <w:tab/>
    </w:r>
    <w:r w:rsidRPr="00C32A7E">
      <w:rPr>
        <w:rFonts w:hint="cs"/>
        <w:b/>
        <w:bCs/>
        <w:color w:val="632423" w:themeColor="accent2" w:themeShade="80"/>
        <w:sz w:val="20"/>
        <w:szCs w:val="24"/>
        <w:rtl/>
      </w:rPr>
      <w:t xml:space="preserve">درس خارج </w:t>
    </w:r>
    <w:bookmarkStart w:id="7" w:name="Bokdars"/>
    <w:bookmarkEnd w:id="7"/>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8" w:name="Bokostad"/>
    <w:bookmarkEnd w:id="8"/>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9" w:name="BokTarikh"/>
    <w:bookmarkEnd w:id="9"/>
    <w:r>
      <w:rPr>
        <w:sz w:val="24"/>
        <w:szCs w:val="24"/>
        <w:rtl/>
      </w:rPr>
      <w:t>1 /7 /1398</w:t>
    </w:r>
  </w:p>
  <w:p w:rsidR="001C0056" w:rsidRPr="00F16B53" w:rsidRDefault="001C0056"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0" w:name="BokSabj"/>
    <w:bookmarkEnd w:id="10"/>
    <w:r>
      <w:rPr>
        <w:color w:val="000000" w:themeColor="text1"/>
        <w:sz w:val="24"/>
        <w:szCs w:val="24"/>
        <w:rtl/>
      </w:rPr>
      <w:t>شرط</w:t>
    </w:r>
    <w:r>
      <w:rPr>
        <w:rFonts w:hint="cs"/>
        <w:color w:val="000000" w:themeColor="text1"/>
        <w:sz w:val="24"/>
        <w:szCs w:val="24"/>
        <w:rtl/>
      </w:rPr>
      <w:t>ی</w:t>
    </w:r>
    <w:r>
      <w:rPr>
        <w:rFonts w:hint="eastAsia"/>
        <w:color w:val="000000" w:themeColor="text1"/>
        <w:sz w:val="24"/>
        <w:szCs w:val="24"/>
        <w:rtl/>
      </w:rPr>
      <w:t>ت</w:t>
    </w:r>
    <w:r>
      <w:rPr>
        <w:color w:val="000000" w:themeColor="text1"/>
        <w:sz w:val="24"/>
        <w:szCs w:val="24"/>
        <w:rtl/>
      </w:rPr>
      <w:t xml:space="preserve"> ح</w:t>
    </w:r>
    <w:r>
      <w:rPr>
        <w:rFonts w:hint="cs"/>
        <w:color w:val="000000" w:themeColor="text1"/>
        <w:sz w:val="24"/>
        <w:szCs w:val="24"/>
        <w:rtl/>
      </w:rPr>
      <w:t>ی</w:t>
    </w:r>
    <w:r>
      <w:rPr>
        <w:rFonts w:hint="eastAsia"/>
        <w:color w:val="000000" w:themeColor="text1"/>
        <w:sz w:val="24"/>
        <w:szCs w:val="24"/>
        <w:rtl/>
      </w:rPr>
      <w:t>ات</w:t>
    </w:r>
    <w:r>
      <w:rPr>
        <w:color w:val="000000" w:themeColor="text1"/>
        <w:sz w:val="24"/>
        <w:szCs w:val="24"/>
        <w:rtl/>
      </w:rPr>
      <w:t xml:space="preserve"> در مرجع تقل</w:t>
    </w:r>
    <w:r>
      <w:rPr>
        <w:rFonts w:hint="cs"/>
        <w:color w:val="000000" w:themeColor="text1"/>
        <w:sz w:val="24"/>
        <w:szCs w:val="24"/>
        <w:rtl/>
      </w:rPr>
      <w:t>ی</w:t>
    </w:r>
    <w:r>
      <w:rPr>
        <w:rFonts w:hint="eastAsia"/>
        <w:color w:val="000000" w:themeColor="text1"/>
        <w:sz w:val="24"/>
        <w:szCs w:val="24"/>
        <w:rtl/>
      </w:rPr>
      <w:t>د</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1" w:name="Bokmoqarer"/>
    <w:bookmarkEnd w:id="11"/>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2" w:name="BokSabj2"/>
    <w:bookmarkEnd w:id="12"/>
    <w:r>
      <w:rPr>
        <w:rFonts w:hint="cs"/>
        <w:sz w:val="24"/>
        <w:szCs w:val="24"/>
        <w:rtl/>
      </w:rPr>
      <w:t>أ</w:t>
    </w:r>
    <w:r>
      <w:rPr>
        <w:sz w:val="24"/>
        <w:szCs w:val="24"/>
        <w:rtl/>
      </w:rPr>
      <w:t>دله عدم جواز تقل</w:t>
    </w:r>
    <w:r>
      <w:rPr>
        <w:rFonts w:hint="cs"/>
        <w:sz w:val="24"/>
        <w:szCs w:val="24"/>
        <w:rtl/>
      </w:rPr>
      <w:t>ی</w:t>
    </w:r>
    <w:r>
      <w:rPr>
        <w:rFonts w:hint="eastAsia"/>
        <w:sz w:val="24"/>
        <w:szCs w:val="24"/>
        <w:rtl/>
      </w:rPr>
      <w:t>د</w:t>
    </w:r>
    <w:r>
      <w:rPr>
        <w:sz w:val="24"/>
        <w:szCs w:val="24"/>
        <w:rtl/>
      </w:rPr>
      <w:t xml:space="preserve"> ابتدائ</w:t>
    </w:r>
    <w:r>
      <w:rPr>
        <w:rFonts w:hint="cs"/>
        <w:sz w:val="24"/>
        <w:szCs w:val="24"/>
        <w:rtl/>
      </w:rPr>
      <w:t>ی</w:t>
    </w:r>
    <w:r>
      <w:rPr>
        <w:sz w:val="24"/>
        <w:szCs w:val="24"/>
        <w:rtl/>
      </w:rPr>
      <w:t xml:space="preserve"> از م</w:t>
    </w:r>
    <w:r>
      <w:rPr>
        <w:rFonts w:hint="cs"/>
        <w:sz w:val="24"/>
        <w:szCs w:val="24"/>
        <w:rtl/>
      </w:rPr>
      <w:t>ی</w:t>
    </w:r>
    <w:r>
      <w:rPr>
        <w:rFonts w:hint="eastAsia"/>
        <w:sz w:val="24"/>
        <w:szCs w:val="24"/>
        <w:rtl/>
      </w:rPr>
      <w:t>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EE275D"/>
    <w:multiLevelType w:val="hybridMultilevel"/>
    <w:tmpl w:val="748471EC"/>
    <w:lvl w:ilvl="0" w:tplc="3C6C86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7B3989"/>
    <w:multiLevelType w:val="hybridMultilevel"/>
    <w:tmpl w:val="5E2AD6F4"/>
    <w:lvl w:ilvl="0" w:tplc="CF5A53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6B0288"/>
    <w:multiLevelType w:val="hybridMultilevel"/>
    <w:tmpl w:val="A59251E4"/>
    <w:lvl w:ilvl="0" w:tplc="925EA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615EDA"/>
    <w:multiLevelType w:val="hybridMultilevel"/>
    <w:tmpl w:val="546E83EE"/>
    <w:lvl w:ilvl="0" w:tplc="769CD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152830"/>
    <w:multiLevelType w:val="hybridMultilevel"/>
    <w:tmpl w:val="C92C429C"/>
    <w:lvl w:ilvl="0" w:tplc="0480DF9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8"/>
  </w:num>
  <w:num w:numId="14">
    <w:abstractNumId w:val="14"/>
  </w:num>
  <w:num w:numId="15">
    <w:abstractNumId w:val="16"/>
  </w:num>
  <w:num w:numId="16">
    <w:abstractNumId w:val="17"/>
  </w:num>
  <w:num w:numId="17">
    <w:abstractNumId w:val="12"/>
  </w:num>
  <w:num w:numId="18">
    <w:abstractNumId w:val="15"/>
  </w:num>
  <w:num w:numId="19">
    <w:abstractNumId w:val="1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245A"/>
    <w:rsid w:val="00006A6E"/>
    <w:rsid w:val="000072A3"/>
    <w:rsid w:val="00025777"/>
    <w:rsid w:val="00025B70"/>
    <w:rsid w:val="000353D7"/>
    <w:rsid w:val="00055496"/>
    <w:rsid w:val="00064A10"/>
    <w:rsid w:val="00080A41"/>
    <w:rsid w:val="0008299B"/>
    <w:rsid w:val="000913AA"/>
    <w:rsid w:val="00094847"/>
    <w:rsid w:val="00096C63"/>
    <w:rsid w:val="00097174"/>
    <w:rsid w:val="00097ACB"/>
    <w:rsid w:val="000B5DB5"/>
    <w:rsid w:val="000C1FCD"/>
    <w:rsid w:val="000C3947"/>
    <w:rsid w:val="000D2A37"/>
    <w:rsid w:val="000D30E9"/>
    <w:rsid w:val="000D6818"/>
    <w:rsid w:val="000E335E"/>
    <w:rsid w:val="000F16CF"/>
    <w:rsid w:val="000F5BAC"/>
    <w:rsid w:val="00102585"/>
    <w:rsid w:val="00103048"/>
    <w:rsid w:val="00106884"/>
    <w:rsid w:val="00114AB7"/>
    <w:rsid w:val="00116B2B"/>
    <w:rsid w:val="00124E3D"/>
    <w:rsid w:val="00127E95"/>
    <w:rsid w:val="00130659"/>
    <w:rsid w:val="001347C7"/>
    <w:rsid w:val="001356B0"/>
    <w:rsid w:val="00151937"/>
    <w:rsid w:val="0015705D"/>
    <w:rsid w:val="0016334D"/>
    <w:rsid w:val="00181844"/>
    <w:rsid w:val="001837E9"/>
    <w:rsid w:val="00187DFA"/>
    <w:rsid w:val="00196983"/>
    <w:rsid w:val="001A1BC1"/>
    <w:rsid w:val="001A1EA5"/>
    <w:rsid w:val="001A2574"/>
    <w:rsid w:val="001A27D7"/>
    <w:rsid w:val="001A294E"/>
    <w:rsid w:val="001A4ED8"/>
    <w:rsid w:val="001B2488"/>
    <w:rsid w:val="001B6799"/>
    <w:rsid w:val="001C0056"/>
    <w:rsid w:val="001C1362"/>
    <w:rsid w:val="001D01B4"/>
    <w:rsid w:val="001D2E9A"/>
    <w:rsid w:val="001D597F"/>
    <w:rsid w:val="001E3FD4"/>
    <w:rsid w:val="0020193E"/>
    <w:rsid w:val="0020241A"/>
    <w:rsid w:val="00203821"/>
    <w:rsid w:val="00211632"/>
    <w:rsid w:val="0021630D"/>
    <w:rsid w:val="0024121B"/>
    <w:rsid w:val="00247D2F"/>
    <w:rsid w:val="00256560"/>
    <w:rsid w:val="00263C70"/>
    <w:rsid w:val="002726F1"/>
    <w:rsid w:val="002739FF"/>
    <w:rsid w:val="00273C0F"/>
    <w:rsid w:val="00274A5C"/>
    <w:rsid w:val="00275D3D"/>
    <w:rsid w:val="0027605E"/>
    <w:rsid w:val="00281E00"/>
    <w:rsid w:val="00294A52"/>
    <w:rsid w:val="002A02C7"/>
    <w:rsid w:val="002B575F"/>
    <w:rsid w:val="002B729B"/>
    <w:rsid w:val="002C23B5"/>
    <w:rsid w:val="002C53A2"/>
    <w:rsid w:val="002D0040"/>
    <w:rsid w:val="002D2FA8"/>
    <w:rsid w:val="002E220F"/>
    <w:rsid w:val="002E5C51"/>
    <w:rsid w:val="002E7E98"/>
    <w:rsid w:val="00307311"/>
    <w:rsid w:val="003132D5"/>
    <w:rsid w:val="0032100F"/>
    <w:rsid w:val="003248FB"/>
    <w:rsid w:val="0033074D"/>
    <w:rsid w:val="003310D9"/>
    <w:rsid w:val="0033402C"/>
    <w:rsid w:val="00340521"/>
    <w:rsid w:val="00345C73"/>
    <w:rsid w:val="00354A99"/>
    <w:rsid w:val="00360311"/>
    <w:rsid w:val="00361922"/>
    <w:rsid w:val="0037339B"/>
    <w:rsid w:val="003858E9"/>
    <w:rsid w:val="00386C11"/>
    <w:rsid w:val="00397466"/>
    <w:rsid w:val="003A03F3"/>
    <w:rsid w:val="003A6148"/>
    <w:rsid w:val="003C2C6C"/>
    <w:rsid w:val="003C33F6"/>
    <w:rsid w:val="003C3D2E"/>
    <w:rsid w:val="003C43A5"/>
    <w:rsid w:val="003C7425"/>
    <w:rsid w:val="003E1C5C"/>
    <w:rsid w:val="003E6650"/>
    <w:rsid w:val="003F5B46"/>
    <w:rsid w:val="00401363"/>
    <w:rsid w:val="00402E47"/>
    <w:rsid w:val="00414538"/>
    <w:rsid w:val="00425015"/>
    <w:rsid w:val="00430994"/>
    <w:rsid w:val="00441B6D"/>
    <w:rsid w:val="00442E1D"/>
    <w:rsid w:val="004556EF"/>
    <w:rsid w:val="00462B07"/>
    <w:rsid w:val="0046321B"/>
    <w:rsid w:val="00465BD2"/>
    <w:rsid w:val="004715C8"/>
    <w:rsid w:val="00477260"/>
    <w:rsid w:val="00481C31"/>
    <w:rsid w:val="00482FC1"/>
    <w:rsid w:val="00483027"/>
    <w:rsid w:val="00486BED"/>
    <w:rsid w:val="004871AA"/>
    <w:rsid w:val="004918D7"/>
    <w:rsid w:val="004926E1"/>
    <w:rsid w:val="004A2FEA"/>
    <w:rsid w:val="004A6364"/>
    <w:rsid w:val="004C2D0E"/>
    <w:rsid w:val="004C6874"/>
    <w:rsid w:val="004D2DD7"/>
    <w:rsid w:val="004D75C5"/>
    <w:rsid w:val="004E2186"/>
    <w:rsid w:val="004E5DE2"/>
    <w:rsid w:val="004E66FB"/>
    <w:rsid w:val="004F2079"/>
    <w:rsid w:val="004F470A"/>
    <w:rsid w:val="004F498F"/>
    <w:rsid w:val="004F4C59"/>
    <w:rsid w:val="004F5E59"/>
    <w:rsid w:val="00500C8F"/>
    <w:rsid w:val="00501909"/>
    <w:rsid w:val="0050363B"/>
    <w:rsid w:val="00507BBB"/>
    <w:rsid w:val="005128DF"/>
    <w:rsid w:val="00514FB9"/>
    <w:rsid w:val="0051592A"/>
    <w:rsid w:val="005206FE"/>
    <w:rsid w:val="005257ED"/>
    <w:rsid w:val="005306F8"/>
    <w:rsid w:val="005327B6"/>
    <w:rsid w:val="0054023D"/>
    <w:rsid w:val="005426BF"/>
    <w:rsid w:val="00547672"/>
    <w:rsid w:val="0056213C"/>
    <w:rsid w:val="00564908"/>
    <w:rsid w:val="00580C24"/>
    <w:rsid w:val="00593ECB"/>
    <w:rsid w:val="005968EF"/>
    <w:rsid w:val="00596C1E"/>
    <w:rsid w:val="005A2E26"/>
    <w:rsid w:val="005B1AD9"/>
    <w:rsid w:val="005B7BCA"/>
    <w:rsid w:val="005C0DAE"/>
    <w:rsid w:val="005C188E"/>
    <w:rsid w:val="005D2349"/>
    <w:rsid w:val="005D75EC"/>
    <w:rsid w:val="005E1B60"/>
    <w:rsid w:val="005E5507"/>
    <w:rsid w:val="005E607B"/>
    <w:rsid w:val="005F0A8D"/>
    <w:rsid w:val="00601229"/>
    <w:rsid w:val="00603B67"/>
    <w:rsid w:val="006162A2"/>
    <w:rsid w:val="006240DA"/>
    <w:rsid w:val="0063256E"/>
    <w:rsid w:val="00633F04"/>
    <w:rsid w:val="00635219"/>
    <w:rsid w:val="00635EC0"/>
    <w:rsid w:val="00640B58"/>
    <w:rsid w:val="00643A43"/>
    <w:rsid w:val="00651B02"/>
    <w:rsid w:val="00651B19"/>
    <w:rsid w:val="00660A29"/>
    <w:rsid w:val="00695519"/>
    <w:rsid w:val="006956ED"/>
    <w:rsid w:val="006A4134"/>
    <w:rsid w:val="006A5DDA"/>
    <w:rsid w:val="006A6701"/>
    <w:rsid w:val="006B21F4"/>
    <w:rsid w:val="006B3753"/>
    <w:rsid w:val="006B7AD6"/>
    <w:rsid w:val="006C50FD"/>
    <w:rsid w:val="006D1DD4"/>
    <w:rsid w:val="006D4014"/>
    <w:rsid w:val="006D44C1"/>
    <w:rsid w:val="006E5651"/>
    <w:rsid w:val="006E5B85"/>
    <w:rsid w:val="006F026A"/>
    <w:rsid w:val="006F509E"/>
    <w:rsid w:val="0070265B"/>
    <w:rsid w:val="00704813"/>
    <w:rsid w:val="00716B2D"/>
    <w:rsid w:val="00721E1A"/>
    <w:rsid w:val="0072290D"/>
    <w:rsid w:val="00723D6D"/>
    <w:rsid w:val="00724537"/>
    <w:rsid w:val="00731724"/>
    <w:rsid w:val="0073474B"/>
    <w:rsid w:val="00735511"/>
    <w:rsid w:val="00737208"/>
    <w:rsid w:val="0074298A"/>
    <w:rsid w:val="00744DE6"/>
    <w:rsid w:val="0075562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1756"/>
    <w:rsid w:val="007F2257"/>
    <w:rsid w:val="0080091D"/>
    <w:rsid w:val="00804108"/>
    <w:rsid w:val="00804FC4"/>
    <w:rsid w:val="00816367"/>
    <w:rsid w:val="00816A0B"/>
    <w:rsid w:val="0082102E"/>
    <w:rsid w:val="00824B22"/>
    <w:rsid w:val="00830C53"/>
    <w:rsid w:val="00834328"/>
    <w:rsid w:val="00837FAA"/>
    <w:rsid w:val="00841F77"/>
    <w:rsid w:val="0084202E"/>
    <w:rsid w:val="0085276D"/>
    <w:rsid w:val="00855CE7"/>
    <w:rsid w:val="00863390"/>
    <w:rsid w:val="0086385C"/>
    <w:rsid w:val="00871916"/>
    <w:rsid w:val="008956DD"/>
    <w:rsid w:val="008A510E"/>
    <w:rsid w:val="008A522A"/>
    <w:rsid w:val="008A5795"/>
    <w:rsid w:val="008B4464"/>
    <w:rsid w:val="008B750B"/>
    <w:rsid w:val="008C075B"/>
    <w:rsid w:val="008C3162"/>
    <w:rsid w:val="008D1F14"/>
    <w:rsid w:val="008D36A4"/>
    <w:rsid w:val="008D39E2"/>
    <w:rsid w:val="008E3924"/>
    <w:rsid w:val="008F13F7"/>
    <w:rsid w:val="008F5B4D"/>
    <w:rsid w:val="00907425"/>
    <w:rsid w:val="009147C2"/>
    <w:rsid w:val="00923C34"/>
    <w:rsid w:val="00924152"/>
    <w:rsid w:val="0092513D"/>
    <w:rsid w:val="00927A9F"/>
    <w:rsid w:val="009335CC"/>
    <w:rsid w:val="0093369C"/>
    <w:rsid w:val="00935A55"/>
    <w:rsid w:val="00941CEB"/>
    <w:rsid w:val="0094720F"/>
    <w:rsid w:val="00953B28"/>
    <w:rsid w:val="00954322"/>
    <w:rsid w:val="00957CAA"/>
    <w:rsid w:val="009658C2"/>
    <w:rsid w:val="0096778A"/>
    <w:rsid w:val="00970DC2"/>
    <w:rsid w:val="00977656"/>
    <w:rsid w:val="009846A7"/>
    <w:rsid w:val="0098794D"/>
    <w:rsid w:val="0099497B"/>
    <w:rsid w:val="009A43BA"/>
    <w:rsid w:val="009B0D05"/>
    <w:rsid w:val="009B4CA6"/>
    <w:rsid w:val="009B79F8"/>
    <w:rsid w:val="009C3BAA"/>
    <w:rsid w:val="009C66D5"/>
    <w:rsid w:val="009D13FD"/>
    <w:rsid w:val="009D266A"/>
    <w:rsid w:val="009F7E07"/>
    <w:rsid w:val="00A01522"/>
    <w:rsid w:val="00A10A11"/>
    <w:rsid w:val="00A13C6A"/>
    <w:rsid w:val="00A17B09"/>
    <w:rsid w:val="00A271EF"/>
    <w:rsid w:val="00A457C6"/>
    <w:rsid w:val="00A46AD0"/>
    <w:rsid w:val="00A47063"/>
    <w:rsid w:val="00A473A8"/>
    <w:rsid w:val="00A513F0"/>
    <w:rsid w:val="00A52CD0"/>
    <w:rsid w:val="00A61AC8"/>
    <w:rsid w:val="00A6366F"/>
    <w:rsid w:val="00A65D4C"/>
    <w:rsid w:val="00A70512"/>
    <w:rsid w:val="00AA1F60"/>
    <w:rsid w:val="00AA40D7"/>
    <w:rsid w:val="00AB1CAC"/>
    <w:rsid w:val="00AB5F7D"/>
    <w:rsid w:val="00AC0C50"/>
    <w:rsid w:val="00AC557F"/>
    <w:rsid w:val="00AC6FE2"/>
    <w:rsid w:val="00AE2153"/>
    <w:rsid w:val="00AF3925"/>
    <w:rsid w:val="00B007F2"/>
    <w:rsid w:val="00B1296B"/>
    <w:rsid w:val="00B2292F"/>
    <w:rsid w:val="00B3671C"/>
    <w:rsid w:val="00B377B9"/>
    <w:rsid w:val="00B43169"/>
    <w:rsid w:val="00B501A8"/>
    <w:rsid w:val="00B55AE4"/>
    <w:rsid w:val="00B70B46"/>
    <w:rsid w:val="00B739B0"/>
    <w:rsid w:val="00B811DF"/>
    <w:rsid w:val="00B814A3"/>
    <w:rsid w:val="00B96114"/>
    <w:rsid w:val="00B96F38"/>
    <w:rsid w:val="00BB146C"/>
    <w:rsid w:val="00BC716B"/>
    <w:rsid w:val="00BD0E74"/>
    <w:rsid w:val="00BD5F8C"/>
    <w:rsid w:val="00BE07A4"/>
    <w:rsid w:val="00BE29DD"/>
    <w:rsid w:val="00BF0E31"/>
    <w:rsid w:val="00C066AF"/>
    <w:rsid w:val="00C10E06"/>
    <w:rsid w:val="00C122A9"/>
    <w:rsid w:val="00C145B8"/>
    <w:rsid w:val="00C15075"/>
    <w:rsid w:val="00C24295"/>
    <w:rsid w:val="00C2438F"/>
    <w:rsid w:val="00C31AF0"/>
    <w:rsid w:val="00C32562"/>
    <w:rsid w:val="00C32A7E"/>
    <w:rsid w:val="00C34F28"/>
    <w:rsid w:val="00C368DF"/>
    <w:rsid w:val="00C402A6"/>
    <w:rsid w:val="00C442C5"/>
    <w:rsid w:val="00C57B5C"/>
    <w:rsid w:val="00C57C7C"/>
    <w:rsid w:val="00C61049"/>
    <w:rsid w:val="00C63FFE"/>
    <w:rsid w:val="00C91EB6"/>
    <w:rsid w:val="00CA10B0"/>
    <w:rsid w:val="00CA2F8E"/>
    <w:rsid w:val="00CA3EE2"/>
    <w:rsid w:val="00CA5355"/>
    <w:rsid w:val="00CA7FD5"/>
    <w:rsid w:val="00CB3287"/>
    <w:rsid w:val="00CB33E2"/>
    <w:rsid w:val="00CB4E68"/>
    <w:rsid w:val="00CC2733"/>
    <w:rsid w:val="00CC4415"/>
    <w:rsid w:val="00CD0050"/>
    <w:rsid w:val="00CE7481"/>
    <w:rsid w:val="00CF0A8F"/>
    <w:rsid w:val="00D048CE"/>
    <w:rsid w:val="00D10998"/>
    <w:rsid w:val="00D15CBD"/>
    <w:rsid w:val="00D221CB"/>
    <w:rsid w:val="00D22A53"/>
    <w:rsid w:val="00D23391"/>
    <w:rsid w:val="00D25014"/>
    <w:rsid w:val="00D31805"/>
    <w:rsid w:val="00D552B9"/>
    <w:rsid w:val="00D735B2"/>
    <w:rsid w:val="00D74021"/>
    <w:rsid w:val="00D755D2"/>
    <w:rsid w:val="00D758C3"/>
    <w:rsid w:val="00D76D01"/>
    <w:rsid w:val="00D80710"/>
    <w:rsid w:val="00D922A9"/>
    <w:rsid w:val="00D9394A"/>
    <w:rsid w:val="00DA6AC2"/>
    <w:rsid w:val="00DB0CBB"/>
    <w:rsid w:val="00DB67CC"/>
    <w:rsid w:val="00DC3783"/>
    <w:rsid w:val="00DC7B44"/>
    <w:rsid w:val="00DE1070"/>
    <w:rsid w:val="00E00219"/>
    <w:rsid w:val="00E0316B"/>
    <w:rsid w:val="00E23B61"/>
    <w:rsid w:val="00E25DB0"/>
    <w:rsid w:val="00E25E10"/>
    <w:rsid w:val="00E50B41"/>
    <w:rsid w:val="00E5219B"/>
    <w:rsid w:val="00E52D07"/>
    <w:rsid w:val="00E5518B"/>
    <w:rsid w:val="00E56431"/>
    <w:rsid w:val="00E609FE"/>
    <w:rsid w:val="00E630BE"/>
    <w:rsid w:val="00E72CB3"/>
    <w:rsid w:val="00E75920"/>
    <w:rsid w:val="00E80C46"/>
    <w:rsid w:val="00E80D96"/>
    <w:rsid w:val="00E827AA"/>
    <w:rsid w:val="00E871FA"/>
    <w:rsid w:val="00E936A4"/>
    <w:rsid w:val="00E94C06"/>
    <w:rsid w:val="00E954BB"/>
    <w:rsid w:val="00EA0862"/>
    <w:rsid w:val="00EA45E7"/>
    <w:rsid w:val="00EB78E3"/>
    <w:rsid w:val="00EB7BE3"/>
    <w:rsid w:val="00EC1C4B"/>
    <w:rsid w:val="00EC735A"/>
    <w:rsid w:val="00ED4279"/>
    <w:rsid w:val="00ED4A77"/>
    <w:rsid w:val="00ED5F38"/>
    <w:rsid w:val="00EF27FE"/>
    <w:rsid w:val="00F07FB6"/>
    <w:rsid w:val="00F149D0"/>
    <w:rsid w:val="00F16B53"/>
    <w:rsid w:val="00F21075"/>
    <w:rsid w:val="00F25ECD"/>
    <w:rsid w:val="00F318BE"/>
    <w:rsid w:val="00F33297"/>
    <w:rsid w:val="00F343FB"/>
    <w:rsid w:val="00F359FE"/>
    <w:rsid w:val="00F42159"/>
    <w:rsid w:val="00F4256E"/>
    <w:rsid w:val="00F42EE1"/>
    <w:rsid w:val="00F52897"/>
    <w:rsid w:val="00F60F1F"/>
    <w:rsid w:val="00F64141"/>
    <w:rsid w:val="00F67508"/>
    <w:rsid w:val="00F71FC9"/>
    <w:rsid w:val="00F73B48"/>
    <w:rsid w:val="00F7460B"/>
    <w:rsid w:val="00F74F51"/>
    <w:rsid w:val="00F76C41"/>
    <w:rsid w:val="00F842AD"/>
    <w:rsid w:val="00F914EB"/>
    <w:rsid w:val="00F91B85"/>
    <w:rsid w:val="00F938E7"/>
    <w:rsid w:val="00FA3B17"/>
    <w:rsid w:val="00FA5E8D"/>
    <w:rsid w:val="00FA5F3D"/>
    <w:rsid w:val="00FB2050"/>
    <w:rsid w:val="00FB399E"/>
    <w:rsid w:val="00FB4F22"/>
    <w:rsid w:val="00FB7F50"/>
    <w:rsid w:val="00FC2A85"/>
    <w:rsid w:val="00FC40AF"/>
    <w:rsid w:val="00FC73B9"/>
    <w:rsid w:val="00FD0A16"/>
    <w:rsid w:val="00FD169A"/>
    <w:rsid w:val="00FE3D7D"/>
    <w:rsid w:val="00FE68C9"/>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05D"/>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C242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25/27/145/&#1605;&#1601;&#1586;&#1593;" TargetMode="External"/><Relationship Id="rId2" Type="http://schemas.openxmlformats.org/officeDocument/2006/relationships/hyperlink" Target="http://lib.eshia.ir/12008/1/300/&#1601;&#1604;&#1604;&#1593;&#1608;&#1575;&#1605;%20" TargetMode="External"/><Relationship Id="rId1" Type="http://schemas.openxmlformats.org/officeDocument/2006/relationships/hyperlink" Target="http://lib.eshia.ir/11025/27/145/&#1605;&#1601;&#1586;&#159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B923A-62AE-47EA-AD66-21CEDF889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259</TotalTime>
  <Pages>7</Pages>
  <Words>1833</Words>
  <Characters>10454</Characters>
  <Application>Microsoft Office Word</Application>
  <DocSecurity>0</DocSecurity>
  <Lines>87</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12263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14</cp:revision>
  <dcterms:created xsi:type="dcterms:W3CDTF">2019-09-23T04:54:00Z</dcterms:created>
  <dcterms:modified xsi:type="dcterms:W3CDTF">2019-09-23T10:29:00Z</dcterms:modified>
  <cp:contentStatus>ویرایش 2.5</cp:contentStatus>
  <cp:version>2.7</cp:version>
</cp:coreProperties>
</file>