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50B" w:rsidRDefault="00783473" w:rsidP="00844627">
      <w:pPr>
        <w:jc w:val="both"/>
        <w:rPr>
          <w:rtl/>
        </w:rPr>
      </w:pPr>
      <w:r>
        <w:rPr>
          <w:rFonts w:hint="cs"/>
          <w:noProof/>
          <w:rtl/>
          <w:lang w:bidi="ar-SA"/>
        </w:rPr>
        <w:drawing>
          <wp:inline distT="0" distB="0" distL="0" distR="0" wp14:anchorId="344F2EB9" wp14:editId="5CC051E3">
            <wp:extent cx="723899" cy="24130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m.PNG"/>
                    <pic:cNvPicPr/>
                  </pic:nvPicPr>
                  <pic:blipFill>
                    <a:blip r:embed="rId8">
                      <a:extLst>
                        <a:ext uri="{28A0092B-C50C-407E-A947-70E740481C1C}">
                          <a14:useLocalDpi xmlns:a14="http://schemas.microsoft.com/office/drawing/2010/main" val="0"/>
                        </a:ext>
                      </a:extLst>
                    </a:blip>
                    <a:stretch>
                      <a:fillRect/>
                    </a:stretch>
                  </pic:blipFill>
                  <pic:spPr>
                    <a:xfrm>
                      <a:off x="0" y="0"/>
                      <a:ext cx="769508" cy="256503"/>
                    </a:xfrm>
                    <a:prstGeom prst="rect">
                      <a:avLst/>
                    </a:prstGeom>
                  </pic:spPr>
                </pic:pic>
              </a:graphicData>
            </a:graphic>
          </wp:inline>
        </w:drawing>
      </w:r>
    </w:p>
    <w:sdt>
      <w:sdtPr>
        <w:rPr>
          <w:rFonts w:cs="B Badr"/>
          <w:color w:val="auto"/>
          <w:szCs w:val="28"/>
          <w:rtl/>
        </w:rPr>
        <w:id w:val="1445116916"/>
        <w:docPartObj>
          <w:docPartGallery w:val="Table of Contents"/>
          <w:docPartUnique/>
        </w:docPartObj>
      </w:sdtPr>
      <w:sdtEndPr>
        <w:rPr>
          <w:rFonts w:asciiTheme="majorHAnsi" w:eastAsiaTheme="majorEastAsia" w:hAnsiTheme="majorHAnsi" w:cstheme="majorBidi"/>
          <w:b/>
          <w:noProof/>
          <w:color w:val="365F91" w:themeColor="accent1" w:themeShade="BF"/>
          <w:sz w:val="32"/>
          <w:szCs w:val="32"/>
          <w:lang w:bidi="ar-SA"/>
        </w:rPr>
      </w:sdtEndPr>
      <w:sdtContent>
        <w:p w:rsidR="00475EC6" w:rsidRDefault="00475EC6" w:rsidP="00475EC6">
          <w:pPr>
            <w:pStyle w:val="TOC2"/>
            <w:tabs>
              <w:tab w:val="right" w:leader="dot" w:pos="10194"/>
            </w:tabs>
            <w:rPr>
              <w:rFonts w:asciiTheme="minorHAnsi" w:eastAsiaTheme="minorEastAsia" w:hAnsiTheme="minorHAnsi" w:cstheme="minorBidi"/>
              <w:bCs w:val="0"/>
              <w:noProof/>
              <w:color w:val="auto"/>
              <w:szCs w:val="22"/>
              <w:rtl/>
              <w:lang w:bidi="ar-SA"/>
            </w:rPr>
          </w:pPr>
          <w:r>
            <w:rPr>
              <w:rFonts w:cs="B Badr"/>
              <w:color w:val="auto"/>
              <w:szCs w:val="28"/>
              <w:rtl/>
            </w:rPr>
            <w:fldChar w:fldCharType="begin"/>
          </w:r>
          <w:r>
            <w:rPr>
              <w:rFonts w:cs="B Badr"/>
              <w:color w:val="auto"/>
              <w:szCs w:val="28"/>
              <w:rtl/>
            </w:rPr>
            <w:instrText xml:space="preserve"> </w:instrText>
          </w:r>
          <w:r>
            <w:rPr>
              <w:rFonts w:cs="B Badr"/>
              <w:color w:val="auto"/>
              <w:szCs w:val="28"/>
            </w:rPr>
            <w:instrText xml:space="preserve">TOC </w:instrText>
          </w:r>
          <w:r>
            <w:rPr>
              <w:rFonts w:cs="B Badr"/>
              <w:color w:val="auto"/>
              <w:szCs w:val="28"/>
              <w:rtl/>
            </w:rPr>
            <w:instrText>\</w:instrText>
          </w:r>
          <w:r>
            <w:rPr>
              <w:rFonts w:cs="B Badr"/>
              <w:color w:val="auto"/>
              <w:szCs w:val="28"/>
            </w:rPr>
            <w:instrText>o "1-9" \h \z \u</w:instrText>
          </w:r>
          <w:r>
            <w:rPr>
              <w:rFonts w:cs="B Badr"/>
              <w:color w:val="auto"/>
              <w:szCs w:val="28"/>
              <w:rtl/>
            </w:rPr>
            <w:instrText xml:space="preserve"> </w:instrText>
          </w:r>
          <w:r>
            <w:rPr>
              <w:rFonts w:cs="B Badr"/>
              <w:color w:val="auto"/>
              <w:szCs w:val="28"/>
              <w:rtl/>
            </w:rPr>
            <w:fldChar w:fldCharType="separate"/>
          </w:r>
          <w:hyperlink w:anchor="_Toc83127908" w:history="1">
            <w:r w:rsidRPr="000379CC">
              <w:rPr>
                <w:rStyle w:val="Hyperlink"/>
                <w:noProof/>
                <w:rtl/>
              </w:rPr>
              <w:t>بررس</w:t>
            </w:r>
            <w:r w:rsidRPr="000379CC">
              <w:rPr>
                <w:rStyle w:val="Hyperlink"/>
                <w:rFonts w:hint="cs"/>
                <w:noProof/>
                <w:rtl/>
              </w:rPr>
              <w:t>ی</w:t>
            </w:r>
            <w:r w:rsidRPr="000379CC">
              <w:rPr>
                <w:rStyle w:val="Hyperlink"/>
                <w:noProof/>
                <w:rtl/>
              </w:rPr>
              <w:t xml:space="preserve"> مسئله عجز از انتصاب</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Toc83127908 \h</w:instrText>
            </w:r>
            <w:r>
              <w:rPr>
                <w:noProof/>
                <w:webHidden/>
                <w:rtl/>
              </w:rPr>
              <w:instrText xml:space="preserve"> </w:instrText>
            </w:r>
            <w:r>
              <w:rPr>
                <w:noProof/>
                <w:webHidden/>
                <w:rtl/>
              </w:rPr>
            </w:r>
            <w:r>
              <w:rPr>
                <w:noProof/>
                <w:webHidden/>
                <w:rtl/>
              </w:rPr>
              <w:fldChar w:fldCharType="separate"/>
            </w:r>
            <w:r w:rsidR="005F3D39">
              <w:rPr>
                <w:noProof/>
                <w:webHidden/>
                <w:rtl/>
              </w:rPr>
              <w:t>1</w:t>
            </w:r>
            <w:r>
              <w:rPr>
                <w:noProof/>
                <w:webHidden/>
                <w:rtl/>
              </w:rPr>
              <w:fldChar w:fldCharType="end"/>
            </w:r>
          </w:hyperlink>
        </w:p>
        <w:p w:rsidR="00475EC6" w:rsidRDefault="00475EC6" w:rsidP="00475EC6">
          <w:pPr>
            <w:pStyle w:val="TOC3"/>
            <w:tabs>
              <w:tab w:val="right" w:leader="dot" w:pos="10194"/>
            </w:tabs>
            <w:rPr>
              <w:rFonts w:asciiTheme="minorHAnsi" w:eastAsiaTheme="minorEastAsia" w:hAnsiTheme="minorHAnsi" w:cstheme="minorBidi"/>
              <w:bCs w:val="0"/>
              <w:iCs w:val="0"/>
              <w:noProof/>
              <w:color w:val="auto"/>
              <w:szCs w:val="22"/>
              <w:rtl/>
              <w:lang w:bidi="ar-SA"/>
            </w:rPr>
          </w:pPr>
          <w:hyperlink w:anchor="_Toc83127909" w:history="1">
            <w:r w:rsidRPr="000379CC">
              <w:rPr>
                <w:rStyle w:val="Hyperlink"/>
                <w:noProof/>
                <w:rtl/>
              </w:rPr>
              <w:t>فرض دوران ب</w:t>
            </w:r>
            <w:r w:rsidRPr="000379CC">
              <w:rPr>
                <w:rStyle w:val="Hyperlink"/>
                <w:rFonts w:hint="cs"/>
                <w:noProof/>
                <w:rtl/>
              </w:rPr>
              <w:t>ی</w:t>
            </w:r>
            <w:r w:rsidRPr="000379CC">
              <w:rPr>
                <w:rStyle w:val="Hyperlink"/>
                <w:rFonts w:hint="eastAsia"/>
                <w:noProof/>
                <w:rtl/>
              </w:rPr>
              <w:t>ن</w:t>
            </w:r>
            <w:r w:rsidRPr="000379CC">
              <w:rPr>
                <w:rStyle w:val="Hyperlink"/>
                <w:noProof/>
                <w:rtl/>
              </w:rPr>
              <w:t xml:space="preserve"> ق</w:t>
            </w:r>
            <w:r w:rsidRPr="000379CC">
              <w:rPr>
                <w:rStyle w:val="Hyperlink"/>
                <w:rFonts w:hint="cs"/>
                <w:noProof/>
                <w:rtl/>
              </w:rPr>
              <w:t>ی</w:t>
            </w:r>
            <w:r w:rsidRPr="000379CC">
              <w:rPr>
                <w:rStyle w:val="Hyperlink"/>
                <w:rFonts w:hint="eastAsia"/>
                <w:noProof/>
                <w:rtl/>
              </w:rPr>
              <w:t>ام</w:t>
            </w:r>
            <w:r w:rsidRPr="000379CC">
              <w:rPr>
                <w:rStyle w:val="Hyperlink"/>
                <w:noProof/>
                <w:rtl/>
              </w:rPr>
              <w:t xml:space="preserve"> بدون انتصاب و جلوس با انتصاب</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Toc83127909 \h</w:instrText>
            </w:r>
            <w:r>
              <w:rPr>
                <w:noProof/>
                <w:webHidden/>
                <w:rtl/>
              </w:rPr>
              <w:instrText xml:space="preserve"> </w:instrText>
            </w:r>
            <w:r>
              <w:rPr>
                <w:noProof/>
                <w:webHidden/>
                <w:rtl/>
              </w:rPr>
            </w:r>
            <w:r>
              <w:rPr>
                <w:noProof/>
                <w:webHidden/>
                <w:rtl/>
              </w:rPr>
              <w:fldChar w:fldCharType="separate"/>
            </w:r>
            <w:r w:rsidR="005F3D39">
              <w:rPr>
                <w:noProof/>
                <w:webHidden/>
                <w:rtl/>
              </w:rPr>
              <w:t>2</w:t>
            </w:r>
            <w:r>
              <w:rPr>
                <w:noProof/>
                <w:webHidden/>
                <w:rtl/>
              </w:rPr>
              <w:fldChar w:fldCharType="end"/>
            </w:r>
          </w:hyperlink>
        </w:p>
        <w:p w:rsidR="00475EC6" w:rsidRDefault="00475EC6" w:rsidP="00475EC6">
          <w:pPr>
            <w:pStyle w:val="TOC2"/>
            <w:tabs>
              <w:tab w:val="right" w:leader="dot" w:pos="10194"/>
            </w:tabs>
            <w:rPr>
              <w:rFonts w:asciiTheme="minorHAnsi" w:eastAsiaTheme="minorEastAsia" w:hAnsiTheme="minorHAnsi" w:cstheme="minorBidi"/>
              <w:bCs w:val="0"/>
              <w:noProof/>
              <w:color w:val="auto"/>
              <w:szCs w:val="22"/>
              <w:rtl/>
              <w:lang w:bidi="ar-SA"/>
            </w:rPr>
          </w:pPr>
          <w:hyperlink w:anchor="_Toc83127910" w:history="1">
            <w:r w:rsidRPr="000379CC">
              <w:rPr>
                <w:rStyle w:val="Hyperlink"/>
                <w:noProof/>
                <w:rtl/>
              </w:rPr>
              <w:t>استقرار و استقلال در فرض عجز</w:t>
            </w:r>
            <w:bookmarkStart w:id="0" w:name="_GoBack"/>
            <w:bookmarkEnd w:id="0"/>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Toc83127910 \h</w:instrText>
            </w:r>
            <w:r>
              <w:rPr>
                <w:noProof/>
                <w:webHidden/>
                <w:rtl/>
              </w:rPr>
              <w:instrText xml:space="preserve"> </w:instrText>
            </w:r>
            <w:r>
              <w:rPr>
                <w:noProof/>
                <w:webHidden/>
                <w:rtl/>
              </w:rPr>
            </w:r>
            <w:r>
              <w:rPr>
                <w:noProof/>
                <w:webHidden/>
                <w:rtl/>
              </w:rPr>
              <w:fldChar w:fldCharType="separate"/>
            </w:r>
            <w:r w:rsidR="005F3D39">
              <w:rPr>
                <w:noProof/>
                <w:webHidden/>
                <w:rtl/>
              </w:rPr>
              <w:t>3</w:t>
            </w:r>
            <w:r>
              <w:rPr>
                <w:noProof/>
                <w:webHidden/>
                <w:rtl/>
              </w:rPr>
              <w:fldChar w:fldCharType="end"/>
            </w:r>
          </w:hyperlink>
        </w:p>
        <w:p w:rsidR="00475EC6" w:rsidRDefault="00475EC6" w:rsidP="00475EC6">
          <w:pPr>
            <w:pStyle w:val="TOC2"/>
            <w:tabs>
              <w:tab w:val="right" w:leader="dot" w:pos="10194"/>
            </w:tabs>
            <w:rPr>
              <w:rFonts w:asciiTheme="minorHAnsi" w:eastAsiaTheme="minorEastAsia" w:hAnsiTheme="minorHAnsi" w:cstheme="minorBidi"/>
              <w:bCs w:val="0"/>
              <w:noProof/>
              <w:color w:val="auto"/>
              <w:szCs w:val="22"/>
              <w:rtl/>
              <w:lang w:bidi="ar-SA"/>
            </w:rPr>
          </w:pPr>
          <w:hyperlink w:anchor="_Toc83127911" w:history="1">
            <w:r w:rsidRPr="000379CC">
              <w:rPr>
                <w:rStyle w:val="Hyperlink"/>
                <w:noProof/>
                <w:rtl/>
              </w:rPr>
              <w:t>تفر</w:t>
            </w:r>
            <w:r w:rsidRPr="000379CC">
              <w:rPr>
                <w:rStyle w:val="Hyperlink"/>
                <w:rFonts w:hint="cs"/>
                <w:noProof/>
                <w:rtl/>
              </w:rPr>
              <w:t>ی</w:t>
            </w:r>
            <w:r w:rsidRPr="000379CC">
              <w:rPr>
                <w:rStyle w:val="Hyperlink"/>
                <w:rFonts w:hint="eastAsia"/>
                <w:noProof/>
                <w:rtl/>
              </w:rPr>
              <w:t>ج</w:t>
            </w:r>
            <w:r w:rsidRPr="000379CC">
              <w:rPr>
                <w:rStyle w:val="Hyperlink"/>
                <w:noProof/>
                <w:rtl/>
              </w:rPr>
              <w:t xml:space="preserve"> فاحش ب</w:t>
            </w:r>
            <w:r w:rsidRPr="000379CC">
              <w:rPr>
                <w:rStyle w:val="Hyperlink"/>
                <w:rFonts w:hint="cs"/>
                <w:noProof/>
                <w:rtl/>
              </w:rPr>
              <w:t>ی</w:t>
            </w:r>
            <w:r w:rsidRPr="000379CC">
              <w:rPr>
                <w:rStyle w:val="Hyperlink"/>
                <w:rFonts w:hint="eastAsia"/>
                <w:noProof/>
                <w:rtl/>
              </w:rPr>
              <w:t>ن</w:t>
            </w:r>
            <w:r w:rsidRPr="000379CC">
              <w:rPr>
                <w:rStyle w:val="Hyperlink"/>
                <w:noProof/>
                <w:rtl/>
              </w:rPr>
              <w:t xml:space="preserve"> القدم</w:t>
            </w:r>
            <w:r w:rsidRPr="000379CC">
              <w:rPr>
                <w:rStyle w:val="Hyperlink"/>
                <w:rFonts w:hint="cs"/>
                <w:noProof/>
                <w:rtl/>
              </w:rPr>
              <w:t>ی</w:t>
            </w:r>
            <w:r w:rsidRPr="000379CC">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Toc83127911 \h</w:instrText>
            </w:r>
            <w:r>
              <w:rPr>
                <w:noProof/>
                <w:webHidden/>
                <w:rtl/>
              </w:rPr>
              <w:instrText xml:space="preserve"> </w:instrText>
            </w:r>
            <w:r>
              <w:rPr>
                <w:noProof/>
                <w:webHidden/>
                <w:rtl/>
              </w:rPr>
            </w:r>
            <w:r>
              <w:rPr>
                <w:noProof/>
                <w:webHidden/>
                <w:rtl/>
              </w:rPr>
              <w:fldChar w:fldCharType="separate"/>
            </w:r>
            <w:r w:rsidR="005F3D39">
              <w:rPr>
                <w:noProof/>
                <w:webHidden/>
                <w:rtl/>
              </w:rPr>
              <w:t>3</w:t>
            </w:r>
            <w:r>
              <w:rPr>
                <w:noProof/>
                <w:webHidden/>
                <w:rtl/>
              </w:rPr>
              <w:fldChar w:fldCharType="end"/>
            </w:r>
          </w:hyperlink>
        </w:p>
        <w:p w:rsidR="00475EC6" w:rsidRDefault="00475EC6" w:rsidP="00475EC6">
          <w:pPr>
            <w:pStyle w:val="TOC3"/>
            <w:tabs>
              <w:tab w:val="right" w:leader="dot" w:pos="10194"/>
            </w:tabs>
            <w:rPr>
              <w:rFonts w:asciiTheme="minorHAnsi" w:eastAsiaTheme="minorEastAsia" w:hAnsiTheme="minorHAnsi" w:cstheme="minorBidi"/>
              <w:bCs w:val="0"/>
              <w:iCs w:val="0"/>
              <w:noProof/>
              <w:color w:val="auto"/>
              <w:szCs w:val="22"/>
              <w:rtl/>
              <w:lang w:bidi="ar-SA"/>
            </w:rPr>
          </w:pPr>
          <w:hyperlink w:anchor="_Toc83127912" w:history="1">
            <w:r w:rsidRPr="000379CC">
              <w:rPr>
                <w:rStyle w:val="Hyperlink"/>
                <w:noProof/>
                <w:rtl/>
              </w:rPr>
              <w:t>فرما</w:t>
            </w:r>
            <w:r w:rsidRPr="000379CC">
              <w:rPr>
                <w:rStyle w:val="Hyperlink"/>
                <w:rFonts w:hint="cs"/>
                <w:noProof/>
                <w:rtl/>
              </w:rPr>
              <w:t>ی</w:t>
            </w:r>
            <w:r w:rsidRPr="000379CC">
              <w:rPr>
                <w:rStyle w:val="Hyperlink"/>
                <w:rFonts w:hint="eastAsia"/>
                <w:noProof/>
                <w:rtl/>
              </w:rPr>
              <w:t>ش</w:t>
            </w:r>
            <w:r w:rsidRPr="000379CC">
              <w:rPr>
                <w:rStyle w:val="Hyperlink"/>
                <w:noProof/>
                <w:rtl/>
              </w:rPr>
              <w:t xml:space="preserve"> برخ</w:t>
            </w:r>
            <w:r w:rsidRPr="000379CC">
              <w:rPr>
                <w:rStyle w:val="Hyperlink"/>
                <w:rFonts w:hint="cs"/>
                <w:noProof/>
                <w:rtl/>
              </w:rPr>
              <w:t>ی</w:t>
            </w:r>
            <w:r w:rsidRPr="000379CC">
              <w:rPr>
                <w:rStyle w:val="Hyperlink"/>
                <w:noProof/>
                <w:rtl/>
              </w:rPr>
              <w:t xml:space="preserve"> بزرگان مبن</w:t>
            </w:r>
            <w:r w:rsidRPr="000379CC">
              <w:rPr>
                <w:rStyle w:val="Hyperlink"/>
                <w:rFonts w:hint="cs"/>
                <w:noProof/>
                <w:rtl/>
              </w:rPr>
              <w:t>ی</w:t>
            </w:r>
            <w:r w:rsidRPr="000379CC">
              <w:rPr>
                <w:rStyle w:val="Hyperlink"/>
                <w:noProof/>
                <w:rtl/>
              </w:rPr>
              <w:t xml:space="preserve"> بر عدم جواز تفر</w:t>
            </w:r>
            <w:r w:rsidRPr="000379CC">
              <w:rPr>
                <w:rStyle w:val="Hyperlink"/>
                <w:rFonts w:hint="cs"/>
                <w:noProof/>
                <w:rtl/>
              </w:rPr>
              <w:t>ی</w:t>
            </w:r>
            <w:r w:rsidRPr="000379CC">
              <w:rPr>
                <w:rStyle w:val="Hyperlink"/>
                <w:rFonts w:hint="eastAsia"/>
                <w:noProof/>
                <w:rtl/>
              </w:rPr>
              <w:t>ج</w:t>
            </w:r>
            <w:r w:rsidRPr="000379CC">
              <w:rPr>
                <w:rStyle w:val="Hyperlink"/>
                <w:noProof/>
                <w:rtl/>
              </w:rPr>
              <w:t xml:space="preserve"> فاحش</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Toc83127912 \h</w:instrText>
            </w:r>
            <w:r>
              <w:rPr>
                <w:noProof/>
                <w:webHidden/>
                <w:rtl/>
              </w:rPr>
              <w:instrText xml:space="preserve"> </w:instrText>
            </w:r>
            <w:r>
              <w:rPr>
                <w:noProof/>
                <w:webHidden/>
                <w:rtl/>
              </w:rPr>
            </w:r>
            <w:r>
              <w:rPr>
                <w:noProof/>
                <w:webHidden/>
                <w:rtl/>
              </w:rPr>
              <w:fldChar w:fldCharType="separate"/>
            </w:r>
            <w:r w:rsidR="005F3D39">
              <w:rPr>
                <w:noProof/>
                <w:webHidden/>
                <w:rtl/>
              </w:rPr>
              <w:t>4</w:t>
            </w:r>
            <w:r>
              <w:rPr>
                <w:noProof/>
                <w:webHidden/>
                <w:rtl/>
              </w:rPr>
              <w:fldChar w:fldCharType="end"/>
            </w:r>
          </w:hyperlink>
        </w:p>
        <w:p w:rsidR="00475EC6" w:rsidRDefault="00475EC6" w:rsidP="00475EC6">
          <w:pPr>
            <w:pStyle w:val="TOC2"/>
            <w:tabs>
              <w:tab w:val="right" w:leader="dot" w:pos="10194"/>
            </w:tabs>
            <w:rPr>
              <w:rFonts w:asciiTheme="minorHAnsi" w:eastAsiaTheme="minorEastAsia" w:hAnsiTheme="minorHAnsi" w:cstheme="minorBidi"/>
              <w:bCs w:val="0"/>
              <w:noProof/>
              <w:color w:val="auto"/>
              <w:szCs w:val="22"/>
              <w:rtl/>
              <w:lang w:bidi="ar-SA"/>
            </w:rPr>
          </w:pPr>
          <w:hyperlink w:anchor="_Toc83127913" w:history="1">
            <w:r w:rsidRPr="000379CC">
              <w:rPr>
                <w:rStyle w:val="Hyperlink"/>
                <w:noProof/>
                <w:rtl/>
              </w:rPr>
              <w:t>ا</w:t>
            </w:r>
            <w:r w:rsidRPr="000379CC">
              <w:rPr>
                <w:rStyle w:val="Hyperlink"/>
                <w:rFonts w:hint="cs"/>
                <w:noProof/>
                <w:rtl/>
              </w:rPr>
              <w:t>ی</w:t>
            </w:r>
            <w:r w:rsidRPr="000379CC">
              <w:rPr>
                <w:rStyle w:val="Hyperlink"/>
                <w:rFonts w:hint="eastAsia"/>
                <w:noProof/>
                <w:rtl/>
              </w:rPr>
              <w:t>ستادن</w:t>
            </w:r>
            <w:r w:rsidRPr="000379CC">
              <w:rPr>
                <w:rStyle w:val="Hyperlink"/>
                <w:noProof/>
                <w:rtl/>
              </w:rPr>
              <w:t xml:space="preserve"> رو</w:t>
            </w:r>
            <w:r w:rsidRPr="000379CC">
              <w:rPr>
                <w:rStyle w:val="Hyperlink"/>
                <w:rFonts w:hint="cs"/>
                <w:noProof/>
                <w:rtl/>
              </w:rPr>
              <w:t>ی</w:t>
            </w:r>
            <w:r w:rsidRPr="000379CC">
              <w:rPr>
                <w:rStyle w:val="Hyperlink"/>
                <w:noProof/>
                <w:rtl/>
              </w:rPr>
              <w:t xml:space="preserve"> انگشتان </w:t>
            </w:r>
            <w:r w:rsidRPr="000379CC">
              <w:rPr>
                <w:rStyle w:val="Hyperlink"/>
                <w:rFonts w:hint="cs"/>
                <w:noProof/>
                <w:rtl/>
              </w:rPr>
              <w:t>ی</w:t>
            </w:r>
            <w:r w:rsidRPr="000379CC">
              <w:rPr>
                <w:rStyle w:val="Hyperlink"/>
                <w:rFonts w:hint="eastAsia"/>
                <w:noProof/>
                <w:rtl/>
              </w:rPr>
              <w:t>ا</w:t>
            </w:r>
            <w:r w:rsidRPr="000379CC">
              <w:rPr>
                <w:rStyle w:val="Hyperlink"/>
                <w:noProof/>
                <w:rtl/>
              </w:rPr>
              <w:t xml:space="preserve"> پاشنه پا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Toc83127913 \h</w:instrText>
            </w:r>
            <w:r>
              <w:rPr>
                <w:noProof/>
                <w:webHidden/>
                <w:rtl/>
              </w:rPr>
              <w:instrText xml:space="preserve"> </w:instrText>
            </w:r>
            <w:r>
              <w:rPr>
                <w:noProof/>
                <w:webHidden/>
                <w:rtl/>
              </w:rPr>
            </w:r>
            <w:r>
              <w:rPr>
                <w:noProof/>
                <w:webHidden/>
                <w:rtl/>
              </w:rPr>
              <w:fldChar w:fldCharType="separate"/>
            </w:r>
            <w:r w:rsidR="005F3D39">
              <w:rPr>
                <w:noProof/>
                <w:webHidden/>
                <w:rtl/>
              </w:rPr>
              <w:t>5</w:t>
            </w:r>
            <w:r>
              <w:rPr>
                <w:noProof/>
                <w:webHidden/>
                <w:rtl/>
              </w:rPr>
              <w:fldChar w:fldCharType="end"/>
            </w:r>
          </w:hyperlink>
        </w:p>
        <w:p w:rsidR="00475EC6" w:rsidRDefault="00475EC6" w:rsidP="00475EC6">
          <w:pPr>
            <w:pStyle w:val="TOC1"/>
            <w:rPr>
              <w:rFonts w:asciiTheme="minorHAnsi" w:eastAsiaTheme="minorEastAsia" w:hAnsiTheme="minorHAnsi" w:cstheme="minorBidi"/>
              <w:noProof/>
              <w:color w:val="auto"/>
              <w:szCs w:val="22"/>
              <w:rtl/>
              <w:lang w:bidi="ar-SA"/>
            </w:rPr>
          </w:pPr>
          <w:hyperlink w:anchor="_Toc83127914" w:history="1">
            <w:r w:rsidRPr="000379CC">
              <w:rPr>
                <w:rStyle w:val="Hyperlink"/>
                <w:noProof/>
                <w:rtl/>
              </w:rPr>
              <w:t>مسئله 9: خم نکردن گردن در نماز (انتصاب العنق)</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Toc83127914 \h</w:instrText>
            </w:r>
            <w:r>
              <w:rPr>
                <w:noProof/>
                <w:webHidden/>
                <w:rtl/>
              </w:rPr>
              <w:instrText xml:space="preserve"> </w:instrText>
            </w:r>
            <w:r>
              <w:rPr>
                <w:noProof/>
                <w:webHidden/>
                <w:rtl/>
              </w:rPr>
            </w:r>
            <w:r>
              <w:rPr>
                <w:noProof/>
                <w:webHidden/>
                <w:rtl/>
              </w:rPr>
              <w:fldChar w:fldCharType="separate"/>
            </w:r>
            <w:r w:rsidR="005F3D39">
              <w:rPr>
                <w:noProof/>
                <w:webHidden/>
                <w:rtl/>
              </w:rPr>
              <w:t>6</w:t>
            </w:r>
            <w:r>
              <w:rPr>
                <w:noProof/>
                <w:webHidden/>
                <w:rtl/>
              </w:rPr>
              <w:fldChar w:fldCharType="end"/>
            </w:r>
          </w:hyperlink>
        </w:p>
        <w:p w:rsidR="00475EC6" w:rsidRDefault="00475EC6" w:rsidP="00475EC6">
          <w:pPr>
            <w:pStyle w:val="TOC1"/>
            <w:rPr>
              <w:rFonts w:asciiTheme="minorHAnsi" w:eastAsiaTheme="minorEastAsia" w:hAnsiTheme="minorHAnsi" w:cstheme="minorBidi"/>
              <w:noProof/>
              <w:color w:val="auto"/>
              <w:szCs w:val="22"/>
              <w:rtl/>
              <w:lang w:bidi="ar-SA"/>
            </w:rPr>
          </w:pPr>
          <w:hyperlink w:anchor="_Toc83127915" w:history="1">
            <w:r w:rsidRPr="000379CC">
              <w:rPr>
                <w:rStyle w:val="Hyperlink"/>
                <w:noProof/>
                <w:rtl/>
              </w:rPr>
              <w:t>مسئله 10: ترک سهو</w:t>
            </w:r>
            <w:r w:rsidRPr="000379CC">
              <w:rPr>
                <w:rStyle w:val="Hyperlink"/>
                <w:rFonts w:hint="cs"/>
                <w:noProof/>
                <w:rtl/>
              </w:rPr>
              <w:t>ی</w:t>
            </w:r>
            <w:r w:rsidRPr="000379CC">
              <w:rPr>
                <w:rStyle w:val="Hyperlink"/>
                <w:noProof/>
                <w:rtl/>
              </w:rPr>
              <w:t xml:space="preserve"> شرا</w:t>
            </w:r>
            <w:r w:rsidRPr="000379CC">
              <w:rPr>
                <w:rStyle w:val="Hyperlink"/>
                <w:rFonts w:hint="cs"/>
                <w:noProof/>
                <w:rtl/>
              </w:rPr>
              <w:t>ی</w:t>
            </w:r>
            <w:r w:rsidRPr="000379CC">
              <w:rPr>
                <w:rStyle w:val="Hyperlink"/>
                <w:rFonts w:hint="eastAsia"/>
                <w:noProof/>
                <w:rtl/>
              </w:rPr>
              <w:t>ط</w:t>
            </w:r>
            <w:r w:rsidRPr="000379CC">
              <w:rPr>
                <w:rStyle w:val="Hyperlink"/>
                <w:noProof/>
                <w:rtl/>
              </w:rPr>
              <w:t xml:space="preserve"> ق</w:t>
            </w:r>
            <w:r w:rsidRPr="000379CC">
              <w:rPr>
                <w:rStyle w:val="Hyperlink"/>
                <w:rFonts w:hint="cs"/>
                <w:noProof/>
                <w:rtl/>
              </w:rPr>
              <w:t>ی</w:t>
            </w:r>
            <w:r w:rsidRPr="000379CC">
              <w:rPr>
                <w:rStyle w:val="Hyperlink"/>
                <w:rFonts w:hint="eastAsia"/>
                <w:noProof/>
                <w:rtl/>
              </w:rPr>
              <w:t>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Toc83127915 \h</w:instrText>
            </w:r>
            <w:r>
              <w:rPr>
                <w:noProof/>
                <w:webHidden/>
                <w:rtl/>
              </w:rPr>
              <w:instrText xml:space="preserve"> </w:instrText>
            </w:r>
            <w:r>
              <w:rPr>
                <w:noProof/>
                <w:webHidden/>
                <w:rtl/>
              </w:rPr>
            </w:r>
            <w:r>
              <w:rPr>
                <w:noProof/>
                <w:webHidden/>
                <w:rtl/>
              </w:rPr>
              <w:fldChar w:fldCharType="separate"/>
            </w:r>
            <w:r w:rsidR="005F3D39">
              <w:rPr>
                <w:noProof/>
                <w:webHidden/>
                <w:rtl/>
              </w:rPr>
              <w:t>7</w:t>
            </w:r>
            <w:r>
              <w:rPr>
                <w:noProof/>
                <w:webHidden/>
                <w:rtl/>
              </w:rPr>
              <w:fldChar w:fldCharType="end"/>
            </w:r>
          </w:hyperlink>
        </w:p>
        <w:p w:rsidR="00475EC6" w:rsidRDefault="00475EC6" w:rsidP="00475EC6">
          <w:pPr>
            <w:pStyle w:val="TOC1"/>
            <w:rPr>
              <w:rFonts w:asciiTheme="minorHAnsi" w:eastAsiaTheme="minorEastAsia" w:hAnsiTheme="minorHAnsi" w:cstheme="minorBidi"/>
              <w:noProof/>
              <w:color w:val="auto"/>
              <w:szCs w:val="22"/>
              <w:rtl/>
              <w:lang w:bidi="ar-SA"/>
            </w:rPr>
          </w:pPr>
          <w:hyperlink w:anchor="_Toc83127916" w:history="1">
            <w:r w:rsidRPr="000379CC">
              <w:rPr>
                <w:rStyle w:val="Hyperlink"/>
                <w:noProof/>
                <w:rtl/>
              </w:rPr>
              <w:t>مسئله 11: عدم لزوم اعتماد بر هر دو پا به صورت مساو</w:t>
            </w:r>
            <w:r w:rsidRPr="000379C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Toc83127916 \h</w:instrText>
            </w:r>
            <w:r>
              <w:rPr>
                <w:noProof/>
                <w:webHidden/>
                <w:rtl/>
              </w:rPr>
              <w:instrText xml:space="preserve"> </w:instrText>
            </w:r>
            <w:r>
              <w:rPr>
                <w:noProof/>
                <w:webHidden/>
                <w:rtl/>
              </w:rPr>
            </w:r>
            <w:r>
              <w:rPr>
                <w:noProof/>
                <w:webHidden/>
                <w:rtl/>
              </w:rPr>
              <w:fldChar w:fldCharType="separate"/>
            </w:r>
            <w:r w:rsidR="005F3D39">
              <w:rPr>
                <w:noProof/>
                <w:webHidden/>
                <w:rtl/>
              </w:rPr>
              <w:t>8</w:t>
            </w:r>
            <w:r>
              <w:rPr>
                <w:noProof/>
                <w:webHidden/>
                <w:rtl/>
              </w:rPr>
              <w:fldChar w:fldCharType="end"/>
            </w:r>
          </w:hyperlink>
        </w:p>
        <w:p w:rsidR="00475EC6" w:rsidRDefault="00475EC6" w:rsidP="00475EC6">
          <w:pPr>
            <w:pStyle w:val="TOC1"/>
            <w:rPr>
              <w:rFonts w:asciiTheme="minorHAnsi" w:eastAsiaTheme="minorEastAsia" w:hAnsiTheme="minorHAnsi" w:cstheme="minorBidi"/>
              <w:noProof/>
              <w:color w:val="auto"/>
              <w:szCs w:val="22"/>
              <w:rtl/>
              <w:lang w:bidi="ar-SA"/>
            </w:rPr>
          </w:pPr>
          <w:hyperlink w:anchor="_Toc83127917" w:history="1">
            <w:r w:rsidRPr="000379CC">
              <w:rPr>
                <w:rStyle w:val="Hyperlink"/>
                <w:noProof/>
                <w:rtl/>
              </w:rPr>
              <w:t>مسئله 12: عدم فرق ب</w:t>
            </w:r>
            <w:r w:rsidRPr="000379CC">
              <w:rPr>
                <w:rStyle w:val="Hyperlink"/>
                <w:rFonts w:hint="cs"/>
                <w:noProof/>
                <w:rtl/>
              </w:rPr>
              <w:t>ی</w:t>
            </w:r>
            <w:r w:rsidRPr="000379CC">
              <w:rPr>
                <w:rStyle w:val="Hyperlink"/>
                <w:rFonts w:hint="eastAsia"/>
                <w:noProof/>
                <w:rtl/>
              </w:rPr>
              <w:t>ن</w:t>
            </w:r>
            <w:r w:rsidRPr="000379CC">
              <w:rPr>
                <w:rStyle w:val="Hyperlink"/>
                <w:noProof/>
                <w:rtl/>
              </w:rPr>
              <w:t xml:space="preserve"> مصاد</w:t>
            </w:r>
            <w:r w:rsidRPr="000379CC">
              <w:rPr>
                <w:rStyle w:val="Hyperlink"/>
                <w:rFonts w:hint="cs"/>
                <w:noProof/>
                <w:rtl/>
              </w:rPr>
              <w:t>ی</w:t>
            </w:r>
            <w:r w:rsidRPr="000379CC">
              <w:rPr>
                <w:rStyle w:val="Hyperlink"/>
                <w:rFonts w:hint="eastAsia"/>
                <w:noProof/>
                <w:rtl/>
              </w:rPr>
              <w:t>ق</w:t>
            </w:r>
            <w:r w:rsidRPr="000379CC">
              <w:rPr>
                <w:rStyle w:val="Hyperlink"/>
                <w:noProof/>
                <w:rtl/>
              </w:rPr>
              <w:t xml:space="preserve"> آنچه بدان اعتماد م</w:t>
            </w:r>
            <w:r w:rsidRPr="000379CC">
              <w:rPr>
                <w:rStyle w:val="Hyperlink"/>
                <w:rFonts w:hint="cs"/>
                <w:noProof/>
                <w:rtl/>
              </w:rPr>
              <w:t>ی</w:t>
            </w:r>
            <w:r w:rsidRPr="000379CC">
              <w:rPr>
                <w:rStyle w:val="Hyperlink"/>
                <w:noProof/>
                <w:rtl/>
              </w:rPr>
              <w:t xml:space="preserve"> شود</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Toc83127917 \h</w:instrText>
            </w:r>
            <w:r>
              <w:rPr>
                <w:noProof/>
                <w:webHidden/>
                <w:rtl/>
              </w:rPr>
              <w:instrText xml:space="preserve"> </w:instrText>
            </w:r>
            <w:r>
              <w:rPr>
                <w:noProof/>
                <w:webHidden/>
                <w:rtl/>
              </w:rPr>
            </w:r>
            <w:r>
              <w:rPr>
                <w:noProof/>
                <w:webHidden/>
                <w:rtl/>
              </w:rPr>
              <w:fldChar w:fldCharType="separate"/>
            </w:r>
            <w:r w:rsidR="005F3D39">
              <w:rPr>
                <w:noProof/>
                <w:webHidden/>
                <w:rtl/>
              </w:rPr>
              <w:t>9</w:t>
            </w:r>
            <w:r>
              <w:rPr>
                <w:noProof/>
                <w:webHidden/>
                <w:rtl/>
              </w:rPr>
              <w:fldChar w:fldCharType="end"/>
            </w:r>
          </w:hyperlink>
        </w:p>
        <w:p w:rsidR="00B11ADB" w:rsidRPr="00B11ADB" w:rsidRDefault="00475EC6" w:rsidP="00475EC6">
          <w:pPr>
            <w:pStyle w:val="TOCHeading"/>
            <w:bidi/>
            <w:rPr>
              <w:rStyle w:val="Emphasis"/>
              <w:rFonts w:cs="B Badr"/>
              <w:bCs w:val="0"/>
              <w:i w:val="0"/>
              <w:color w:val="auto"/>
              <w:rtl/>
            </w:rPr>
          </w:pPr>
          <w:r>
            <w:rPr>
              <w:rFonts w:ascii="Calibri" w:eastAsia="Calibri" w:hAnsi="Calibri" w:cs="B Badr"/>
              <w:color w:val="auto"/>
              <w:sz w:val="22"/>
              <w:szCs w:val="28"/>
              <w:rtl/>
              <w:lang w:bidi="fa-IR"/>
            </w:rPr>
            <w:fldChar w:fldCharType="end"/>
          </w:r>
        </w:p>
      </w:sdtContent>
    </w:sdt>
    <w:p w:rsidR="008F5B4D" w:rsidRPr="009C66D5" w:rsidRDefault="008F5B4D" w:rsidP="00844627">
      <w:pPr>
        <w:jc w:val="both"/>
        <w:rPr>
          <w:rStyle w:val="Emphasis"/>
          <w:b/>
          <w:bCs w:val="0"/>
          <w:rtl/>
        </w:rPr>
      </w:pPr>
      <w:r w:rsidRPr="009C66D5">
        <w:rPr>
          <w:rStyle w:val="Emphasis"/>
          <w:rFonts w:hint="cs"/>
          <w:b/>
          <w:bCs w:val="0"/>
          <w:rtl/>
        </w:rPr>
        <w:t>خلاصه مباحث گذشته:</w:t>
      </w:r>
    </w:p>
    <w:p w:rsidR="00247D2F" w:rsidRPr="003A6148" w:rsidRDefault="00957DB1" w:rsidP="00777F37">
      <w:pPr>
        <w:pBdr>
          <w:bottom w:val="double" w:sz="6" w:space="1" w:color="auto"/>
        </w:pBdr>
        <w:jc w:val="both"/>
      </w:pPr>
      <w:r>
        <w:rPr>
          <w:rFonts w:hint="cs"/>
          <w:rtl/>
        </w:rPr>
        <w:t xml:space="preserve">در جلسه گذشته </w:t>
      </w:r>
      <w:r w:rsidR="00777F37">
        <w:rPr>
          <w:rFonts w:hint="cs"/>
          <w:rtl/>
        </w:rPr>
        <w:t>مسئله شرطیت استقلال در قیام مورد بررسی قرار گرفت و نظر مختار استاد، عدم شرطیت استقلال بود. سپس به بیان قید «فی حال الإختیار» در کلام سید پرداختند و اینکه این قید مخصوص استقلال نیست بلکه انتصاب و استقرار نیز در حال اختیار واجب است. در این جلسه به بررسی این بحث</w:t>
      </w:r>
      <w:r w:rsidR="00475EC6">
        <w:rPr>
          <w:rFonts w:hint="cs"/>
          <w:rtl/>
        </w:rPr>
        <w:t xml:space="preserve"> و ادامه ی مسائل قیام</w:t>
      </w:r>
      <w:r w:rsidR="00777F37">
        <w:rPr>
          <w:rFonts w:hint="cs"/>
          <w:rtl/>
        </w:rPr>
        <w:t xml:space="preserve"> پرداخته می شود. </w:t>
      </w:r>
    </w:p>
    <w:p w:rsidR="00F83FC7" w:rsidRDefault="00F83FC7" w:rsidP="00F83FC7">
      <w:pPr>
        <w:pStyle w:val="Heading2"/>
        <w:rPr>
          <w:rtl/>
        </w:rPr>
      </w:pPr>
      <w:bookmarkStart w:id="1" w:name="_Toc83127908"/>
      <w:r>
        <w:rPr>
          <w:rFonts w:hint="cs"/>
          <w:rtl/>
        </w:rPr>
        <w:t>بررسی مسئله عجز از انتصاب</w:t>
      </w:r>
      <w:bookmarkEnd w:id="1"/>
      <w:r>
        <w:rPr>
          <w:rFonts w:hint="cs"/>
          <w:rtl/>
        </w:rPr>
        <w:t xml:space="preserve"> </w:t>
      </w:r>
    </w:p>
    <w:p w:rsidR="00F83FC7" w:rsidRDefault="00777F37" w:rsidP="00F83FC7">
      <w:pPr>
        <w:jc w:val="both"/>
        <w:rPr>
          <w:rtl/>
        </w:rPr>
      </w:pPr>
      <w:r>
        <w:rPr>
          <w:rFonts w:hint="cs"/>
          <w:rtl/>
        </w:rPr>
        <w:t>بحث در فرض عجز از انتصاب بود. برخی از جمله صاحب جواهر معتقدند که اگر اعتدال و انتصاب نباشد، قیام صدق نمی کند</w:t>
      </w:r>
      <w:r w:rsidR="00F83FC7">
        <w:rPr>
          <w:rStyle w:val="FootnoteReference"/>
          <w:rtl/>
        </w:rPr>
        <w:footnoteReference w:id="1"/>
      </w:r>
      <w:r>
        <w:rPr>
          <w:rFonts w:hint="cs"/>
          <w:rtl/>
        </w:rPr>
        <w:t>؛ زیرا قوام قیام به اعتدال است؛ از این رو قیام و استقامت از یک ماده هستند. استقامت بر ضد اعوجاج و کجی است و کسی که منحنی بشود قائم نیست. این مطلبی است که علامه در نهایۀ و تذکره و شهید در ذکری مطرح کرده اند. نتیجه ی این سخن این است که اگر کسی سهوا نیز اعتدال را فراموش کند، گویا قیام را فراموش کرده است. یا پیر مردی که دچار انحناء می شود، دیگر صدق قیام بر او نمی کند و نمازش را باید نشسته بخواند. برخی از لغویین نیز چنین تعبیراتی دارند که قام را به معنای انتصب گرفته اند.</w:t>
      </w:r>
    </w:p>
    <w:p w:rsidR="00F83FC7" w:rsidRDefault="00777F37" w:rsidP="00F83FC7">
      <w:pPr>
        <w:jc w:val="both"/>
        <w:rPr>
          <w:rtl/>
        </w:rPr>
      </w:pPr>
      <w:r>
        <w:rPr>
          <w:rFonts w:hint="cs"/>
          <w:rtl/>
        </w:rPr>
        <w:lastRenderedPageBreak/>
        <w:t xml:space="preserve"> لکن به نظر ما </w:t>
      </w:r>
      <w:r w:rsidR="00F83FC7">
        <w:rPr>
          <w:rFonts w:hint="cs"/>
          <w:rtl/>
        </w:rPr>
        <w:t>کلام لغویین تقریب به ذهن است و</w:t>
      </w:r>
      <w:r>
        <w:rPr>
          <w:rFonts w:hint="cs"/>
          <w:rtl/>
        </w:rPr>
        <w:t xml:space="preserve"> اینکه</w:t>
      </w:r>
      <w:r w:rsidR="00F83FC7">
        <w:rPr>
          <w:rFonts w:hint="cs"/>
          <w:rtl/>
        </w:rPr>
        <w:t xml:space="preserve"> بزرگان مذکور</w:t>
      </w:r>
      <w:r>
        <w:rPr>
          <w:rFonts w:hint="cs"/>
          <w:rtl/>
        </w:rPr>
        <w:t xml:space="preserve"> انحناء را مخل به قیام دانسته اند، تمام نیست؛ زیرا عرفا انحناء خفیف نیز قیام است. افرادی که مقداری دچار خم بودن کمر هستند، عرفا وقتی بایستند به آن ها قائم </w:t>
      </w:r>
      <w:r w:rsidR="00F83FC7">
        <w:rPr>
          <w:rFonts w:hint="cs"/>
          <w:rtl/>
        </w:rPr>
        <w:t>گفته می شود</w:t>
      </w:r>
      <w:r>
        <w:rPr>
          <w:rFonts w:hint="cs"/>
          <w:rtl/>
        </w:rPr>
        <w:t>.</w:t>
      </w:r>
      <w:r w:rsidR="00F83FC7">
        <w:rPr>
          <w:rFonts w:hint="cs"/>
          <w:rtl/>
        </w:rPr>
        <w:t xml:space="preserve"> این مطلب دارای شواهدی از روایات است: </w:t>
      </w:r>
    </w:p>
    <w:p w:rsidR="00F83FC7" w:rsidRDefault="00F83FC7" w:rsidP="00F83FC7">
      <w:pPr>
        <w:pStyle w:val="ListParagraph"/>
        <w:numPr>
          <w:ilvl w:val="0"/>
          <w:numId w:val="15"/>
        </w:numPr>
        <w:jc w:val="both"/>
      </w:pPr>
      <w:r>
        <w:rPr>
          <w:rFonts w:hint="cs"/>
          <w:rtl/>
        </w:rPr>
        <w:t xml:space="preserve">در روایت </w:t>
      </w:r>
      <w:r w:rsidRPr="00A94295">
        <w:rPr>
          <w:rFonts w:hint="cs"/>
          <w:color w:val="008000"/>
          <w:rtl/>
        </w:rPr>
        <w:t>«قم منتصبا</w:t>
      </w:r>
      <w:r>
        <w:rPr>
          <w:rFonts w:hint="cs"/>
          <w:rtl/>
        </w:rPr>
        <w:t xml:space="preserve">» اگر قرار بود قوام قیام به انتصاب باشد، ذکر قید «منتصبا» صرفا برای تأکید بود و این خلاف ظاهر است. </w:t>
      </w:r>
    </w:p>
    <w:p w:rsidR="00A94295" w:rsidRDefault="00F83FC7" w:rsidP="00A94295">
      <w:pPr>
        <w:pStyle w:val="ListParagraph"/>
        <w:numPr>
          <w:ilvl w:val="0"/>
          <w:numId w:val="15"/>
        </w:numPr>
        <w:jc w:val="both"/>
      </w:pPr>
      <w:r>
        <w:rPr>
          <w:rFonts w:hint="cs"/>
          <w:rtl/>
        </w:rPr>
        <w:t>در روایت حریز آمده است: «</w:t>
      </w:r>
      <w:r w:rsidRPr="00A94295">
        <w:rPr>
          <w:color w:val="008000"/>
          <w:rtl/>
        </w:rPr>
        <w:t>النَّحْرُ الِاعْتِدَالُ فِي الْقِيَامِ أَنْ يُقِيمَ صُلْبَه‏</w:t>
      </w:r>
      <w:r w:rsidRPr="00A94295">
        <w:rPr>
          <w:rFonts w:hint="cs"/>
          <w:color w:val="008000"/>
          <w:rtl/>
        </w:rPr>
        <w:t>»</w:t>
      </w:r>
      <w:r w:rsidR="00A94295">
        <w:rPr>
          <w:rStyle w:val="FootnoteReference"/>
          <w:color w:val="008000"/>
          <w:rtl/>
        </w:rPr>
        <w:footnoteReference w:id="2"/>
      </w:r>
      <w:r w:rsidR="00777F37">
        <w:rPr>
          <w:rFonts w:hint="cs"/>
          <w:rtl/>
        </w:rPr>
        <w:t xml:space="preserve">از این جمله معلوم می شود اعتدال چیزی غیر از قیام است و می توان </w:t>
      </w:r>
      <w:r w:rsidR="00A94295">
        <w:rPr>
          <w:rFonts w:hint="cs"/>
          <w:rtl/>
        </w:rPr>
        <w:t>قیام را بدون اعتدال تصور کرد.</w:t>
      </w:r>
    </w:p>
    <w:p w:rsidR="00A94295" w:rsidRDefault="00777F37" w:rsidP="00A94295">
      <w:pPr>
        <w:pStyle w:val="ListParagraph"/>
        <w:numPr>
          <w:ilvl w:val="0"/>
          <w:numId w:val="15"/>
        </w:numPr>
        <w:jc w:val="both"/>
      </w:pPr>
      <w:r>
        <w:rPr>
          <w:rFonts w:hint="cs"/>
          <w:rtl/>
        </w:rPr>
        <w:t xml:space="preserve"> در روایت بکر بن محمد ازدی آمده است که</w:t>
      </w:r>
      <w:r w:rsidR="00A94295">
        <w:rPr>
          <w:rFonts w:hint="cs"/>
          <w:rtl/>
        </w:rPr>
        <w:t xml:space="preserve"> </w:t>
      </w:r>
      <w:r w:rsidR="00A94295" w:rsidRPr="00A94295">
        <w:rPr>
          <w:rFonts w:hint="cs"/>
          <w:color w:val="008000"/>
          <w:rtl/>
        </w:rPr>
        <w:t>«</w:t>
      </w:r>
      <w:r w:rsidR="00A94295" w:rsidRPr="00A94295">
        <w:rPr>
          <w:color w:val="008000"/>
          <w:rtl/>
        </w:rPr>
        <w:t>فَإِذَا قَامَ أَحَدُكُمْ فَلْيَعْتَدِل</w:t>
      </w:r>
      <w:r w:rsidR="00A94295" w:rsidRPr="00A94295">
        <w:rPr>
          <w:rtl/>
        </w:rPr>
        <w:t>‏</w:t>
      </w:r>
      <w:r w:rsidR="00A94295">
        <w:rPr>
          <w:rFonts w:hint="cs"/>
          <w:rtl/>
        </w:rPr>
        <w:t>»</w:t>
      </w:r>
      <w:r w:rsidR="00A94295">
        <w:rPr>
          <w:rStyle w:val="FootnoteReference"/>
          <w:rtl/>
        </w:rPr>
        <w:footnoteReference w:id="3"/>
      </w:r>
      <w:r>
        <w:rPr>
          <w:rFonts w:hint="cs"/>
          <w:rtl/>
        </w:rPr>
        <w:t>اگر اعتدال جزء معنای قیام باشد طلب حاصل است.</w:t>
      </w:r>
    </w:p>
    <w:p w:rsidR="00777F37" w:rsidRPr="00A94295" w:rsidRDefault="00777F37" w:rsidP="00A94295">
      <w:pPr>
        <w:pStyle w:val="ListParagraph"/>
        <w:numPr>
          <w:ilvl w:val="0"/>
          <w:numId w:val="15"/>
        </w:numPr>
        <w:jc w:val="both"/>
        <w:rPr>
          <w:color w:val="008000"/>
          <w:rtl/>
        </w:rPr>
      </w:pPr>
      <w:r>
        <w:rPr>
          <w:rFonts w:hint="cs"/>
          <w:rtl/>
        </w:rPr>
        <w:t xml:space="preserve"> در صحیحه علی بن یقطین آمده است</w:t>
      </w:r>
      <w:r w:rsidRPr="00A94295">
        <w:rPr>
          <w:rFonts w:hint="cs"/>
          <w:color w:val="008000"/>
          <w:rtl/>
        </w:rPr>
        <w:t>:</w:t>
      </w:r>
      <w:r w:rsidR="00A94295" w:rsidRPr="00A94295">
        <w:rPr>
          <w:color w:val="008000"/>
        </w:rPr>
        <w:t xml:space="preserve"> </w:t>
      </w:r>
      <w:r w:rsidR="00A94295" w:rsidRPr="00A94295">
        <w:rPr>
          <w:rFonts w:hint="cs"/>
          <w:color w:val="008000"/>
          <w:rtl/>
        </w:rPr>
        <w:t>«</w:t>
      </w:r>
      <w:r w:rsidR="00A94295" w:rsidRPr="00A94295">
        <w:rPr>
          <w:color w:val="008000"/>
          <w:rtl/>
        </w:rPr>
        <w:t>عَنْ أَبِي الْحَسَنِ ع قَالَ: سَأَلْتُهُ عَنِ السَّفِينَةِ لَمْ يَقْدِرْ صَاحِبُهَا عَلَى الْقِيَامِ أَ يُصَلِّي وَ هُوَ جَالِسٌ يُومِئُ أَوْ يَسْجُدُ قَالَ يَقُومُ وَ إِنْ حَنَى ظَهْرَهُ</w:t>
      </w:r>
      <w:r w:rsidR="00A94295" w:rsidRPr="00A94295">
        <w:rPr>
          <w:rFonts w:hint="cs"/>
          <w:color w:val="008000"/>
          <w:rtl/>
        </w:rPr>
        <w:t>»</w:t>
      </w:r>
      <w:r w:rsidR="00A94295">
        <w:rPr>
          <w:rStyle w:val="FootnoteReference"/>
          <w:color w:val="008000"/>
          <w:rtl/>
        </w:rPr>
        <w:footnoteReference w:id="4"/>
      </w:r>
      <w:r w:rsidR="00A94295" w:rsidRPr="00A94295">
        <w:rPr>
          <w:rFonts w:hint="cs"/>
          <w:color w:val="008000"/>
          <w:rtl/>
        </w:rPr>
        <w:t>.</w:t>
      </w:r>
    </w:p>
    <w:p w:rsidR="00A94295" w:rsidRDefault="00777F37" w:rsidP="00904C97">
      <w:pPr>
        <w:jc w:val="both"/>
        <w:rPr>
          <w:rtl/>
        </w:rPr>
      </w:pPr>
      <w:r>
        <w:rPr>
          <w:rFonts w:hint="cs"/>
          <w:rtl/>
        </w:rPr>
        <w:t>حضرت می فرماید بایستد ولو اینکه کمر او منحنی شده باشد. بنابراین می بینیم که قیام با انحناء نیز صدق می کند و انحناء مخل به قیام نیست.</w:t>
      </w:r>
    </w:p>
    <w:p w:rsidR="00A94295" w:rsidRDefault="00A94295" w:rsidP="00A94295">
      <w:pPr>
        <w:pStyle w:val="Heading3"/>
        <w:rPr>
          <w:rtl/>
        </w:rPr>
      </w:pPr>
      <w:bookmarkStart w:id="2" w:name="_Toc83127909"/>
      <w:r>
        <w:rPr>
          <w:rFonts w:hint="cs"/>
          <w:rtl/>
        </w:rPr>
        <w:t>فرض دوران بین قیام بدون انتصاب و جلوس با انتصاب</w:t>
      </w:r>
      <w:bookmarkEnd w:id="2"/>
      <w:r>
        <w:rPr>
          <w:rFonts w:hint="cs"/>
          <w:rtl/>
        </w:rPr>
        <w:t xml:space="preserve"> </w:t>
      </w:r>
    </w:p>
    <w:p w:rsidR="00A94295" w:rsidRDefault="00A94295" w:rsidP="00904C97">
      <w:pPr>
        <w:jc w:val="both"/>
        <w:rPr>
          <w:rtl/>
        </w:rPr>
      </w:pPr>
      <w:r>
        <w:rPr>
          <w:rFonts w:hint="cs"/>
          <w:rtl/>
        </w:rPr>
        <w:t xml:space="preserve"> </w:t>
      </w:r>
      <w:r w:rsidR="00777F37">
        <w:rPr>
          <w:rFonts w:hint="cs"/>
          <w:rtl/>
        </w:rPr>
        <w:t xml:space="preserve"> اگر کسی قادر بر رعایت انتصاب در قیام نباشد،</w:t>
      </w:r>
      <w:r>
        <w:rPr>
          <w:rFonts w:hint="cs"/>
          <w:rtl/>
        </w:rPr>
        <w:t xml:space="preserve"> دو صورت دارد: </w:t>
      </w:r>
    </w:p>
    <w:p w:rsidR="00A94295" w:rsidRDefault="00777F37" w:rsidP="00A94295">
      <w:pPr>
        <w:pStyle w:val="ListParagraph"/>
        <w:numPr>
          <w:ilvl w:val="0"/>
          <w:numId w:val="16"/>
        </w:numPr>
        <w:jc w:val="both"/>
      </w:pPr>
      <w:r>
        <w:rPr>
          <w:rFonts w:hint="cs"/>
          <w:rtl/>
        </w:rPr>
        <w:t xml:space="preserve"> گاهی اینطور است که اگر بنشیند نیز منحنی است، در این صورت </w:t>
      </w:r>
      <w:r w:rsidR="00904C97">
        <w:rPr>
          <w:rFonts w:hint="cs"/>
          <w:rtl/>
        </w:rPr>
        <w:t xml:space="preserve">تکلیف به نماز از او ساقط نمی شود و باید ایستاده بخواند. </w:t>
      </w:r>
    </w:p>
    <w:p w:rsidR="00A94295" w:rsidRDefault="00A94295" w:rsidP="00A94295">
      <w:pPr>
        <w:pStyle w:val="ListParagraph"/>
        <w:numPr>
          <w:ilvl w:val="0"/>
          <w:numId w:val="16"/>
        </w:numPr>
        <w:jc w:val="both"/>
      </w:pPr>
      <w:r>
        <w:rPr>
          <w:rFonts w:hint="cs"/>
          <w:rtl/>
        </w:rPr>
        <w:t xml:space="preserve"> </w:t>
      </w:r>
      <w:r w:rsidR="00904C97">
        <w:rPr>
          <w:rFonts w:hint="cs"/>
          <w:rtl/>
        </w:rPr>
        <w:t xml:space="preserve">گاهی انحناء او فقط در قیام رخ می دهد و اگر بنشیند تمکن از صاف نشستن دارد. در این فرض امر دائر بین قیام منحنی و جلوس در حال انتصاب است. </w:t>
      </w:r>
    </w:p>
    <w:p w:rsidR="00A94295" w:rsidRDefault="00904C97" w:rsidP="00A94295">
      <w:pPr>
        <w:jc w:val="both"/>
        <w:rPr>
          <w:rtl/>
        </w:rPr>
      </w:pPr>
      <w:r>
        <w:rPr>
          <w:rFonts w:hint="cs"/>
          <w:rtl/>
        </w:rPr>
        <w:t>مرحوم سید یزدی در آینده در ذیل مسئله 14 این مسئله را مطرح می کند و صحیحه علی بن یقطین</w:t>
      </w:r>
      <w:r w:rsidR="00A94295">
        <w:rPr>
          <w:rFonts w:hint="cs"/>
          <w:rtl/>
        </w:rPr>
        <w:t xml:space="preserve"> مذکور</w:t>
      </w:r>
      <w:r>
        <w:rPr>
          <w:rFonts w:hint="cs"/>
          <w:rtl/>
        </w:rPr>
        <w:t xml:space="preserve"> نیز تکلیف را روشن کرده است که حضرت فرمودند بایستد ولو اینکه منحنی باشد. ولی اگر بحث علی القاعده ای مطرح می شد،</w:t>
      </w:r>
      <w:r w:rsidR="00A94295">
        <w:rPr>
          <w:rFonts w:hint="cs"/>
          <w:rtl/>
        </w:rPr>
        <w:t xml:space="preserve"> باید تفصیل داد:</w:t>
      </w:r>
    </w:p>
    <w:p w:rsidR="00A94295" w:rsidRDefault="00A94295" w:rsidP="00D03558">
      <w:pPr>
        <w:pStyle w:val="ListParagraph"/>
        <w:jc w:val="both"/>
      </w:pPr>
      <w:r>
        <w:rPr>
          <w:rFonts w:hint="cs"/>
          <w:rtl/>
        </w:rPr>
        <w:lastRenderedPageBreak/>
        <w:t>الف: برخی اقامه صلب را تنها شرط شرعی برای قیام می دانند. در این فرض گویا شارع گفته است که قم، بعد گفته است اگر قیام کردی اعتدال را رعایت کن ولی اگر نشستی اعتدال لازم نیست، عرف در اینجا می گوید وقتی عاجز از شرط انتصاب در قیام هستم، این شرط ساقط است ولی اطلاق وجوب قیام هنوز باقی است و اصل قیام باید حفظ شود.</w:t>
      </w:r>
    </w:p>
    <w:p w:rsidR="00904C97" w:rsidRDefault="00D03558" w:rsidP="00D03558">
      <w:pPr>
        <w:pStyle w:val="ListParagraph"/>
        <w:jc w:val="both"/>
        <w:rPr>
          <w:rtl/>
        </w:rPr>
      </w:pPr>
      <w:r>
        <w:rPr>
          <w:rFonts w:hint="cs"/>
          <w:rtl/>
        </w:rPr>
        <w:t xml:space="preserve">ب: </w:t>
      </w:r>
      <w:r w:rsidR="00904C97">
        <w:rPr>
          <w:rFonts w:hint="cs"/>
          <w:rtl/>
        </w:rPr>
        <w:t>برخی مثل محقق خویی و محقق سیستانی شرطیت انتصاب را اعم</w:t>
      </w:r>
      <w:r w:rsidR="00A94295">
        <w:rPr>
          <w:rFonts w:hint="cs"/>
          <w:rtl/>
        </w:rPr>
        <w:t xml:space="preserve"> از قیام و جلوس</w:t>
      </w:r>
      <w:r w:rsidR="00A3081B">
        <w:rPr>
          <w:rFonts w:hint="cs"/>
          <w:rtl/>
        </w:rPr>
        <w:t xml:space="preserve"> می دانند که نظر صحیح هم همین است.</w:t>
      </w:r>
      <w:r w:rsidR="00904C97">
        <w:rPr>
          <w:rFonts w:hint="cs"/>
          <w:rtl/>
        </w:rPr>
        <w:t xml:space="preserve"> طبق این فرض مکلف عاجز از جمع بین دو شرط است که عبارت از قیام و اقامه صلب است. بنابراین باید یکی از این دو شرط فدای دیگری شود. مشهور در این فرض می گویند تزاحم است و چون اهم و مهم در آن ثابت نیست، شخص مخیر است. نظر ما این است که در عجز مکلف از به جا آوردن دو شرط در مرکب ارتباطی مثل نماز</w:t>
      </w:r>
      <w:r w:rsidR="00A94295">
        <w:rPr>
          <w:rFonts w:hint="cs"/>
          <w:rtl/>
        </w:rPr>
        <w:t>،</w:t>
      </w:r>
      <w:r w:rsidR="00904C97">
        <w:rPr>
          <w:rFonts w:hint="cs"/>
          <w:rtl/>
        </w:rPr>
        <w:t xml:space="preserve"> تزاحم مطرح نمی شود بلکه دلایل آن دو تعارض می کن</w:t>
      </w:r>
      <w:r w:rsidR="00A94295">
        <w:rPr>
          <w:rFonts w:hint="cs"/>
          <w:rtl/>
        </w:rPr>
        <w:t>ن</w:t>
      </w:r>
      <w:r w:rsidR="00904C97">
        <w:rPr>
          <w:rFonts w:hint="cs"/>
          <w:rtl/>
        </w:rPr>
        <w:t>د و بعد از تساقط به اصل برائت</w:t>
      </w:r>
      <w:r w:rsidR="00A94295">
        <w:rPr>
          <w:rFonts w:hint="cs"/>
          <w:rtl/>
        </w:rPr>
        <w:t xml:space="preserve"> از تعیین هر کدام</w:t>
      </w:r>
      <w:r w:rsidR="00904C97">
        <w:rPr>
          <w:rFonts w:hint="cs"/>
          <w:rtl/>
        </w:rPr>
        <w:t xml:space="preserve"> مراجعه می شود و نتیجه تخییر است. </w:t>
      </w:r>
    </w:p>
    <w:p w:rsidR="00A3081B" w:rsidRDefault="00A3081B" w:rsidP="00A3081B">
      <w:pPr>
        <w:pStyle w:val="Heading2"/>
        <w:rPr>
          <w:rtl/>
        </w:rPr>
      </w:pPr>
      <w:bookmarkStart w:id="3" w:name="_Toc83127910"/>
      <w:r>
        <w:rPr>
          <w:rFonts w:hint="cs"/>
          <w:rtl/>
        </w:rPr>
        <w:t>استقرار و استقلال در فرض عجز</w:t>
      </w:r>
      <w:bookmarkEnd w:id="3"/>
      <w:r>
        <w:rPr>
          <w:rFonts w:hint="cs"/>
          <w:rtl/>
        </w:rPr>
        <w:t xml:space="preserve"> </w:t>
      </w:r>
    </w:p>
    <w:p w:rsidR="001969FF" w:rsidRDefault="001514E8" w:rsidP="00A3081B">
      <w:pPr>
        <w:jc w:val="both"/>
      </w:pPr>
      <w:r>
        <w:rPr>
          <w:rFonts w:hint="cs"/>
          <w:rtl/>
        </w:rPr>
        <w:t>اما دلیل استقرار و طمأنینه و یا استقلال</w:t>
      </w:r>
      <w:r w:rsidR="00A3081B">
        <w:rPr>
          <w:rFonts w:hint="cs"/>
          <w:rtl/>
        </w:rPr>
        <w:t xml:space="preserve"> (بر فرض قبول شرطیت استقلال) </w:t>
      </w:r>
      <w:r>
        <w:rPr>
          <w:rFonts w:hint="cs"/>
          <w:rtl/>
        </w:rPr>
        <w:t xml:space="preserve">شامل فرض عجز اصلا نمی شود؛ زیرا دلیل استقرار اجماع است و دلیل لبی است. دلیل استقلال نیز صحیحه ابن سنان است که در خود روایت فرض عذر و مرض استثناء </w:t>
      </w:r>
      <w:r w:rsidR="00B908C8">
        <w:rPr>
          <w:rFonts w:hint="cs"/>
          <w:rtl/>
        </w:rPr>
        <w:t>شده است</w:t>
      </w:r>
      <w:r w:rsidR="00B908C8">
        <w:t>.</w:t>
      </w:r>
    </w:p>
    <w:p w:rsidR="001F0797" w:rsidRDefault="00623CE2" w:rsidP="00623CE2">
      <w:pPr>
        <w:pStyle w:val="Heading2"/>
      </w:pPr>
      <w:bookmarkStart w:id="4" w:name="_Toc83127911"/>
      <w:r>
        <w:rPr>
          <w:rFonts w:hint="cs"/>
          <w:rtl/>
        </w:rPr>
        <w:t>تفریج فاحش بین القدمین</w:t>
      </w:r>
      <w:bookmarkEnd w:id="4"/>
      <w:r>
        <w:rPr>
          <w:rFonts w:hint="cs"/>
          <w:rtl/>
        </w:rPr>
        <w:t xml:space="preserve"> </w:t>
      </w:r>
    </w:p>
    <w:p w:rsidR="001514E8" w:rsidRDefault="001514E8" w:rsidP="001969FF">
      <w:pPr>
        <w:jc w:val="both"/>
        <w:rPr>
          <w:rtl/>
        </w:rPr>
      </w:pPr>
      <w:r>
        <w:rPr>
          <w:rFonts w:hint="cs"/>
          <w:rtl/>
        </w:rPr>
        <w:t>در ادامه</w:t>
      </w:r>
      <w:r w:rsidR="00623CE2">
        <w:rPr>
          <w:rFonts w:hint="cs"/>
          <w:rtl/>
        </w:rPr>
        <w:t xml:space="preserve"> همین مسئله 8</w:t>
      </w:r>
      <w:r>
        <w:rPr>
          <w:rFonts w:hint="cs"/>
          <w:rtl/>
        </w:rPr>
        <w:t xml:space="preserve"> سید یزدی فرموده اند: </w:t>
      </w:r>
    </w:p>
    <w:p w:rsidR="001514E8" w:rsidRPr="00623CE2" w:rsidRDefault="001514E8" w:rsidP="00623CE2">
      <w:pPr>
        <w:pStyle w:val="ListParagraph"/>
        <w:jc w:val="both"/>
        <w:rPr>
          <w:color w:val="0000FF"/>
          <w:rtl/>
        </w:rPr>
      </w:pPr>
      <w:r w:rsidRPr="00623CE2">
        <w:rPr>
          <w:rFonts w:hint="cs"/>
          <w:color w:val="0000FF"/>
          <w:rtl/>
        </w:rPr>
        <w:t>«</w:t>
      </w:r>
      <w:r w:rsidR="00623CE2" w:rsidRPr="00623CE2">
        <w:rPr>
          <w:color w:val="0000FF"/>
          <w:rtl/>
        </w:rPr>
        <w:t>كذا يعتبر فيه عدم التفريج بين الرجلين فاحشا بحيث يخرج عن صدق القيام و أما إذا كان بغير الفاحش فلا بأس</w:t>
      </w:r>
      <w:r w:rsidR="00623CE2" w:rsidRPr="00623CE2">
        <w:rPr>
          <w:rFonts w:hint="cs"/>
          <w:color w:val="0000FF"/>
          <w:rtl/>
        </w:rPr>
        <w:t>»</w:t>
      </w:r>
      <w:r w:rsidR="00623CE2">
        <w:rPr>
          <w:rStyle w:val="FootnoteReference"/>
          <w:color w:val="0000FF"/>
          <w:rtl/>
        </w:rPr>
        <w:footnoteReference w:id="5"/>
      </w:r>
    </w:p>
    <w:p w:rsidR="00623CE2" w:rsidRDefault="00623CE2" w:rsidP="001514E8">
      <w:pPr>
        <w:jc w:val="both"/>
        <w:rPr>
          <w:rtl/>
        </w:rPr>
      </w:pPr>
      <w:r>
        <w:rPr>
          <w:rFonts w:hint="cs"/>
          <w:rtl/>
        </w:rPr>
        <w:t xml:space="preserve">ایشان </w:t>
      </w:r>
      <w:r w:rsidR="00EA090E">
        <w:rPr>
          <w:rFonts w:hint="cs"/>
          <w:rtl/>
        </w:rPr>
        <w:t xml:space="preserve">می فرماید: بازکردن دو پا از هم اگر آنقدر فاحش باشد که اصلا قیام صدق نکند قطعا نماز باطل است، ولی اگر کسی به اندازه ای فاصله بیندازد که مانع از صدق قیام نباشد اشکالی ندارد. </w:t>
      </w:r>
    </w:p>
    <w:p w:rsidR="001514E8" w:rsidRDefault="00623CE2" w:rsidP="001514E8">
      <w:pPr>
        <w:jc w:val="both"/>
        <w:rPr>
          <w:rtl/>
        </w:rPr>
      </w:pPr>
      <w:r>
        <w:rPr>
          <w:rFonts w:hint="cs"/>
          <w:rtl/>
        </w:rPr>
        <w:lastRenderedPageBreak/>
        <w:t xml:space="preserve">در مورد تفریج بین الرجلین، </w:t>
      </w:r>
      <w:r w:rsidR="00EA090E">
        <w:rPr>
          <w:rFonts w:hint="cs"/>
          <w:rtl/>
        </w:rPr>
        <w:t xml:space="preserve">در جایی که مانع از صدق قیام نباشد، مشهور قائل به جواز شده اند و فرموده اند اطلاق قیام شامل آن می </w:t>
      </w:r>
      <w:r>
        <w:rPr>
          <w:rFonts w:hint="cs"/>
          <w:rtl/>
        </w:rPr>
        <w:t>شود ولی برخی مثل</w:t>
      </w:r>
      <w:r w:rsidR="00E85A03">
        <w:rPr>
          <w:rFonts w:hint="cs"/>
          <w:rtl/>
        </w:rPr>
        <w:t xml:space="preserve"> شیخ مفید در مقنعه</w:t>
      </w:r>
      <w:r w:rsidR="00E85A03">
        <w:rPr>
          <w:rStyle w:val="FootnoteReference"/>
          <w:rtl/>
        </w:rPr>
        <w:footnoteReference w:id="6"/>
      </w:r>
      <w:r w:rsidR="00E85A03">
        <w:rPr>
          <w:rFonts w:hint="cs"/>
          <w:rtl/>
        </w:rPr>
        <w:t xml:space="preserve"> و شیخ صدوق در مقنع</w:t>
      </w:r>
      <w:r w:rsidR="00E85A03">
        <w:rPr>
          <w:rStyle w:val="FootnoteReference"/>
          <w:rtl/>
        </w:rPr>
        <w:footnoteReference w:id="7"/>
      </w:r>
      <w:r>
        <w:rPr>
          <w:rFonts w:hint="cs"/>
          <w:rtl/>
        </w:rPr>
        <w:t xml:space="preserve"> </w:t>
      </w:r>
      <w:r w:rsidR="00EA090E">
        <w:rPr>
          <w:rFonts w:hint="cs"/>
          <w:rtl/>
        </w:rPr>
        <w:t>قائل شده اند که تنها به اندازه ی یک وجب جایز است و بیش از آن جایز نیست</w:t>
      </w:r>
      <w:r w:rsidR="00E85A03">
        <w:rPr>
          <w:rFonts w:hint="cs"/>
          <w:rtl/>
        </w:rPr>
        <w:t xml:space="preserve">؛ دلیل آن ها روایات است. </w:t>
      </w:r>
      <w:r w:rsidR="00EA090E">
        <w:rPr>
          <w:rFonts w:hint="cs"/>
          <w:rtl/>
        </w:rPr>
        <w:t xml:space="preserve">در صحیحه </w:t>
      </w:r>
      <w:r w:rsidR="00E85A03">
        <w:rPr>
          <w:rFonts w:hint="cs"/>
          <w:rtl/>
        </w:rPr>
        <w:t xml:space="preserve">زراره </w:t>
      </w:r>
      <w:r w:rsidR="00EA090E">
        <w:rPr>
          <w:rFonts w:hint="cs"/>
          <w:rtl/>
        </w:rPr>
        <w:t>آمده است:</w:t>
      </w:r>
    </w:p>
    <w:p w:rsidR="00EA090E" w:rsidRPr="00E85A03" w:rsidRDefault="00E85A03" w:rsidP="00E85A03">
      <w:pPr>
        <w:pStyle w:val="ListParagraph"/>
        <w:jc w:val="both"/>
        <w:rPr>
          <w:color w:val="008000"/>
          <w:rtl/>
        </w:rPr>
      </w:pPr>
      <w:r>
        <w:rPr>
          <w:rFonts w:hint="cs"/>
          <w:rtl/>
        </w:rPr>
        <w:t>«</w:t>
      </w:r>
      <w:r w:rsidRPr="00E85A03">
        <w:rPr>
          <w:rtl/>
        </w:rPr>
        <w:t xml:space="preserve">عَلِيٌّ عَنْ أَبِيهِ عَنْ حَمَّادِ بْنِ عِيسَى وَ مُحَمَّدُ بْنُ إِسْمَاعِيلَ عَنِ الْفَضْلِ بْنِ شَاذَانَ عَنْ حَمَّادِ بْنِ عِيسَى وَ مُحَمَّدُ بْنُ يَحْيَى عَنْ أَحْمَدَ بْنِ مُحَمَّدٍ عَنْ حَمَّادِ بْنِ عِيسَى عَنْ حَرِيزٍ عَنْ </w:t>
      </w:r>
      <w:r w:rsidRPr="00E85A03">
        <w:rPr>
          <w:color w:val="008000"/>
          <w:rtl/>
        </w:rPr>
        <w:t>زُرَارَةَ عَنْ أَبِي جَعْفَرٍ ع قَالَ: إِذَا قُمْتَ فِي الصَّلَاةِ فَلَا تُلْصِقْ قَدَمَكَ بِالْأُخْرَى دَعْ بَيْنَهُمَا فَصْلًا إِصْبَعاً أَقَلُّ ذَلِكَ إِلَى شِبْرٍ أَكْثَرُهُ وَ اسْدُلْ مَنْكِبَيْكَ وَ أَرْسِلْ يَدَيْكَ وَ لَا تُشَبِّكْ أَصَابِعَكَ وَ لْتَكُونَا عَلَى فَخِذَيْكَ قُبَالَةَ رُكْبَتَيْك‏</w:t>
      </w:r>
      <w:r w:rsidRPr="00E85A03">
        <w:rPr>
          <w:color w:val="008000"/>
        </w:rPr>
        <w:t>…..</w:t>
      </w:r>
      <w:r w:rsidRPr="00E85A03">
        <w:rPr>
          <w:rFonts w:hint="cs"/>
          <w:color w:val="008000"/>
          <w:rtl/>
        </w:rPr>
        <w:t>»</w:t>
      </w:r>
      <w:r>
        <w:rPr>
          <w:rStyle w:val="FootnoteReference"/>
          <w:color w:val="008000"/>
          <w:rtl/>
        </w:rPr>
        <w:footnoteReference w:id="8"/>
      </w:r>
    </w:p>
    <w:p w:rsidR="00EA090E" w:rsidRDefault="004A3E38" w:rsidP="00826570">
      <w:pPr>
        <w:jc w:val="both"/>
        <w:rPr>
          <w:rtl/>
        </w:rPr>
      </w:pPr>
      <w:r>
        <w:rPr>
          <w:rFonts w:hint="cs"/>
          <w:rtl/>
        </w:rPr>
        <w:t>جواب از این روایت این است</w:t>
      </w:r>
      <w:r w:rsidR="002229FA">
        <w:rPr>
          <w:rFonts w:hint="cs"/>
          <w:rtl/>
        </w:rPr>
        <w:t xml:space="preserve"> که اگر تمام این صحیحه زراره ملاحظه شود یقین حاصل می شود که راجع به آداب مستحبه نماز است</w:t>
      </w:r>
      <w:r w:rsidR="00826570">
        <w:rPr>
          <w:rFonts w:hint="cs"/>
          <w:rtl/>
        </w:rPr>
        <w:t xml:space="preserve">. این حدیث یک حدیث مفصل است که عمده آن بیان مستحباب و آداب نماز است. تعابیری همچون </w:t>
      </w:r>
      <w:r w:rsidR="002229FA">
        <w:rPr>
          <w:rFonts w:hint="cs"/>
          <w:rtl/>
        </w:rPr>
        <w:t>«</w:t>
      </w:r>
      <w:r w:rsidR="00826570" w:rsidRPr="00826570">
        <w:rPr>
          <w:color w:val="008000"/>
          <w:rtl/>
        </w:rPr>
        <w:t xml:space="preserve"> </w:t>
      </w:r>
      <w:r w:rsidR="00826570" w:rsidRPr="00E85A03">
        <w:rPr>
          <w:color w:val="008000"/>
          <w:rtl/>
        </w:rPr>
        <w:t>وَ اسْدُلْ مَنْكِبَيْكَ وَ أَرْسِلْ يَدَيْكَ وَ لَا تُشَبِّكْ أَصَابِعَكَ وَ لْتَكُونَا عَلَى فَخِذَيْكَ قُبَالَةَ رُكْبَتَيْك</w:t>
      </w:r>
      <w:r w:rsidR="00826570" w:rsidRPr="00826570">
        <w:rPr>
          <w:rFonts w:hint="cs"/>
          <w:rtl/>
        </w:rPr>
        <w:t>...» آمده است که بیانگر مستحبات هستند</w:t>
      </w:r>
      <w:r w:rsidR="00826570">
        <w:rPr>
          <w:rFonts w:hint="cs"/>
          <w:color w:val="008000"/>
          <w:rtl/>
        </w:rPr>
        <w:t>.</w:t>
      </w:r>
    </w:p>
    <w:p w:rsidR="002229FA" w:rsidRDefault="002229FA" w:rsidP="00EA090E">
      <w:pPr>
        <w:jc w:val="both"/>
        <w:rPr>
          <w:rtl/>
        </w:rPr>
      </w:pPr>
      <w:r>
        <w:rPr>
          <w:rFonts w:hint="cs"/>
          <w:rtl/>
        </w:rPr>
        <w:t xml:space="preserve">بنابراین روایت در مقام بیان آداب مستحبات است و ظهور در وجوب ندارد. </w:t>
      </w:r>
      <w:r w:rsidR="00AC0E4E">
        <w:rPr>
          <w:rFonts w:hint="cs"/>
          <w:rtl/>
        </w:rPr>
        <w:t>برفرض هم که گفته شود ما تنها به این فقره تمسک می جوییم و کاری با سایر فقرات نداریم، و یا گفته شود که</w:t>
      </w:r>
      <w:r w:rsidR="00826570">
        <w:rPr>
          <w:rFonts w:hint="cs"/>
          <w:rtl/>
        </w:rPr>
        <w:t xml:space="preserve"> ظهور این فقره</w:t>
      </w:r>
      <w:r w:rsidR="00AC0E4E">
        <w:rPr>
          <w:rFonts w:hint="cs"/>
          <w:rtl/>
        </w:rPr>
        <w:t xml:space="preserve"> حجت عقلاییه است و اخذ می شود، در جواب می گوییم: دلیل لوکان لبان در اینجا مطرح می شود. اگر قرار باشد رعایت این مسئله واجب باشد بیان می شد و شهرت می یافت. </w:t>
      </w:r>
    </w:p>
    <w:p w:rsidR="00D03558" w:rsidRDefault="00D03558" w:rsidP="00D03558">
      <w:pPr>
        <w:pStyle w:val="Heading3"/>
        <w:rPr>
          <w:rtl/>
        </w:rPr>
      </w:pPr>
      <w:bookmarkStart w:id="5" w:name="_Toc83127912"/>
      <w:r>
        <w:rPr>
          <w:rFonts w:hint="cs"/>
          <w:rtl/>
        </w:rPr>
        <w:t>فرمایش برخی بزرگان مبنی بر عدم جواز تفریج فاحش</w:t>
      </w:r>
      <w:bookmarkEnd w:id="5"/>
      <w:r>
        <w:rPr>
          <w:rFonts w:hint="cs"/>
          <w:rtl/>
        </w:rPr>
        <w:t xml:space="preserve"> </w:t>
      </w:r>
    </w:p>
    <w:p w:rsidR="00AC0E4E" w:rsidRDefault="00AC0E4E" w:rsidP="00EA090E">
      <w:pPr>
        <w:jc w:val="both"/>
        <w:rPr>
          <w:rtl/>
        </w:rPr>
      </w:pPr>
      <w:r>
        <w:rPr>
          <w:rFonts w:hint="cs"/>
          <w:rtl/>
        </w:rPr>
        <w:t>برخی از بزرگان مانند امام خمینی احتیاط واجب کرده اند و فرموده اند اگر</w:t>
      </w:r>
      <w:r w:rsidR="00D03558">
        <w:rPr>
          <w:rFonts w:hint="cs"/>
          <w:rtl/>
        </w:rPr>
        <w:t xml:space="preserve"> حتی</w:t>
      </w:r>
      <w:r>
        <w:rPr>
          <w:rFonts w:hint="cs"/>
          <w:rtl/>
        </w:rPr>
        <w:t xml:space="preserve"> قیام هم با فاصله زیاد انداختن بین دو پا صدق کند ولی فاصله غیر متعارف و فاحش باشد، </w:t>
      </w:r>
      <w:r w:rsidR="00F911A2">
        <w:rPr>
          <w:rFonts w:hint="cs"/>
          <w:rtl/>
        </w:rPr>
        <w:t xml:space="preserve">احتیاط واجب این است که ترک شود؛ وجوه مختلفی برای این مطلب بیان شده است: </w:t>
      </w:r>
    </w:p>
    <w:p w:rsidR="00F911A2" w:rsidRDefault="00F911A2" w:rsidP="00D03558">
      <w:pPr>
        <w:pStyle w:val="ListParagraph"/>
        <w:numPr>
          <w:ilvl w:val="0"/>
          <w:numId w:val="18"/>
        </w:numPr>
        <w:jc w:val="both"/>
        <w:rPr>
          <w:rtl/>
        </w:rPr>
      </w:pPr>
      <w:r>
        <w:rPr>
          <w:rFonts w:hint="cs"/>
          <w:rtl/>
        </w:rPr>
        <w:t>وجه اول انصراف قیام به تفریج متعارف است. اگر کسی به دیگری بگوید قیام کن و شخص به طور غیر متعارف پاهای خود را باز کند عرفا قیام متعارف محسوب نمی شود. اشکال ما این است که قطعا</w:t>
      </w:r>
      <w:r w:rsidR="00D03558">
        <w:rPr>
          <w:rFonts w:hint="cs"/>
          <w:rtl/>
        </w:rPr>
        <w:t xml:space="preserve"> بر این حالت قیام عرفی</w:t>
      </w:r>
      <w:r>
        <w:rPr>
          <w:rFonts w:hint="cs"/>
          <w:rtl/>
        </w:rPr>
        <w:t xml:space="preserve"> باز هم صدق می کند. نهایت این است که می گوییم اطلاق منعقد نمی شود</w:t>
      </w:r>
      <w:r w:rsidR="00D03558">
        <w:rPr>
          <w:rFonts w:hint="cs"/>
          <w:rtl/>
        </w:rPr>
        <w:t>،</w:t>
      </w:r>
      <w:r>
        <w:rPr>
          <w:rFonts w:hint="cs"/>
          <w:rtl/>
        </w:rPr>
        <w:t xml:space="preserve"> ولی مانع از رجوع به اصل برائت نیست و در شک در آن، به اصل برائت رجوع می شود. </w:t>
      </w:r>
    </w:p>
    <w:p w:rsidR="006F1405" w:rsidRDefault="00F911A2" w:rsidP="00D03558">
      <w:pPr>
        <w:pStyle w:val="ListParagraph"/>
        <w:numPr>
          <w:ilvl w:val="0"/>
          <w:numId w:val="18"/>
        </w:numPr>
        <w:jc w:val="both"/>
        <w:rPr>
          <w:rtl/>
        </w:rPr>
      </w:pPr>
      <w:r>
        <w:rPr>
          <w:rFonts w:hint="cs"/>
          <w:rtl/>
        </w:rPr>
        <w:lastRenderedPageBreak/>
        <w:t xml:space="preserve">وجه دوم ارتکاز متشرعه است. گفته اند که ارتکاز متشرعه از این تفریج فاحش اباء دارد. محقق سیستانی به همین دلیل منشأ احتیاط واجب قرار داده اند. به نظر می رسد ارتکاز متشرعه بر بطلان چنین نمازی ثابت نیست. </w:t>
      </w:r>
      <w:r w:rsidR="006F1405">
        <w:rPr>
          <w:rFonts w:hint="cs"/>
          <w:rtl/>
        </w:rPr>
        <w:t xml:space="preserve">مثل اینکه کسی در نماز دست به بینی ببرد، با اینکه غیر متعارف است و متشرعه می گویند کار خوبی نیست، ولی در ارتکاز متشرعه بطلان این نوع نماز ثابت نیست. </w:t>
      </w:r>
    </w:p>
    <w:p w:rsidR="00BF5AE9" w:rsidRDefault="00D03558" w:rsidP="00D03558">
      <w:pPr>
        <w:pStyle w:val="ListParagraph"/>
        <w:numPr>
          <w:ilvl w:val="0"/>
          <w:numId w:val="18"/>
        </w:numPr>
        <w:jc w:val="both"/>
        <w:rPr>
          <w:rtl/>
        </w:rPr>
      </w:pPr>
      <w:r>
        <w:rPr>
          <w:rFonts w:hint="cs"/>
          <w:rtl/>
        </w:rPr>
        <w:t>وجه سوم</w:t>
      </w:r>
      <w:r w:rsidR="00BF5AE9">
        <w:rPr>
          <w:rFonts w:hint="cs"/>
          <w:rtl/>
        </w:rPr>
        <w:t xml:space="preserve"> تأسی به پیامبر و ائمه است که ایشان تفریج نمی کردند؛ جواب این مطلب هم واضح است که ایشان مواقع دیگر نیز اینچنین تفریج نمی کردند و ارتباطی به عنوان صلاتی ندارد. </w:t>
      </w:r>
    </w:p>
    <w:p w:rsidR="00D03558" w:rsidRDefault="00BF5AE9" w:rsidP="00D03558">
      <w:pPr>
        <w:pStyle w:val="ListParagraph"/>
        <w:numPr>
          <w:ilvl w:val="0"/>
          <w:numId w:val="18"/>
        </w:numPr>
        <w:jc w:val="both"/>
      </w:pPr>
      <w:r>
        <w:rPr>
          <w:rFonts w:hint="cs"/>
          <w:rtl/>
        </w:rPr>
        <w:t>چهارمین وجه این است که این کار عرفا با انتصاب که امر به آن شده ایم، تنافی دارد.</w:t>
      </w:r>
      <w:r w:rsidR="00D03558">
        <w:rPr>
          <w:rFonts w:hint="cs"/>
          <w:rtl/>
        </w:rPr>
        <w:t xml:space="preserve"> طبق این بیان،</w:t>
      </w:r>
      <w:r>
        <w:rPr>
          <w:rFonts w:hint="cs"/>
          <w:rtl/>
        </w:rPr>
        <w:t xml:space="preserve"> راست ایستادن فقط به این نیست که ستون فقرات کمر صاف باشد، بلکه پا ها نیز باید صاف باشند. </w:t>
      </w:r>
    </w:p>
    <w:p w:rsidR="00BF5AE9" w:rsidRDefault="00D03558" w:rsidP="00D03558">
      <w:pPr>
        <w:pStyle w:val="ListParagraph"/>
        <w:numPr>
          <w:ilvl w:val="0"/>
          <w:numId w:val="18"/>
        </w:numPr>
        <w:jc w:val="both"/>
      </w:pPr>
      <w:r>
        <w:rPr>
          <w:rFonts w:hint="cs"/>
          <w:rtl/>
        </w:rPr>
        <w:t xml:space="preserve"> در روایت آمده است:«</w:t>
      </w:r>
      <w:r w:rsidRPr="00D03558">
        <w:rPr>
          <w:rFonts w:hint="cs"/>
          <w:color w:val="008000"/>
          <w:rtl/>
        </w:rPr>
        <w:t xml:space="preserve"> </w:t>
      </w:r>
      <w:r w:rsidRPr="00A94295">
        <w:rPr>
          <w:rFonts w:hint="cs"/>
          <w:color w:val="008000"/>
          <w:rtl/>
        </w:rPr>
        <w:t>«</w:t>
      </w:r>
      <w:r w:rsidRPr="00A94295">
        <w:rPr>
          <w:color w:val="008000"/>
          <w:rtl/>
        </w:rPr>
        <w:t>فَإِذَا قَامَ أَحَدُكُمْ فَلْيَعْتَدِل</w:t>
      </w:r>
      <w:r w:rsidRPr="00A94295">
        <w:rPr>
          <w:rtl/>
        </w:rPr>
        <w:t>‏</w:t>
      </w:r>
      <w:r>
        <w:rPr>
          <w:rFonts w:hint="cs"/>
          <w:rtl/>
        </w:rPr>
        <w:t>»</w:t>
      </w:r>
      <w:r>
        <w:rPr>
          <w:rStyle w:val="FootnoteReference"/>
          <w:rtl/>
        </w:rPr>
        <w:footnoteReference w:id="9"/>
      </w:r>
      <w:r w:rsidR="00682878">
        <w:rPr>
          <w:rFonts w:hint="cs"/>
          <w:rtl/>
        </w:rPr>
        <w:t>، گفته می شود که این کار با اعتدال منافات دارد.</w:t>
      </w:r>
      <w:r>
        <w:rPr>
          <w:rFonts w:hint="cs"/>
          <w:rtl/>
        </w:rPr>
        <w:t xml:space="preserve"> گفته نشود که در حالت نشسته نیز با اینکه پاها خم است، اعتدال صدق می کند؛ زیرا در جواب گفته می شود:</w:t>
      </w:r>
      <w:r w:rsidR="00682878">
        <w:rPr>
          <w:rFonts w:hint="cs"/>
          <w:rtl/>
        </w:rPr>
        <w:t xml:space="preserve"> </w:t>
      </w:r>
      <w:r w:rsidR="00C51BF1">
        <w:rPr>
          <w:rFonts w:hint="cs"/>
          <w:rtl/>
        </w:rPr>
        <w:t xml:space="preserve">بلی، اگر در روایت </w:t>
      </w:r>
      <w:r>
        <w:rPr>
          <w:rFonts w:hint="cs"/>
          <w:rtl/>
        </w:rPr>
        <w:t>«</w:t>
      </w:r>
      <w:r w:rsidR="00C51BF1">
        <w:rPr>
          <w:rFonts w:hint="cs"/>
          <w:rtl/>
        </w:rPr>
        <w:t>اجلس منتصبا</w:t>
      </w:r>
      <w:r>
        <w:rPr>
          <w:rFonts w:hint="cs"/>
          <w:rtl/>
        </w:rPr>
        <w:t>» آمده بود، ظاهر این بود</w:t>
      </w:r>
      <w:r w:rsidR="00C51BF1">
        <w:rPr>
          <w:rFonts w:hint="cs"/>
          <w:rtl/>
        </w:rPr>
        <w:t xml:space="preserve"> که اقامه صلب شود، ولی در قیام وقتی انتصاب مطرح می شود، صاف بودن پاها نیز معتبر می باشد؛ از این رو بعید نیست که این وجه منشأ احتیاط شود که تفریج فاحش به صورتی که مانع از صدق اعتدال شود ترک شود. </w:t>
      </w:r>
    </w:p>
    <w:p w:rsidR="00D03558" w:rsidRDefault="00D03558" w:rsidP="00D03558">
      <w:pPr>
        <w:pStyle w:val="Heading2"/>
        <w:rPr>
          <w:rtl/>
        </w:rPr>
      </w:pPr>
      <w:bookmarkStart w:id="6" w:name="_Toc83127913"/>
      <w:r>
        <w:rPr>
          <w:rFonts w:hint="cs"/>
          <w:rtl/>
        </w:rPr>
        <w:t>ایستادن روی انگشتان یا پاشنه پا</w:t>
      </w:r>
      <w:bookmarkEnd w:id="6"/>
    </w:p>
    <w:p w:rsidR="00C51BF1" w:rsidRDefault="00C51BF1" w:rsidP="00BF5AE9">
      <w:pPr>
        <w:jc w:val="both"/>
        <w:rPr>
          <w:rtl/>
        </w:rPr>
      </w:pPr>
      <w:r>
        <w:rPr>
          <w:rFonts w:hint="cs"/>
          <w:rtl/>
        </w:rPr>
        <w:t xml:space="preserve">در ادامه سید فرموده است: </w:t>
      </w:r>
    </w:p>
    <w:p w:rsidR="00C51BF1" w:rsidRPr="00FF2E6E" w:rsidRDefault="00D03558" w:rsidP="00FF2E6E">
      <w:pPr>
        <w:pStyle w:val="ListParagraph"/>
        <w:jc w:val="both"/>
        <w:rPr>
          <w:color w:val="0000FF"/>
          <w:rtl/>
        </w:rPr>
      </w:pPr>
      <w:r w:rsidRPr="00FF2E6E">
        <w:rPr>
          <w:rFonts w:hint="cs"/>
          <w:color w:val="0000FF"/>
          <w:rtl/>
        </w:rPr>
        <w:t>«</w:t>
      </w:r>
      <w:r w:rsidR="00FF2E6E" w:rsidRPr="00FF2E6E">
        <w:rPr>
          <w:color w:val="0000FF"/>
          <w:rtl/>
        </w:rPr>
        <w:t>و الأحوط الوقوف على القدمين دون الأصابع و أصل القدمين و إن كان الأقوى كفايتهما أيضا بل لا يبعد إجزاء الوقوف على الواحدة</w:t>
      </w:r>
      <w:r w:rsidR="00FF2E6E" w:rsidRPr="00FF2E6E">
        <w:rPr>
          <w:rFonts w:hint="cs"/>
          <w:color w:val="0000FF"/>
          <w:rtl/>
        </w:rPr>
        <w:t>»</w:t>
      </w:r>
      <w:r w:rsidR="00FF2E6E">
        <w:rPr>
          <w:rStyle w:val="FootnoteReference"/>
          <w:color w:val="0000FF"/>
          <w:rtl/>
        </w:rPr>
        <w:footnoteReference w:id="10"/>
      </w:r>
    </w:p>
    <w:p w:rsidR="00FF2E6E" w:rsidRDefault="00C51BF1" w:rsidP="00C51BF1">
      <w:pPr>
        <w:jc w:val="both"/>
        <w:rPr>
          <w:rtl/>
        </w:rPr>
      </w:pPr>
      <w:r>
        <w:rPr>
          <w:rFonts w:hint="cs"/>
          <w:rtl/>
        </w:rPr>
        <w:t>احتیاط مستحب این است که انسان روی دو پا بایستد و روی انگشتان یا پاشنه پا نایستد؛ گرچه اگر این کار را کند نمازش صحیح است. کسانی که قیام را منصرف به موارد متعارف می دانند دراین فروض نیز باید اشکال کنند</w:t>
      </w:r>
      <w:r w:rsidR="00FF2E6E">
        <w:rPr>
          <w:rFonts w:hint="cs"/>
          <w:rtl/>
        </w:rPr>
        <w:t>،</w:t>
      </w:r>
      <w:r>
        <w:rPr>
          <w:rFonts w:hint="cs"/>
          <w:rtl/>
        </w:rPr>
        <w:t xml:space="preserve"> ولی انصراف وجهی ندارد. در روایت نیز</w:t>
      </w:r>
      <w:r w:rsidR="00FF2E6E">
        <w:rPr>
          <w:rFonts w:hint="cs"/>
          <w:rtl/>
        </w:rPr>
        <w:t xml:space="preserve"> در مورد پیامبرگرامی اسلام صلی الله علیه و آله و سلم آمده است:</w:t>
      </w:r>
    </w:p>
    <w:p w:rsidR="00FF2E6E" w:rsidRPr="00D666DB" w:rsidRDefault="00FF2E6E" w:rsidP="00D666DB">
      <w:pPr>
        <w:pStyle w:val="ListParagraph"/>
        <w:jc w:val="both"/>
        <w:rPr>
          <w:rFonts w:hint="cs"/>
          <w:color w:val="008000"/>
          <w:u w:val="single"/>
          <w:rtl/>
        </w:rPr>
      </w:pPr>
      <w:r>
        <w:rPr>
          <w:rFonts w:hint="cs"/>
          <w:rtl/>
        </w:rPr>
        <w:t>«</w:t>
      </w:r>
      <w:r w:rsidRPr="00FF2E6E">
        <w:rPr>
          <w:rtl/>
        </w:rPr>
        <w:t xml:space="preserve">حُمَيْدُ بْنُ زِيَادٍ عَنِ الْحَسَنِ بْنِ مُحَمَّدِ بْنِ سَمَاعَةَ عَنْ وُهَيْبِ بْنِ حَفْصٍ عَنْ أَبِي بَصِيرٍ </w:t>
      </w:r>
      <w:r w:rsidRPr="00D666DB">
        <w:rPr>
          <w:color w:val="008000"/>
          <w:rtl/>
        </w:rPr>
        <w:t xml:space="preserve">عَنْ أَبِي جَعْفَرٍ ع قَالَ: كَانَ رَسُولُ اللَّهِ ص عِنْدَ عَائِشَةَ لَيْلَتَهَا فَقَالَتْ يَا رَسُولَ اللَّهِ لِمَ تُتْعِبُ نَفْسَكَ وَ قَدْ غَفَرَ اللَّهُ لَكَ مَا تَقَدَّمَ مِنْ ذَنْبِكَ وَ مَا تَأَخَّرَ </w:t>
      </w:r>
      <w:r w:rsidRPr="00D666DB">
        <w:rPr>
          <w:color w:val="008000"/>
          <w:rtl/>
        </w:rPr>
        <w:lastRenderedPageBreak/>
        <w:t xml:space="preserve">فَقَالَ يَا عَائِشَةُ أَ لَا أَكُونُ عَبْداً شَكُوراً قَالَ وَ كَانَ رَسُولُ اللَّهِ ص </w:t>
      </w:r>
      <w:r w:rsidRPr="00D666DB">
        <w:rPr>
          <w:color w:val="008000"/>
          <w:u w:val="single"/>
          <w:rtl/>
        </w:rPr>
        <w:t>يَقُومُ عَلَى أَطْرَافِ أَصَابِعِ رِجْلَيْهِ فَأَنْزَلَ اللَّهُ سُبْحَانَهُ وَ تَعَالَى- طه ما أَنْزَلْنا عَلَيْكَ الْقُرْآنَ لِتَشْقى‏</w:t>
      </w:r>
      <w:r w:rsidRPr="00D666DB">
        <w:rPr>
          <w:rFonts w:hint="cs"/>
          <w:color w:val="008000"/>
          <w:u w:val="single"/>
          <w:rtl/>
        </w:rPr>
        <w:t>»</w:t>
      </w:r>
      <w:r w:rsidR="00D666DB">
        <w:rPr>
          <w:rStyle w:val="FootnoteReference"/>
          <w:color w:val="008000"/>
          <w:u w:val="single"/>
          <w:rtl/>
        </w:rPr>
        <w:footnoteReference w:id="11"/>
      </w:r>
    </w:p>
    <w:p w:rsidR="00C51BF1" w:rsidRDefault="00C51BF1" w:rsidP="00D666DB">
      <w:pPr>
        <w:jc w:val="both"/>
        <w:rPr>
          <w:rtl/>
        </w:rPr>
      </w:pPr>
      <w:r>
        <w:rPr>
          <w:rFonts w:hint="cs"/>
          <w:rtl/>
        </w:rPr>
        <w:t xml:space="preserve">بعد که این آیه نازل شد پیامبر این کار را رها کردند. </w:t>
      </w:r>
      <w:r w:rsidR="00D666DB">
        <w:rPr>
          <w:rFonts w:hint="cs"/>
          <w:rtl/>
        </w:rPr>
        <w:t>در برخی از روایات دیگر تعبیر «إحدی رجلیه» نیز آمده است</w:t>
      </w:r>
      <w:r w:rsidR="00D666DB">
        <w:rPr>
          <w:rStyle w:val="FootnoteReference"/>
          <w:rtl/>
        </w:rPr>
        <w:footnoteReference w:id="12"/>
      </w:r>
      <w:r w:rsidR="00D666DB">
        <w:rPr>
          <w:rFonts w:hint="cs"/>
          <w:rtl/>
        </w:rPr>
        <w:t>. منافاتی هم باهم ندارند؛ زیرا شاید</w:t>
      </w:r>
      <w:r>
        <w:rPr>
          <w:rFonts w:hint="cs"/>
          <w:rtl/>
        </w:rPr>
        <w:t xml:space="preserve"> در نماز های مختلف گاهی روی یک پا و گاهی روی اصابع می ایستادند. </w:t>
      </w:r>
    </w:p>
    <w:p w:rsidR="00C51BF1" w:rsidRDefault="00C51BF1" w:rsidP="00D666DB">
      <w:pPr>
        <w:jc w:val="both"/>
        <w:rPr>
          <w:rtl/>
        </w:rPr>
      </w:pPr>
      <w:r>
        <w:rPr>
          <w:rFonts w:hint="cs"/>
          <w:rtl/>
        </w:rPr>
        <w:t xml:space="preserve">تنها نکته ای که می ماند در این باب ارتکاز متشرعه است. </w:t>
      </w:r>
      <w:r w:rsidR="00D129A9">
        <w:rPr>
          <w:rFonts w:hint="cs"/>
          <w:rtl/>
        </w:rPr>
        <w:t>محقق سیستانی فرموده اند که یک پا نماز خواندن خلاف ارتکاز متشرعه است. به نظر می رسد عرف متشرعه این نماز را باطل نمی داند و فقط مذمت می کند که چرا این کار را می کنید. مثل اینکه کسی بالای مناره برود نماز بخواند، عرف نمی گوید باطل است بلکه می گوید چرا آنجا نماز</w:t>
      </w:r>
      <w:r w:rsidR="00D666DB">
        <w:rPr>
          <w:rFonts w:hint="cs"/>
          <w:rtl/>
        </w:rPr>
        <w:t xml:space="preserve"> می خوانید؟ بنابراین برخی از کار</w:t>
      </w:r>
      <w:r w:rsidR="00D129A9">
        <w:rPr>
          <w:rFonts w:hint="cs"/>
          <w:rtl/>
        </w:rPr>
        <w:t xml:space="preserve"> ها</w:t>
      </w:r>
      <w:r w:rsidR="00D666DB">
        <w:rPr>
          <w:rFonts w:hint="cs"/>
          <w:rtl/>
        </w:rPr>
        <w:t xml:space="preserve"> که با ارتکاز متشرعه نا</w:t>
      </w:r>
      <w:r w:rsidR="00D129A9">
        <w:rPr>
          <w:rFonts w:hint="cs"/>
          <w:rtl/>
        </w:rPr>
        <w:t>مأنوس است</w:t>
      </w:r>
      <w:r w:rsidR="00D666DB">
        <w:rPr>
          <w:rFonts w:hint="cs"/>
          <w:rtl/>
        </w:rPr>
        <w:t>، ملازمه ای با بطلان ندارند و</w:t>
      </w:r>
      <w:r w:rsidR="00D129A9">
        <w:rPr>
          <w:rFonts w:hint="cs"/>
          <w:rtl/>
        </w:rPr>
        <w:t xml:space="preserve"> دلیلی بر بطلان آن نزد ارتکاز متشرعه نی</w:t>
      </w:r>
      <w:r w:rsidR="00D666DB">
        <w:rPr>
          <w:rFonts w:hint="cs"/>
          <w:rtl/>
        </w:rPr>
        <w:t>ست. بنابراین همانطور که سید فرم</w:t>
      </w:r>
      <w:r w:rsidR="00D129A9">
        <w:rPr>
          <w:rFonts w:hint="cs"/>
          <w:rtl/>
        </w:rPr>
        <w:t>و</w:t>
      </w:r>
      <w:r w:rsidR="00D666DB">
        <w:rPr>
          <w:rFonts w:hint="cs"/>
          <w:rtl/>
        </w:rPr>
        <w:t>د</w:t>
      </w:r>
      <w:r w:rsidR="00D129A9">
        <w:rPr>
          <w:rFonts w:hint="cs"/>
          <w:rtl/>
        </w:rPr>
        <w:t>ه است</w:t>
      </w:r>
      <w:r w:rsidR="00D666DB">
        <w:rPr>
          <w:rFonts w:hint="cs"/>
          <w:rtl/>
        </w:rPr>
        <w:t xml:space="preserve"> نماز باطل نیست و اینکه آ</w:t>
      </w:r>
      <w:r w:rsidR="00D129A9">
        <w:rPr>
          <w:rFonts w:hint="cs"/>
          <w:rtl/>
        </w:rPr>
        <w:t>ی</w:t>
      </w:r>
      <w:r w:rsidR="00D666DB">
        <w:rPr>
          <w:rFonts w:hint="cs"/>
          <w:rtl/>
        </w:rPr>
        <w:t>ه</w:t>
      </w:r>
      <w:r w:rsidR="00D666DB">
        <w:rPr>
          <w:rFonts w:cs="Calibri"/>
          <w:rtl/>
        </w:rPr>
        <w:t>﴿</w:t>
      </w:r>
      <w:r w:rsidR="00D666DB" w:rsidRPr="00D666DB">
        <w:rPr>
          <w:color w:val="008000"/>
          <w:rtl/>
        </w:rPr>
        <w:t>طه ما أَنْزَلْنا عَلَيْكَ الْقُرْآنَ لِتَشْقى</w:t>
      </w:r>
      <w:r w:rsidR="00D666DB" w:rsidRPr="00D666DB">
        <w:rPr>
          <w:rFonts w:cs="Calibri"/>
          <w:color w:val="008000"/>
          <w:rtl/>
        </w:rPr>
        <w:t>﴾</w:t>
      </w:r>
      <w:r w:rsidR="00D666DB">
        <w:rPr>
          <w:rFonts w:cs="Calibri" w:hint="cs"/>
          <w:color w:val="008000"/>
          <w:rtl/>
        </w:rPr>
        <w:t xml:space="preserve"> </w:t>
      </w:r>
      <w:r w:rsidR="00D129A9">
        <w:rPr>
          <w:rFonts w:hint="cs"/>
          <w:rtl/>
        </w:rPr>
        <w:t xml:space="preserve">نازل شد و </w:t>
      </w:r>
      <w:r w:rsidR="00D666DB">
        <w:rPr>
          <w:rFonts w:hint="cs"/>
          <w:rtl/>
        </w:rPr>
        <w:t xml:space="preserve">بعد از آن پیامبر روی دو پا می ایستدند، </w:t>
      </w:r>
      <w:r w:rsidR="00D129A9">
        <w:rPr>
          <w:rFonts w:hint="cs"/>
          <w:rtl/>
        </w:rPr>
        <w:t>دلیل نمی شود که وقوف بر یک پا ممنوع شده است</w:t>
      </w:r>
      <w:r w:rsidR="00D666DB">
        <w:rPr>
          <w:rFonts w:hint="cs"/>
          <w:rtl/>
        </w:rPr>
        <w:t>،</w:t>
      </w:r>
      <w:r w:rsidR="00D129A9">
        <w:rPr>
          <w:rFonts w:hint="cs"/>
          <w:rtl/>
        </w:rPr>
        <w:t xml:space="preserve"> بلکه صرفا آیه نازل شده بود که ا</w:t>
      </w:r>
      <w:r w:rsidR="00D666DB">
        <w:rPr>
          <w:rFonts w:hint="cs"/>
          <w:rtl/>
        </w:rPr>
        <w:t>ینقدر بر خودت سخت نگیر و</w:t>
      </w:r>
      <w:r w:rsidR="00D129A9">
        <w:rPr>
          <w:rFonts w:hint="cs"/>
          <w:rtl/>
        </w:rPr>
        <w:t xml:space="preserve"> الغای استحباب آن شده است نه اینکه منعی آمده باشد. </w:t>
      </w:r>
    </w:p>
    <w:p w:rsidR="00D666DB" w:rsidRDefault="00D666DB" w:rsidP="00D666DB">
      <w:pPr>
        <w:pStyle w:val="Heading1"/>
        <w:rPr>
          <w:rtl/>
        </w:rPr>
      </w:pPr>
      <w:bookmarkStart w:id="7" w:name="_Toc83127914"/>
      <w:r>
        <w:rPr>
          <w:rFonts w:hint="cs"/>
          <w:rtl/>
        </w:rPr>
        <w:t>مسئله 9: خم نکردن گردن در نماز (انتصاب العنق)</w:t>
      </w:r>
      <w:bookmarkEnd w:id="7"/>
    </w:p>
    <w:p w:rsidR="00D129A9" w:rsidRDefault="00D666DB" w:rsidP="00C51BF1">
      <w:pPr>
        <w:jc w:val="both"/>
        <w:rPr>
          <w:rtl/>
        </w:rPr>
      </w:pPr>
      <w:r>
        <w:rPr>
          <w:rFonts w:hint="cs"/>
          <w:rtl/>
        </w:rPr>
        <w:t>سید یزدی در مسئله 9 می فرماید:</w:t>
      </w:r>
    </w:p>
    <w:p w:rsidR="00D129A9" w:rsidRPr="00D666DB" w:rsidRDefault="00D129A9" w:rsidP="00D666DB">
      <w:pPr>
        <w:pStyle w:val="ListParagraph"/>
        <w:jc w:val="both"/>
        <w:rPr>
          <w:color w:val="0000FF"/>
          <w:rtl/>
        </w:rPr>
      </w:pPr>
      <w:r w:rsidRPr="00D666DB">
        <w:rPr>
          <w:rFonts w:hint="cs"/>
          <w:color w:val="0000FF"/>
          <w:rtl/>
        </w:rPr>
        <w:t>«</w:t>
      </w:r>
      <w:r w:rsidR="00D666DB" w:rsidRPr="00D666DB">
        <w:rPr>
          <w:color w:val="0000FF"/>
          <w:rtl/>
        </w:rPr>
        <w:t>الأحوط انتصاب العنق أيضا و إن كان الأقوى جواز الإطراق</w:t>
      </w:r>
      <w:r w:rsidR="00D666DB" w:rsidRPr="00D666DB">
        <w:rPr>
          <w:rFonts w:hint="cs"/>
          <w:color w:val="0000FF"/>
          <w:rtl/>
        </w:rPr>
        <w:t>..»</w:t>
      </w:r>
      <w:r w:rsidR="00D666DB">
        <w:rPr>
          <w:rStyle w:val="FootnoteReference"/>
          <w:color w:val="0000FF"/>
          <w:rtl/>
        </w:rPr>
        <w:footnoteReference w:id="13"/>
      </w:r>
    </w:p>
    <w:p w:rsidR="00D12A82" w:rsidRDefault="00D12A82" w:rsidP="00D12A82">
      <w:pPr>
        <w:jc w:val="both"/>
        <w:rPr>
          <w:rtl/>
        </w:rPr>
      </w:pPr>
      <w:r>
        <w:rPr>
          <w:rFonts w:hint="cs"/>
          <w:rtl/>
        </w:rPr>
        <w:t>سید می فرماید احتیاط مستحب این است که انسان گردن</w:t>
      </w:r>
      <w:r w:rsidR="00D666DB">
        <w:rPr>
          <w:rFonts w:hint="cs"/>
          <w:rtl/>
        </w:rPr>
        <w:t xml:space="preserve"> خود را خم نکند و بالا آورد، گرچه</w:t>
      </w:r>
      <w:r>
        <w:rPr>
          <w:rFonts w:hint="cs"/>
          <w:rtl/>
        </w:rPr>
        <w:t xml:space="preserve"> أقوی این است که اشکالی ندارد. از مرحوم صدوق نقل شده است که قائل به </w:t>
      </w:r>
      <w:r w:rsidR="00D666DB">
        <w:rPr>
          <w:rFonts w:hint="cs"/>
          <w:rtl/>
        </w:rPr>
        <w:t>وجوب انتصاب عنق بوده اند.</w:t>
      </w:r>
      <w:r>
        <w:rPr>
          <w:rFonts w:hint="cs"/>
          <w:rtl/>
        </w:rPr>
        <w:t xml:space="preserve"> احتمالا مستند ایشان برخی از روایات است. از جمله: </w:t>
      </w:r>
    </w:p>
    <w:p w:rsidR="00D12A82" w:rsidRDefault="00D12A82" w:rsidP="00D666DB">
      <w:pPr>
        <w:pStyle w:val="ListParagraph"/>
        <w:numPr>
          <w:ilvl w:val="0"/>
          <w:numId w:val="22"/>
        </w:numPr>
        <w:jc w:val="both"/>
        <w:rPr>
          <w:rtl/>
        </w:rPr>
      </w:pPr>
      <w:r>
        <w:rPr>
          <w:rFonts w:hint="cs"/>
          <w:rtl/>
        </w:rPr>
        <w:t>مرسله حریز:</w:t>
      </w:r>
    </w:p>
    <w:p w:rsidR="00D12A82" w:rsidRPr="00D666DB" w:rsidRDefault="00D12A82" w:rsidP="00D666DB">
      <w:pPr>
        <w:pStyle w:val="ListParagraph"/>
        <w:jc w:val="both"/>
        <w:rPr>
          <w:rFonts w:hint="cs"/>
          <w:color w:val="008000"/>
          <w:rtl/>
        </w:rPr>
      </w:pPr>
      <w:r>
        <w:rPr>
          <w:rFonts w:hint="cs"/>
          <w:rtl/>
        </w:rPr>
        <w:t>«</w:t>
      </w:r>
      <w:r w:rsidR="00D666DB" w:rsidRPr="00D666DB">
        <w:rPr>
          <w:rtl/>
        </w:rPr>
        <w:t xml:space="preserve">عَنْهُ عَنْ أَحْمَدَ بْنِ مُحَمَّدٍ عَنْ حَمَّادٍ عَنْ حَرِيزٍ عَنْ رَجُلٍ </w:t>
      </w:r>
      <w:r w:rsidR="00D666DB" w:rsidRPr="00D666DB">
        <w:rPr>
          <w:color w:val="008000"/>
          <w:rtl/>
        </w:rPr>
        <w:t>عَنْ أَبِي جَعْفَرٍ ع قَالَ: قُلْتُ لَهُ فَصَلِّ لِرَبِّكَ وَ انْحَرْ قَالَ النَّحْرُ الِاعْتِدَالُ فِي الْقِيَامِ أَنْ يُقِيمَ صُلْبَهُ و</w:t>
      </w:r>
      <w:r w:rsidR="00D666DB" w:rsidRPr="00D666DB">
        <w:rPr>
          <w:color w:val="008000"/>
        </w:rPr>
        <w:t xml:space="preserve">  </w:t>
      </w:r>
      <w:r w:rsidR="00D666DB" w:rsidRPr="00D666DB">
        <w:rPr>
          <w:color w:val="008000"/>
          <w:rtl/>
        </w:rPr>
        <w:t>نَحْرَهُ</w:t>
      </w:r>
      <w:r w:rsidR="00D666DB" w:rsidRPr="00D666DB">
        <w:rPr>
          <w:rFonts w:hint="cs"/>
          <w:color w:val="008000"/>
          <w:rtl/>
        </w:rPr>
        <w:t>»</w:t>
      </w:r>
      <w:r w:rsidR="00D666DB">
        <w:rPr>
          <w:rStyle w:val="FootnoteReference"/>
          <w:color w:val="008000"/>
          <w:rtl/>
        </w:rPr>
        <w:footnoteReference w:id="14"/>
      </w:r>
    </w:p>
    <w:p w:rsidR="00D12A82" w:rsidRDefault="00D666DB" w:rsidP="00D12A82">
      <w:pPr>
        <w:jc w:val="both"/>
        <w:rPr>
          <w:rtl/>
        </w:rPr>
      </w:pPr>
      <w:r>
        <w:rPr>
          <w:rFonts w:hint="cs"/>
          <w:rtl/>
        </w:rPr>
        <w:lastRenderedPageBreak/>
        <w:t xml:space="preserve">گفته می شود </w:t>
      </w:r>
      <w:r w:rsidR="00D12A82">
        <w:rPr>
          <w:rFonts w:hint="cs"/>
          <w:rtl/>
        </w:rPr>
        <w:t xml:space="preserve">نحر اعتدال در قیام است به اینکه انسان هم اقامه صلب و هم اقامه نحر کند. یعنی گردن خود را کج نکند. </w:t>
      </w:r>
      <w:r w:rsidR="00C50ACD">
        <w:rPr>
          <w:rFonts w:hint="cs"/>
          <w:rtl/>
        </w:rPr>
        <w:t xml:space="preserve">کج کردن گردن اعم از اینکه به سمت جلو یا به سمت راست و چپ باشد خلاف اقامه نحر است. </w:t>
      </w:r>
      <w:r w:rsidR="00FD46A2">
        <w:rPr>
          <w:rFonts w:hint="cs"/>
          <w:rtl/>
        </w:rPr>
        <w:t>اطراق به معنای جلو انداختن گردن است.</w:t>
      </w:r>
    </w:p>
    <w:p w:rsidR="00F811BF" w:rsidRDefault="00D12A82" w:rsidP="00D666DB">
      <w:pPr>
        <w:jc w:val="both"/>
        <w:rPr>
          <w:rFonts w:hint="cs"/>
          <w:rtl/>
        </w:rPr>
      </w:pPr>
      <w:r>
        <w:rPr>
          <w:rFonts w:hint="cs"/>
          <w:rtl/>
        </w:rPr>
        <w:t xml:space="preserve">در جواب می گوییم: </w:t>
      </w:r>
      <w:r w:rsidR="00C50ACD">
        <w:rPr>
          <w:rFonts w:hint="cs"/>
          <w:rtl/>
        </w:rPr>
        <w:t xml:space="preserve">اولا این روایت مرسله است و دلیلی بر حجیت مراسیل حریز نیست. </w:t>
      </w:r>
      <w:r w:rsidR="0017798C">
        <w:rPr>
          <w:rFonts w:hint="cs"/>
          <w:rtl/>
        </w:rPr>
        <w:t xml:space="preserve">علاوه بر اینکه مسئله </w:t>
      </w:r>
      <w:r w:rsidR="00D666DB">
        <w:rPr>
          <w:rFonts w:hint="cs"/>
          <w:rtl/>
        </w:rPr>
        <w:t>«</w:t>
      </w:r>
      <w:r w:rsidR="0017798C">
        <w:rPr>
          <w:rFonts w:hint="cs"/>
          <w:rtl/>
        </w:rPr>
        <w:t>لوکان لبان</w:t>
      </w:r>
      <w:r w:rsidR="00D666DB">
        <w:rPr>
          <w:rFonts w:hint="cs"/>
          <w:rtl/>
        </w:rPr>
        <w:t>»</w:t>
      </w:r>
      <w:r w:rsidR="0017798C">
        <w:rPr>
          <w:rFonts w:hint="cs"/>
          <w:rtl/>
        </w:rPr>
        <w:t xml:space="preserve"> اینجا نیز مطرح است؛ اگر قرار بود انتصاب عنق واجب باشد</w:t>
      </w:r>
      <w:r w:rsidR="00D666DB">
        <w:rPr>
          <w:rFonts w:hint="cs"/>
          <w:rtl/>
        </w:rPr>
        <w:t xml:space="preserve"> </w:t>
      </w:r>
      <w:r w:rsidR="00D666DB">
        <w:rPr>
          <w:rFonts w:hint="cs"/>
          <w:rtl/>
        </w:rPr>
        <w:t>با توجه به اینکه جزء مسائل مورد ابتلاء است</w:t>
      </w:r>
      <w:r w:rsidR="00D666DB">
        <w:rPr>
          <w:rFonts w:hint="cs"/>
          <w:rtl/>
        </w:rPr>
        <w:t>،</w:t>
      </w:r>
      <w:r w:rsidR="0017798C">
        <w:rPr>
          <w:rFonts w:hint="cs"/>
          <w:rtl/>
        </w:rPr>
        <w:t xml:space="preserve"> مطر</w:t>
      </w:r>
      <w:r w:rsidR="00D666DB">
        <w:rPr>
          <w:rFonts w:hint="cs"/>
          <w:rtl/>
        </w:rPr>
        <w:t>ح می شد و برفقهاء مخفی نمی ماند</w:t>
      </w:r>
      <w:r w:rsidR="0017798C">
        <w:rPr>
          <w:rFonts w:hint="cs"/>
          <w:rtl/>
        </w:rPr>
        <w:t>. جالب این است که حلبی بر</w:t>
      </w:r>
      <w:r w:rsidR="00FC1B52">
        <w:rPr>
          <w:rFonts w:hint="cs"/>
          <w:rtl/>
        </w:rPr>
        <w:t xml:space="preserve"> خلاف صدوق قائل به استحباب اطراق (پایین انداختن به سمت جلو)</w:t>
      </w:r>
      <w:r w:rsidR="0017798C">
        <w:rPr>
          <w:rFonts w:hint="cs"/>
          <w:rtl/>
        </w:rPr>
        <w:t xml:space="preserve"> شده است و قائل است که شأن متقی این است که با گردن کج نماز می خواند و نشانه خضوع است. </w:t>
      </w:r>
      <w:r w:rsidR="00FC1B52">
        <w:rPr>
          <w:rFonts w:hint="cs"/>
          <w:rtl/>
        </w:rPr>
        <w:t>مثل اینکه انسان در برابر انسان بزرگی قرار می گی</w:t>
      </w:r>
      <w:r w:rsidR="00F811BF">
        <w:rPr>
          <w:rFonts w:hint="cs"/>
          <w:rtl/>
        </w:rPr>
        <w:t>رد و گردن خود را کج می کند</w:t>
      </w:r>
      <w:r w:rsidR="00F811BF">
        <w:t xml:space="preserve"> </w:t>
      </w:r>
      <w:r w:rsidR="00F811BF">
        <w:rPr>
          <w:rFonts w:hint="cs"/>
          <w:rtl/>
        </w:rPr>
        <w:t xml:space="preserve">و این کار نشانه خضوع است. </w:t>
      </w:r>
    </w:p>
    <w:p w:rsidR="009972CF" w:rsidRDefault="00FC1B52" w:rsidP="009972CF">
      <w:pPr>
        <w:jc w:val="both"/>
        <w:rPr>
          <w:rtl/>
        </w:rPr>
      </w:pPr>
      <w:r>
        <w:rPr>
          <w:rFonts w:hint="cs"/>
          <w:rtl/>
        </w:rPr>
        <w:t xml:space="preserve"> این دلیل به نظر ما دلیل فقهی محسوب نمی شود و قابل اعتناء نیست. اینکه گفته شود به عنوان ثانوی که مصداق خضوع است مستحب شود،</w:t>
      </w:r>
      <w:r w:rsidR="00D666DB">
        <w:rPr>
          <w:rFonts w:hint="cs"/>
          <w:rtl/>
        </w:rPr>
        <w:t xml:space="preserve"> تمام نست؛ زیرا</w:t>
      </w:r>
      <w:r>
        <w:rPr>
          <w:rFonts w:hint="cs"/>
          <w:rtl/>
        </w:rPr>
        <w:t xml:space="preserve"> خضوع مستحب است</w:t>
      </w:r>
      <w:r w:rsidR="00D666DB">
        <w:rPr>
          <w:rFonts w:hint="cs"/>
          <w:rtl/>
        </w:rPr>
        <w:t>،</w:t>
      </w:r>
      <w:r>
        <w:rPr>
          <w:rFonts w:hint="cs"/>
          <w:rtl/>
        </w:rPr>
        <w:t xml:space="preserve"> ولی اینکه این کار هم مستحب باشد معلوم نیست. </w:t>
      </w:r>
      <w:r w:rsidR="00FD46A2">
        <w:rPr>
          <w:rFonts w:hint="cs"/>
          <w:rtl/>
        </w:rPr>
        <w:t xml:space="preserve">ما نباید چیزی را در دین اضافه کنیم. اگر قرار باشد هر کسی هر مصداقی را به عنوان مستحب در دین اضافه کند مانند فعل خلیفه دوم می شود. </w:t>
      </w:r>
      <w:r>
        <w:rPr>
          <w:rFonts w:hint="cs"/>
          <w:rtl/>
        </w:rPr>
        <w:t xml:space="preserve">مانند داستانی که برای اسیران ایرانی و خلیفه دوم مطرح شده است و او از خودش مصداق برای خضوع درست کرد و این مصداق تکتف را مستحب دانست. ما حق نداریم از خود مصداق درست کنیم. </w:t>
      </w:r>
      <w:r w:rsidR="00F65AE8">
        <w:rPr>
          <w:rFonts w:hint="cs"/>
          <w:rtl/>
        </w:rPr>
        <w:t>آنچه مستحب است خضوع است ولی</w:t>
      </w:r>
      <w:r>
        <w:rPr>
          <w:rFonts w:hint="cs"/>
          <w:rtl/>
        </w:rPr>
        <w:t xml:space="preserve"> اطراق عنق مستحب نمی شود. </w:t>
      </w:r>
      <w:r w:rsidR="008F5237">
        <w:rPr>
          <w:rFonts w:hint="cs"/>
          <w:rtl/>
        </w:rPr>
        <w:t xml:space="preserve">در روایت صحیحه زراره </w:t>
      </w:r>
      <w:r w:rsidR="00720265">
        <w:rPr>
          <w:rFonts w:hint="cs"/>
          <w:rtl/>
        </w:rPr>
        <w:t>که خی</w:t>
      </w:r>
      <w:r w:rsidR="00235CBA">
        <w:rPr>
          <w:rFonts w:hint="cs"/>
          <w:rtl/>
        </w:rPr>
        <w:t>لی از مستحبات را ذکر کرده بود</w:t>
      </w:r>
      <w:r w:rsidR="00515A22">
        <w:rPr>
          <w:rFonts w:hint="cs"/>
          <w:rtl/>
        </w:rPr>
        <w:t xml:space="preserve"> </w:t>
      </w:r>
      <w:r w:rsidR="00C05072">
        <w:rPr>
          <w:rFonts w:hint="cs"/>
          <w:rtl/>
        </w:rPr>
        <w:t xml:space="preserve">این تعبیر آمده است: </w:t>
      </w:r>
      <w:r w:rsidR="00C05072" w:rsidRPr="00C05072">
        <w:rPr>
          <w:rFonts w:hint="cs"/>
          <w:color w:val="008000"/>
          <w:rtl/>
        </w:rPr>
        <w:t>«أقم صلبک و مدّ عنقک</w:t>
      </w:r>
      <w:r w:rsidR="00C05072">
        <w:rPr>
          <w:rFonts w:hint="cs"/>
          <w:rtl/>
        </w:rPr>
        <w:t xml:space="preserve">» آنچه آمده است «مد العنق» است نه اینکه اطراق مستحب باشد. </w:t>
      </w:r>
      <w:r w:rsidR="009972CF">
        <w:rPr>
          <w:rFonts w:hint="cs"/>
          <w:rtl/>
        </w:rPr>
        <w:t xml:space="preserve">گفته می شود که در روایت زراره آمده است که وجه شما نیز رو به موضع سجود باشد و این با اطراق رأس ممکن است. در جواب می گوییم: هیچ ملازمه ای بین اینکه وجه شما رو به موضع سجود باشد و اطراق نیست. </w:t>
      </w:r>
    </w:p>
    <w:p w:rsidR="00720265" w:rsidRDefault="00202BE7" w:rsidP="00202BE7">
      <w:pPr>
        <w:pStyle w:val="Heading1"/>
        <w:rPr>
          <w:rtl/>
        </w:rPr>
      </w:pPr>
      <w:bookmarkStart w:id="8" w:name="_Toc83127915"/>
      <w:r>
        <w:rPr>
          <w:rFonts w:hint="cs"/>
          <w:rtl/>
        </w:rPr>
        <w:t>مسئله 10: ترک سهوی شرایط قیام</w:t>
      </w:r>
      <w:bookmarkEnd w:id="8"/>
      <w:r>
        <w:rPr>
          <w:rFonts w:hint="cs"/>
          <w:rtl/>
        </w:rPr>
        <w:t xml:space="preserve"> </w:t>
      </w:r>
    </w:p>
    <w:p w:rsidR="00202BE7" w:rsidRDefault="00202BE7" w:rsidP="00FC1B52">
      <w:pPr>
        <w:jc w:val="both"/>
        <w:rPr>
          <w:rtl/>
        </w:rPr>
      </w:pPr>
      <w:r>
        <w:rPr>
          <w:rFonts w:hint="cs"/>
          <w:rtl/>
        </w:rPr>
        <w:t xml:space="preserve">سید یزدی می فرمایند: </w:t>
      </w:r>
    </w:p>
    <w:p w:rsidR="00202BE7" w:rsidRPr="00202BE7" w:rsidRDefault="00202BE7" w:rsidP="00202BE7">
      <w:pPr>
        <w:pStyle w:val="ListParagraph"/>
        <w:jc w:val="both"/>
        <w:rPr>
          <w:color w:val="0000FF"/>
          <w:rtl/>
        </w:rPr>
      </w:pPr>
      <w:r w:rsidRPr="00202BE7">
        <w:rPr>
          <w:rFonts w:hint="cs"/>
          <w:color w:val="0000FF"/>
          <w:rtl/>
        </w:rPr>
        <w:t>«</w:t>
      </w:r>
      <w:r w:rsidRPr="00202BE7">
        <w:rPr>
          <w:color w:val="0000FF"/>
          <w:rtl/>
        </w:rPr>
        <w:t xml:space="preserve"> إذا ترك الانتصاب أو الاستقرار أو الاستقلال ناسيا صحت صلاته و إن كان ذلك في القيام الركني لكن الأحوط فيه الإعادة</w:t>
      </w:r>
      <w:r w:rsidRPr="00202BE7">
        <w:rPr>
          <w:rFonts w:hint="cs"/>
          <w:color w:val="0000FF"/>
          <w:rtl/>
        </w:rPr>
        <w:t>»</w:t>
      </w:r>
      <w:r>
        <w:rPr>
          <w:rStyle w:val="FootnoteReference"/>
          <w:color w:val="0000FF"/>
          <w:rtl/>
        </w:rPr>
        <w:footnoteReference w:id="15"/>
      </w:r>
    </w:p>
    <w:p w:rsidR="00202BE7" w:rsidRDefault="00202BE7" w:rsidP="00413475">
      <w:pPr>
        <w:jc w:val="both"/>
        <w:rPr>
          <w:rtl/>
        </w:rPr>
      </w:pPr>
      <w:r>
        <w:rPr>
          <w:rFonts w:hint="cs"/>
          <w:rtl/>
        </w:rPr>
        <w:lastRenderedPageBreak/>
        <w:t>صاحب عروه در تکبیرۀ الإحرام فرمود که اگر کسی انتصاب را فراموش کند نمازش باطل است، ولی در این مسئله می فرماید اگر کسی انتصاب یا استقلال یا استقرار را ناسیا ترک کند نمازش صحیح است، حتی اگر قیام رکنی باشد که یکی از قیام های رکنی قیام تکبیرۀ الإحرام است و این تهافت در کلام سید است. البته حق با کلام سید در این مسئله است</w:t>
      </w:r>
      <w:r w:rsidR="008A7879">
        <w:rPr>
          <w:rFonts w:hint="cs"/>
          <w:rtl/>
        </w:rPr>
        <w:t>؛</w:t>
      </w:r>
      <w:r>
        <w:rPr>
          <w:rFonts w:hint="cs"/>
          <w:rtl/>
        </w:rPr>
        <w:t xml:space="preserve"> زیرا وقتی انتصاب مقوم قیام نباشد، با ترک آن قیام رکنی مختل نخواهد شد. </w:t>
      </w:r>
    </w:p>
    <w:p w:rsidR="00202BE7" w:rsidRDefault="0044128E" w:rsidP="00D16247">
      <w:pPr>
        <w:jc w:val="both"/>
        <w:rPr>
          <w:rtl/>
        </w:rPr>
      </w:pPr>
      <w:r w:rsidRPr="0044128E">
        <w:rPr>
          <w:rFonts w:hint="cs"/>
          <w:b/>
          <w:bCs/>
          <w:rtl/>
        </w:rPr>
        <w:t>نکته</w:t>
      </w:r>
      <w:r>
        <w:rPr>
          <w:rFonts w:hint="cs"/>
          <w:rtl/>
        </w:rPr>
        <w:t xml:space="preserve">: </w:t>
      </w:r>
      <w:r w:rsidR="00D16247">
        <w:rPr>
          <w:rFonts w:hint="cs"/>
          <w:rtl/>
        </w:rPr>
        <w:t>در قیام قبل از رکوع اصلا استقرار و استقلال و حتی انتصابی که ترک آن منافات با صدق قیام ندارد، معتبر نیست؛ زیرا دلیلی ندارد که قیام قبل از رکوع یک واجب مستقل باشد. مثلا محقق خویی فرموده اند که قیام قبل از رکوع مقوم رکوع است و واجب جداگانه ای که جعل شده باشد نیست. این احتمال ثبوتا جای دارد. احتمال دارد که قیام در عالم ثبوت یا شرط صدق عرفی رکوع یا شرط شرعی آن باشد. بنابراین دلیلی بر اینکه قیام به عنوان عملی جداگانه واجب باشد، موجود نیست؛ از این رو اگر کسی</w:t>
      </w:r>
      <w:r>
        <w:rPr>
          <w:rFonts w:hint="cs"/>
          <w:rtl/>
        </w:rPr>
        <w:t xml:space="preserve"> رکوع را فراموش کند و به سمت سجده برود، برخیزد و بدون اینکه انتصاب داشته باشد به رکوع برود،</w:t>
      </w:r>
      <w:r w:rsidR="00D16247">
        <w:rPr>
          <w:rFonts w:hint="cs"/>
          <w:rtl/>
        </w:rPr>
        <w:t xml:space="preserve"> از همان حالت انحناء به رکوع برود، رکعت صدق می کند. یا اگر قیام شخص مستقلا نباشد صدق رکعت می کند. </w:t>
      </w:r>
    </w:p>
    <w:p w:rsidR="00460DDA" w:rsidRDefault="00720265" w:rsidP="0044128E">
      <w:pPr>
        <w:jc w:val="both"/>
        <w:rPr>
          <w:rtl/>
        </w:rPr>
      </w:pPr>
      <w:r>
        <w:rPr>
          <w:rFonts w:hint="cs"/>
          <w:rtl/>
        </w:rPr>
        <w:t>لذا محقق خویی فرموده اند که</w:t>
      </w:r>
      <w:r w:rsidR="0044128E">
        <w:rPr>
          <w:rFonts w:hint="cs"/>
          <w:rtl/>
        </w:rPr>
        <w:t xml:space="preserve"> در قیام قبل از رکوع</w:t>
      </w:r>
      <w:r>
        <w:rPr>
          <w:rFonts w:hint="cs"/>
          <w:rtl/>
        </w:rPr>
        <w:t xml:space="preserve"> در حال التفات نیز استقرار شرط نیست؛ زیرا ایشان</w:t>
      </w:r>
      <w:r w:rsidR="0044128E">
        <w:rPr>
          <w:rFonts w:hint="cs"/>
          <w:rtl/>
        </w:rPr>
        <w:t xml:space="preserve"> معتقد است قیام قبل از رکوع به خاطر صدق رکوع معتبر بود، ما هم احتمال می دهیم که شرط شرعی رکوع باشد و دلیلی بر واجب مستقل بودن آن نیست.</w:t>
      </w:r>
      <w:r>
        <w:rPr>
          <w:rFonts w:hint="cs"/>
          <w:rtl/>
        </w:rPr>
        <w:t xml:space="preserve"> </w:t>
      </w:r>
      <w:r w:rsidR="0044128E">
        <w:rPr>
          <w:rFonts w:hint="cs"/>
          <w:rtl/>
        </w:rPr>
        <w:t>تعبیر «</w:t>
      </w:r>
      <w:r>
        <w:rPr>
          <w:rFonts w:hint="cs"/>
          <w:rtl/>
        </w:rPr>
        <w:t>قم منتصبا</w:t>
      </w:r>
      <w:r w:rsidR="0044128E">
        <w:rPr>
          <w:rFonts w:hint="cs"/>
          <w:rtl/>
        </w:rPr>
        <w:t>»</w:t>
      </w:r>
      <w:r>
        <w:rPr>
          <w:rFonts w:hint="cs"/>
          <w:rtl/>
        </w:rPr>
        <w:t xml:space="preserve"> را نیز می فرماید ظهوری در</w:t>
      </w:r>
      <w:r w:rsidR="0044128E">
        <w:rPr>
          <w:rFonts w:hint="cs"/>
          <w:rtl/>
        </w:rPr>
        <w:t xml:space="preserve"> قیام قبل از رکوع ندارد. اینکه</w:t>
      </w:r>
      <w:r>
        <w:rPr>
          <w:rFonts w:hint="cs"/>
          <w:rtl/>
        </w:rPr>
        <w:t xml:space="preserve"> قیام متصل به رکوع هم باید د</w:t>
      </w:r>
      <w:r w:rsidR="008B6964">
        <w:rPr>
          <w:rFonts w:hint="cs"/>
          <w:rtl/>
        </w:rPr>
        <w:t xml:space="preserve">ر حالت انتصاب باشد، دلیلی ندارد؛ زیرا امام نفرموده است که «لا قیام الا مع الإنتصاب» و اگر اینطور هم می گفت باز هم محقق خویی اشکال می کرد که آن در جایی است که قیام واجب شرعی باشد در حالی که قیام قبل از رکوع مقوم رکوع است و واجب جداگانه ای نیست. </w:t>
      </w:r>
    </w:p>
    <w:p w:rsidR="00413475" w:rsidRDefault="00413475" w:rsidP="006D6B44">
      <w:pPr>
        <w:pStyle w:val="Heading1"/>
        <w:rPr>
          <w:rtl/>
        </w:rPr>
      </w:pPr>
      <w:bookmarkStart w:id="9" w:name="_Toc83127916"/>
      <w:r>
        <w:rPr>
          <w:rFonts w:hint="cs"/>
          <w:rtl/>
        </w:rPr>
        <w:t xml:space="preserve">مسئله 11: </w:t>
      </w:r>
      <w:r w:rsidR="006D6B44">
        <w:rPr>
          <w:rFonts w:hint="cs"/>
          <w:rtl/>
        </w:rPr>
        <w:t>عدم لزوم اعتماد بر هر دو پا به صورت مساوی</w:t>
      </w:r>
      <w:bookmarkEnd w:id="9"/>
      <w:r w:rsidR="006D6B44">
        <w:rPr>
          <w:rFonts w:hint="cs"/>
          <w:rtl/>
        </w:rPr>
        <w:t xml:space="preserve"> </w:t>
      </w:r>
    </w:p>
    <w:p w:rsidR="006D6B44" w:rsidRDefault="006D6B44" w:rsidP="00413475">
      <w:pPr>
        <w:jc w:val="both"/>
        <w:rPr>
          <w:rtl/>
        </w:rPr>
      </w:pPr>
      <w:r>
        <w:rPr>
          <w:rFonts w:hint="cs"/>
          <w:rtl/>
        </w:rPr>
        <w:t xml:space="preserve">سید یزدی می فرمایند: </w:t>
      </w:r>
    </w:p>
    <w:p w:rsidR="00413475" w:rsidRPr="006D6B44" w:rsidRDefault="00413475" w:rsidP="006D6B44">
      <w:pPr>
        <w:pStyle w:val="ListParagraph"/>
        <w:jc w:val="both"/>
        <w:rPr>
          <w:color w:val="0000FF"/>
          <w:rtl/>
        </w:rPr>
      </w:pPr>
      <w:r w:rsidRPr="006D6B44">
        <w:rPr>
          <w:rFonts w:hint="cs"/>
          <w:color w:val="0000FF"/>
          <w:rtl/>
        </w:rPr>
        <w:t>«</w:t>
      </w:r>
      <w:r w:rsidR="006D6B44" w:rsidRPr="006D6B44">
        <w:rPr>
          <w:color w:val="0000FF"/>
          <w:rtl/>
        </w:rPr>
        <w:t>لا يجب تسوية الرجلين في الاعتماد فيجوز أن يكون الاعتماد على إحداهما و لو على القول بوجوب الوقوف عليهما</w:t>
      </w:r>
      <w:r w:rsidR="006D6B44" w:rsidRPr="006D6B44">
        <w:rPr>
          <w:rFonts w:hint="cs"/>
          <w:color w:val="0000FF"/>
          <w:rtl/>
        </w:rPr>
        <w:t>»</w:t>
      </w:r>
      <w:r w:rsidR="006D6B44">
        <w:rPr>
          <w:rStyle w:val="FootnoteReference"/>
          <w:color w:val="0000FF"/>
          <w:rtl/>
        </w:rPr>
        <w:footnoteReference w:id="16"/>
      </w:r>
    </w:p>
    <w:p w:rsidR="00413475" w:rsidRDefault="00413475" w:rsidP="00413475">
      <w:pPr>
        <w:jc w:val="both"/>
        <w:rPr>
          <w:rtl/>
        </w:rPr>
      </w:pPr>
      <w:r>
        <w:rPr>
          <w:rFonts w:hint="cs"/>
          <w:rtl/>
        </w:rPr>
        <w:t xml:space="preserve">این مسئله روشن است و برفرض واجب باشد یا احتیاط واجب باشد که بر دو پا بایستیم، ولی دلیلی بر لزوم اعتماد بر هر دو پا نیست. </w:t>
      </w:r>
    </w:p>
    <w:p w:rsidR="00413475" w:rsidRDefault="00413475" w:rsidP="006D6B44">
      <w:pPr>
        <w:pStyle w:val="Heading1"/>
        <w:rPr>
          <w:rtl/>
        </w:rPr>
      </w:pPr>
      <w:bookmarkStart w:id="10" w:name="_Toc83127917"/>
      <w:r>
        <w:rPr>
          <w:rFonts w:hint="cs"/>
          <w:rtl/>
        </w:rPr>
        <w:lastRenderedPageBreak/>
        <w:t xml:space="preserve">مسئله 12: </w:t>
      </w:r>
      <w:r w:rsidR="006D6B44">
        <w:rPr>
          <w:rFonts w:hint="cs"/>
          <w:rtl/>
        </w:rPr>
        <w:t>عدم فرق بین مصادیق آنچه بدان اعتماد می شود</w:t>
      </w:r>
      <w:bookmarkEnd w:id="10"/>
    </w:p>
    <w:p w:rsidR="006D6B44" w:rsidRDefault="006D6B44" w:rsidP="006D6B44">
      <w:pPr>
        <w:jc w:val="both"/>
        <w:rPr>
          <w:rtl/>
        </w:rPr>
      </w:pPr>
      <w:r>
        <w:rPr>
          <w:rFonts w:hint="cs"/>
          <w:rtl/>
        </w:rPr>
        <w:t xml:space="preserve">سید یزدی می فرماید: </w:t>
      </w:r>
    </w:p>
    <w:p w:rsidR="00413475" w:rsidRPr="006D6B44" w:rsidRDefault="00413475" w:rsidP="006D6B44">
      <w:pPr>
        <w:pStyle w:val="ListParagraph"/>
        <w:jc w:val="both"/>
        <w:rPr>
          <w:color w:val="0000FF"/>
          <w:rtl/>
        </w:rPr>
      </w:pPr>
      <w:r w:rsidRPr="006D6B44">
        <w:rPr>
          <w:rFonts w:hint="cs"/>
          <w:color w:val="0000FF"/>
          <w:rtl/>
        </w:rPr>
        <w:t>«</w:t>
      </w:r>
      <w:r w:rsidR="006D6B44" w:rsidRPr="006D6B44">
        <w:rPr>
          <w:color w:val="0000FF"/>
          <w:rtl/>
        </w:rPr>
        <w:t>لا فرق في حال الاضطرار بين الاعتماد على الحائط أو الإنسان أو الخشبة و لا يعتبر في سناد الأقطع أن يكون خشبته المعدة لمشيه بل يجوز له الاعتماد على غيرها من المذكورات</w:t>
      </w:r>
      <w:r w:rsidR="006D6B44" w:rsidRPr="006D6B44">
        <w:rPr>
          <w:rFonts w:hint="cs"/>
          <w:color w:val="0000FF"/>
          <w:rtl/>
        </w:rPr>
        <w:t>»</w:t>
      </w:r>
      <w:r w:rsidR="006D6B44">
        <w:rPr>
          <w:rStyle w:val="FootnoteReference"/>
          <w:color w:val="0000FF"/>
          <w:rtl/>
        </w:rPr>
        <w:footnoteReference w:id="17"/>
      </w:r>
    </w:p>
    <w:p w:rsidR="00413475" w:rsidRDefault="00413475" w:rsidP="006D6B44">
      <w:pPr>
        <w:jc w:val="both"/>
        <w:rPr>
          <w:rtl/>
        </w:rPr>
      </w:pPr>
      <w:r>
        <w:rPr>
          <w:rFonts w:hint="cs"/>
          <w:rtl/>
        </w:rPr>
        <w:t xml:space="preserve">اگر کسی مضطر است که استقلال را رعایت نکند، </w:t>
      </w:r>
      <w:r w:rsidR="006D6B44">
        <w:rPr>
          <w:rFonts w:hint="cs"/>
          <w:rtl/>
        </w:rPr>
        <w:t xml:space="preserve">در این که به چه چیزی تکیه کند، تفاوتی نیست. </w:t>
      </w:r>
      <w:r>
        <w:rPr>
          <w:rFonts w:hint="cs"/>
          <w:rtl/>
        </w:rPr>
        <w:t>می تواند به هر چیزی اعم از دیوار و انسان و چوب اعتماد کند. مثلا کسی که پا ندارد لزومی ندارد از عصایی که همیشه استفاده می کند کمک بگیرد و می تواند به چیز دیگری تکیه بدهد. بلکه به نظر ما حتی اگر انسانی این نماز گذا</w:t>
      </w:r>
      <w:r w:rsidR="00413191">
        <w:rPr>
          <w:rFonts w:hint="cs"/>
          <w:rtl/>
        </w:rPr>
        <w:t xml:space="preserve">ر را نگه دارد نیز اشکالی ندارد و بعید نیست مشمول اطلاق این عبارت شود. فرقی هم نمی کند که این تکیه دادن مستند به ما باشد مثل اینکه من بروم سراغ شخص و یا اینکه مستند به او باشد مثل اینکه او بیاید و مارا بگیرد. </w:t>
      </w:r>
    </w:p>
    <w:p w:rsidR="00FC1B52" w:rsidRDefault="00FC1B52" w:rsidP="00D12A82">
      <w:pPr>
        <w:jc w:val="both"/>
        <w:rPr>
          <w:rtl/>
        </w:rPr>
      </w:pPr>
    </w:p>
    <w:p w:rsidR="00FC1B52" w:rsidRDefault="00FC1B52" w:rsidP="00D12A82">
      <w:pPr>
        <w:jc w:val="both"/>
        <w:rPr>
          <w:rtl/>
        </w:rPr>
      </w:pPr>
    </w:p>
    <w:p w:rsidR="00FC1B52" w:rsidRDefault="00FC1B52" w:rsidP="00D12A82">
      <w:pPr>
        <w:jc w:val="both"/>
        <w:rPr>
          <w:rtl/>
        </w:rPr>
      </w:pPr>
    </w:p>
    <w:p w:rsidR="00FC1B52" w:rsidRDefault="00FC1B52" w:rsidP="00D12A82">
      <w:pPr>
        <w:jc w:val="both"/>
        <w:rPr>
          <w:rtl/>
        </w:rPr>
      </w:pPr>
    </w:p>
    <w:p w:rsidR="001514E8" w:rsidRDefault="001514E8" w:rsidP="001514E8">
      <w:pPr>
        <w:jc w:val="both"/>
        <w:rPr>
          <w:rtl/>
        </w:rPr>
      </w:pPr>
    </w:p>
    <w:p w:rsidR="001514E8" w:rsidRDefault="001514E8" w:rsidP="001969FF">
      <w:pPr>
        <w:jc w:val="both"/>
        <w:rPr>
          <w:rtl/>
        </w:rPr>
      </w:pPr>
    </w:p>
    <w:p w:rsidR="001514E8" w:rsidRDefault="001514E8" w:rsidP="001969FF">
      <w:pPr>
        <w:jc w:val="both"/>
        <w:rPr>
          <w:rtl/>
        </w:rPr>
      </w:pPr>
    </w:p>
    <w:p w:rsidR="001514E8" w:rsidRDefault="001514E8" w:rsidP="001969FF">
      <w:pPr>
        <w:jc w:val="both"/>
        <w:rPr>
          <w:rtl/>
        </w:rPr>
      </w:pPr>
    </w:p>
    <w:p w:rsidR="001514E8" w:rsidRDefault="001514E8" w:rsidP="001969FF">
      <w:pPr>
        <w:jc w:val="both"/>
        <w:rPr>
          <w:rtl/>
        </w:rPr>
      </w:pPr>
    </w:p>
    <w:sectPr w:rsidR="001514E8" w:rsidSect="00F91B85">
      <w:headerReference w:type="default" r:id="rId9"/>
      <w:footerReference w:type="default" r:id="rId10"/>
      <w:footnotePr>
        <w:numRestart w:val="eachPage"/>
      </w:footnotePr>
      <w:pgSz w:w="11906" w:h="16838"/>
      <w:pgMar w:top="851" w:right="851" w:bottom="851" w:left="851" w:header="709" w:footer="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531" w:rsidRDefault="00A62531" w:rsidP="008B750B">
      <w:pPr>
        <w:spacing w:line="240" w:lineRule="auto"/>
      </w:pPr>
      <w:r>
        <w:separator/>
      </w:r>
    </w:p>
  </w:endnote>
  <w:endnote w:type="continuationSeparator" w:id="0">
    <w:p w:rsidR="00A62531" w:rsidRDefault="00A62531" w:rsidP="008B7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0CD15C9-8E26-40A3-8C79-C86F377ECBDA}"/>
    <w:embedBold r:id="rId2" w:fontKey="{29DCD85D-5F3E-49F9-AA0E-EEC1E4909C46}"/>
    <w:embedItalic r:id="rId3" w:fontKey="{1FF0DAA6-876B-4F4F-A056-54E55004AACA}"/>
    <w:embedBoldItalic r:id="rId4" w:fontKey="{4CD38590-7B0E-4901-9E93-196FC1F94EE8}"/>
  </w:font>
  <w:font w:name="B Badr">
    <w:panose1 w:val="00000400000000000000"/>
    <w:charset w:val="B2"/>
    <w:family w:val="auto"/>
    <w:pitch w:val="variable"/>
    <w:sig w:usb0="00002001" w:usb1="80000000" w:usb2="00000008" w:usb3="00000000" w:csb0="00000040" w:csb1="00000000"/>
    <w:embedRegular r:id="rId5" w:fontKey="{B4AC7B29-2456-474A-81C5-0F7970BD8FA4}"/>
    <w:embedBold r:id="rId6" w:fontKey="{D98F3317-1634-47DF-9FDE-D38CC651C1E2}"/>
    <w:embedBoldItalic r:id="rId7" w:fontKey="{AFD059D5-764A-4B06-85AD-BF6B441A574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embedRegular r:id="rId8" w:fontKey="{298F4001-C1C8-4ADE-9F72-30C161A46872}"/>
    <w:embedBold r:id="rId9" w:fontKey="{E84490BD-77EB-4118-A733-22541D923ECD}"/>
  </w:font>
  <w:font w:name="B Lotus">
    <w:panose1 w:val="00000400000000000000"/>
    <w:charset w:val="B2"/>
    <w:family w:val="auto"/>
    <w:pitch w:val="variable"/>
    <w:sig w:usb0="00002001" w:usb1="80000000" w:usb2="00000008" w:usb3="00000000" w:csb0="00000040" w:csb1="00000000"/>
    <w:embedRegular r:id="rId10" w:fontKey="{866ACE51-4FCF-4CF9-90CA-3741C2606C93}"/>
  </w:font>
  <w:font w:name="Tahoma">
    <w:panose1 w:val="020B0604030504040204"/>
    <w:charset w:val="00"/>
    <w:family w:val="swiss"/>
    <w:pitch w:val="variable"/>
    <w:sig w:usb0="E1002EFF" w:usb1="C000605B" w:usb2="00000029" w:usb3="00000000" w:csb0="000101FF" w:csb1="00000000"/>
  </w:font>
  <w:font w:name="Alaem">
    <w:altName w:val="Times New Roman"/>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0" w:type="auto"/>
      <w:tblLook w:val="04A0" w:firstRow="1" w:lastRow="0" w:firstColumn="1" w:lastColumn="0" w:noHBand="0" w:noVBand="1"/>
    </w:tblPr>
    <w:tblGrid>
      <w:gridCol w:w="3321"/>
      <w:gridCol w:w="2213"/>
      <w:gridCol w:w="4670"/>
    </w:tblGrid>
    <w:tr w:rsidR="009E345B" w:rsidRPr="006D44C1" w:rsidTr="0020241A">
      <w:tc>
        <w:tcPr>
          <w:tcW w:w="3382" w:type="dxa"/>
          <w:tcBorders>
            <w:top w:val="nil"/>
            <w:left w:val="nil"/>
            <w:bottom w:val="nil"/>
            <w:right w:val="nil"/>
          </w:tcBorders>
        </w:tcPr>
        <w:p w:rsidR="009E345B" w:rsidRDefault="009E345B" w:rsidP="006D44C1">
          <w:pPr>
            <w:pStyle w:val="Footer"/>
            <w:rPr>
              <w:rtl/>
            </w:rPr>
          </w:pPr>
          <w:r w:rsidRPr="006D44C1">
            <w:rPr>
              <w:rFonts w:hint="cs"/>
              <w:color w:val="808080" w:themeColor="background1" w:themeShade="80"/>
              <w:rtl/>
            </w:rPr>
            <w:t xml:space="preserve">مدرسه </w:t>
          </w:r>
          <w:r w:rsidRPr="006D44C1">
            <w:rPr>
              <w:rFonts w:hint="cs"/>
              <w:color w:val="808080" w:themeColor="background1" w:themeShade="80"/>
              <w:rtl/>
            </w:rPr>
            <w:t xml:space="preserve">فقهی امام محمدباقر </w:t>
          </w:r>
          <w:r w:rsidRPr="004A09CC">
            <w:rPr>
              <w:rFonts w:hint="cs"/>
              <w:color w:val="808080" w:themeColor="background1" w:themeShade="80"/>
              <w:szCs w:val="22"/>
              <w:rtl/>
            </w:rPr>
            <w:t>علیه السلام</w:t>
          </w:r>
        </w:p>
      </w:tc>
      <w:tc>
        <w:tcPr>
          <w:tcW w:w="2252" w:type="dxa"/>
          <w:tcBorders>
            <w:top w:val="nil"/>
            <w:left w:val="nil"/>
            <w:bottom w:val="nil"/>
            <w:right w:val="nil"/>
          </w:tcBorders>
          <w:vAlign w:val="center"/>
        </w:tcPr>
        <w:p w:rsidR="009E345B" w:rsidRDefault="009E345B" w:rsidP="006D44C1">
          <w:pPr>
            <w:pStyle w:val="Footer"/>
            <w:jc w:val="right"/>
            <w:rPr>
              <w:rtl/>
            </w:rPr>
          </w:pPr>
          <w:r>
            <w:rPr>
              <w:rFonts w:hint="cs"/>
              <w:rtl/>
            </w:rPr>
            <w:t xml:space="preserve">صفحه </w:t>
          </w:r>
          <w:r>
            <w:fldChar w:fldCharType="begin"/>
          </w:r>
          <w:r>
            <w:instrText>PAGE   \* MERGEFORMAT</w:instrText>
          </w:r>
          <w:r>
            <w:fldChar w:fldCharType="separate"/>
          </w:r>
          <w:r w:rsidR="005F3D39" w:rsidRPr="005F3D39">
            <w:rPr>
              <w:noProof/>
              <w:rtl/>
              <w:lang w:val="fa-IR"/>
            </w:rPr>
            <w:t>1</w:t>
          </w:r>
          <w:r>
            <w:rPr>
              <w:noProof/>
            </w:rPr>
            <w:fldChar w:fldCharType="end"/>
          </w:r>
        </w:p>
      </w:tc>
      <w:tc>
        <w:tcPr>
          <w:tcW w:w="4786" w:type="dxa"/>
          <w:tcBorders>
            <w:top w:val="nil"/>
            <w:left w:val="nil"/>
            <w:bottom w:val="nil"/>
            <w:right w:val="nil"/>
          </w:tcBorders>
          <w:vAlign w:val="center"/>
        </w:tcPr>
        <w:p w:rsidR="009E345B" w:rsidRPr="006D44C1" w:rsidRDefault="009E345B" w:rsidP="001B6799">
          <w:pPr>
            <w:pStyle w:val="Footer"/>
            <w:bidi w:val="0"/>
            <w:rPr>
              <w:color w:val="808080" w:themeColor="background1" w:themeShade="80"/>
              <w:rtl/>
            </w:rPr>
          </w:pPr>
          <w:bookmarkStart w:id="18" w:name="BokAdres"/>
          <w:bookmarkEnd w:id="18"/>
        </w:p>
      </w:tc>
    </w:tr>
  </w:tbl>
  <w:p w:rsidR="009E345B" w:rsidRDefault="009E345B" w:rsidP="00FA5F3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531" w:rsidRDefault="00A62531" w:rsidP="008B750B">
      <w:pPr>
        <w:spacing w:line="240" w:lineRule="auto"/>
      </w:pPr>
      <w:r>
        <w:separator/>
      </w:r>
    </w:p>
  </w:footnote>
  <w:footnote w:type="continuationSeparator" w:id="0">
    <w:p w:rsidR="00A62531" w:rsidRDefault="00A62531" w:rsidP="008B750B">
      <w:pPr>
        <w:spacing w:line="240" w:lineRule="auto"/>
      </w:pPr>
      <w:r>
        <w:continuationSeparator/>
      </w:r>
    </w:p>
  </w:footnote>
  <w:footnote w:id="1">
    <w:p w:rsidR="00F83FC7" w:rsidRDefault="00F83FC7">
      <w:pPr>
        <w:pStyle w:val="FootnoteText"/>
      </w:pPr>
      <w:r>
        <w:rPr>
          <w:rStyle w:val="FootnoteReference"/>
        </w:rPr>
        <w:footnoteRef/>
      </w:r>
      <w:r>
        <w:rPr>
          <w:rtl/>
        </w:rPr>
        <w:t xml:space="preserve"> </w:t>
      </w:r>
      <w:r>
        <w:rPr>
          <w:rFonts w:hint="cs"/>
          <w:rtl/>
        </w:rPr>
        <w:t>. جواهر الکلام،</w:t>
      </w:r>
      <w:r w:rsidRPr="00F83FC7">
        <w:rPr>
          <w:rtl/>
        </w:rPr>
        <w:t xml:space="preserve"> جلد 9 ص 246 </w:t>
      </w:r>
      <w:r>
        <w:rPr>
          <w:rFonts w:hint="cs"/>
          <w:rtl/>
        </w:rPr>
        <w:t>.«</w:t>
      </w:r>
      <w:r w:rsidRPr="00F83FC7">
        <w:rPr>
          <w:rtl/>
        </w:rPr>
        <w:t xml:space="preserve"> ليس القيام إلا الاعتدال، و لعل من</w:t>
      </w:r>
      <w:r>
        <w:rPr>
          <w:rtl/>
        </w:rPr>
        <w:t>ه الاستقامة التي هي ضد الاعوجاج</w:t>
      </w:r>
      <w:r>
        <w:rPr>
          <w:rFonts w:hint="cs"/>
          <w:rtl/>
        </w:rPr>
        <w:t xml:space="preserve">». </w:t>
      </w:r>
    </w:p>
  </w:footnote>
  <w:footnote w:id="2">
    <w:p w:rsidR="00A94295" w:rsidRDefault="00A94295" w:rsidP="00A94295">
      <w:pPr>
        <w:pStyle w:val="FootnoteText"/>
      </w:pPr>
      <w:r>
        <w:rPr>
          <w:rStyle w:val="FootnoteReference"/>
        </w:rPr>
        <w:footnoteRef/>
      </w:r>
      <w:r>
        <w:rPr>
          <w:rtl/>
        </w:rPr>
        <w:t xml:space="preserve"> </w:t>
      </w:r>
      <w:r>
        <w:rPr>
          <w:rFonts w:hint="cs"/>
          <w:rtl/>
        </w:rPr>
        <w:t xml:space="preserve">. </w:t>
      </w:r>
      <w:r w:rsidRPr="00A94295">
        <w:rPr>
          <w:rtl/>
        </w:rPr>
        <w:t>الكافي (ط - الإسلامية)، ج‏3، ص: 337</w:t>
      </w:r>
      <w:r>
        <w:rPr>
          <w:rFonts w:hint="cs"/>
          <w:rtl/>
        </w:rPr>
        <w:t xml:space="preserve">. </w:t>
      </w:r>
    </w:p>
  </w:footnote>
  <w:footnote w:id="3">
    <w:p w:rsidR="00A94295" w:rsidRDefault="00A94295" w:rsidP="00A94295">
      <w:pPr>
        <w:pStyle w:val="FootnoteText"/>
      </w:pPr>
      <w:r>
        <w:rPr>
          <w:rStyle w:val="FootnoteReference"/>
        </w:rPr>
        <w:footnoteRef/>
      </w:r>
      <w:r>
        <w:rPr>
          <w:rtl/>
        </w:rPr>
        <w:t xml:space="preserve"> </w:t>
      </w:r>
      <w:r>
        <w:rPr>
          <w:rFonts w:hint="cs"/>
          <w:rtl/>
        </w:rPr>
        <w:t>.</w:t>
      </w:r>
      <w:r w:rsidRPr="00A94295">
        <w:rPr>
          <w:rtl/>
        </w:rPr>
        <w:t xml:space="preserve"> وسائل الشيعة، ج‏4، ص: 35</w:t>
      </w:r>
      <w:r>
        <w:rPr>
          <w:rFonts w:hint="cs"/>
          <w:rtl/>
        </w:rPr>
        <w:t xml:space="preserve">. </w:t>
      </w:r>
    </w:p>
  </w:footnote>
  <w:footnote w:id="4">
    <w:p w:rsidR="00A94295" w:rsidRDefault="00A94295" w:rsidP="00A94295">
      <w:pPr>
        <w:pStyle w:val="FootnoteText"/>
      </w:pPr>
      <w:r>
        <w:rPr>
          <w:rStyle w:val="FootnoteReference"/>
        </w:rPr>
        <w:footnoteRef/>
      </w:r>
      <w:r>
        <w:rPr>
          <w:rtl/>
        </w:rPr>
        <w:t xml:space="preserve"> </w:t>
      </w:r>
      <w:r>
        <w:rPr>
          <w:rFonts w:hint="cs"/>
          <w:rtl/>
        </w:rPr>
        <w:t xml:space="preserve">. </w:t>
      </w:r>
      <w:r w:rsidRPr="00A94295">
        <w:rPr>
          <w:rtl/>
        </w:rPr>
        <w:t>تهذيب الأحكام (تحقيق خرسان)، ج‏3، ص: 298</w:t>
      </w:r>
      <w:r>
        <w:rPr>
          <w:rFonts w:hint="cs"/>
          <w:rtl/>
        </w:rPr>
        <w:t xml:space="preserve">. </w:t>
      </w:r>
    </w:p>
  </w:footnote>
  <w:footnote w:id="5">
    <w:p w:rsidR="00623CE2" w:rsidRDefault="00623CE2">
      <w:pPr>
        <w:pStyle w:val="FootnoteText"/>
      </w:pPr>
      <w:r>
        <w:rPr>
          <w:rStyle w:val="FootnoteReference"/>
        </w:rPr>
        <w:footnoteRef/>
      </w:r>
      <w:r>
        <w:rPr>
          <w:rtl/>
        </w:rPr>
        <w:t xml:space="preserve"> </w:t>
      </w:r>
      <w:r>
        <w:rPr>
          <w:rFonts w:hint="cs"/>
          <w:rtl/>
        </w:rPr>
        <w:t xml:space="preserve">. </w:t>
      </w:r>
      <w:r w:rsidRPr="00623CE2">
        <w:rPr>
          <w:rtl/>
        </w:rPr>
        <w:t>العروة الوثق</w:t>
      </w:r>
      <w:r w:rsidRPr="00623CE2">
        <w:rPr>
          <w:rFonts w:hint="cs"/>
          <w:rtl/>
        </w:rPr>
        <w:t>ی</w:t>
      </w:r>
      <w:r w:rsidRPr="00623CE2">
        <w:rPr>
          <w:rtl/>
        </w:rPr>
        <w:t xml:space="preserve"> (أعلام العصر، مؤسسة الأعلمي)، جلد: ۱، صفحه: ۶۳۵</w:t>
      </w:r>
      <w:r>
        <w:rPr>
          <w:rFonts w:hint="cs"/>
          <w:rtl/>
        </w:rPr>
        <w:t xml:space="preserve">. </w:t>
      </w:r>
    </w:p>
  </w:footnote>
  <w:footnote w:id="6">
    <w:p w:rsidR="00E85A03" w:rsidRDefault="00E85A03">
      <w:pPr>
        <w:pStyle w:val="FootnoteText"/>
      </w:pPr>
      <w:r>
        <w:rPr>
          <w:rStyle w:val="FootnoteReference"/>
        </w:rPr>
        <w:footnoteRef/>
      </w:r>
      <w:r>
        <w:rPr>
          <w:rtl/>
        </w:rPr>
        <w:t xml:space="preserve"> </w:t>
      </w:r>
      <w:r>
        <w:rPr>
          <w:rFonts w:hint="cs"/>
          <w:rtl/>
        </w:rPr>
        <w:t xml:space="preserve">. </w:t>
      </w:r>
      <w:r w:rsidRPr="00E85A03">
        <w:rPr>
          <w:rtl/>
        </w:rPr>
        <w:t>المقنعة: 104.</w:t>
      </w:r>
    </w:p>
  </w:footnote>
  <w:footnote w:id="7">
    <w:p w:rsidR="00E85A03" w:rsidRDefault="00E85A03">
      <w:pPr>
        <w:pStyle w:val="FootnoteText"/>
      </w:pPr>
      <w:r>
        <w:rPr>
          <w:rStyle w:val="FootnoteReference"/>
        </w:rPr>
        <w:footnoteRef/>
      </w:r>
      <w:r>
        <w:rPr>
          <w:rtl/>
        </w:rPr>
        <w:t xml:space="preserve"> </w:t>
      </w:r>
      <w:r>
        <w:rPr>
          <w:rFonts w:hint="cs"/>
          <w:rtl/>
        </w:rPr>
        <w:t xml:space="preserve">. </w:t>
      </w:r>
      <w:r w:rsidRPr="00E85A03">
        <w:rPr>
          <w:rtl/>
        </w:rPr>
        <w:t>المقنع: 76.</w:t>
      </w:r>
      <w:r>
        <w:rPr>
          <w:rFonts w:hint="cs"/>
          <w:rtl/>
        </w:rPr>
        <w:t xml:space="preserve"> </w:t>
      </w:r>
    </w:p>
  </w:footnote>
  <w:footnote w:id="8">
    <w:p w:rsidR="00E85A03" w:rsidRDefault="00E85A03" w:rsidP="00E85A03">
      <w:pPr>
        <w:pStyle w:val="FootnoteText"/>
      </w:pPr>
      <w:r>
        <w:rPr>
          <w:rStyle w:val="FootnoteReference"/>
        </w:rPr>
        <w:footnoteRef/>
      </w:r>
      <w:r>
        <w:rPr>
          <w:rtl/>
        </w:rPr>
        <w:t xml:space="preserve"> </w:t>
      </w:r>
      <w:r>
        <w:rPr>
          <w:rFonts w:hint="cs"/>
          <w:rtl/>
        </w:rPr>
        <w:t xml:space="preserve">. </w:t>
      </w:r>
      <w:r w:rsidRPr="00E85A03">
        <w:rPr>
          <w:rtl/>
        </w:rPr>
        <w:t>الكافي (ط - الإسلامية)، ج‏3، ص: 335</w:t>
      </w:r>
      <w:r>
        <w:rPr>
          <w:rFonts w:hint="cs"/>
          <w:rtl/>
        </w:rPr>
        <w:t xml:space="preserve">. </w:t>
      </w:r>
    </w:p>
  </w:footnote>
  <w:footnote w:id="9">
    <w:p w:rsidR="00D03558" w:rsidRDefault="00D03558" w:rsidP="00D03558">
      <w:pPr>
        <w:pStyle w:val="FootnoteText"/>
      </w:pPr>
      <w:r>
        <w:rPr>
          <w:rStyle w:val="FootnoteReference"/>
        </w:rPr>
        <w:footnoteRef/>
      </w:r>
      <w:r>
        <w:rPr>
          <w:rtl/>
        </w:rPr>
        <w:t xml:space="preserve"> </w:t>
      </w:r>
      <w:r>
        <w:rPr>
          <w:rFonts w:hint="cs"/>
          <w:rtl/>
        </w:rPr>
        <w:t>.</w:t>
      </w:r>
      <w:r w:rsidRPr="00A94295">
        <w:rPr>
          <w:rtl/>
        </w:rPr>
        <w:t xml:space="preserve"> وسائل الشيعة، ج‏4، ص: 35</w:t>
      </w:r>
      <w:r>
        <w:rPr>
          <w:rFonts w:hint="cs"/>
          <w:rtl/>
        </w:rPr>
        <w:t xml:space="preserve">. </w:t>
      </w:r>
    </w:p>
  </w:footnote>
  <w:footnote w:id="10">
    <w:p w:rsidR="00FF2E6E" w:rsidRDefault="00FF2E6E" w:rsidP="00FF2E6E">
      <w:pPr>
        <w:pStyle w:val="FootnoteText"/>
      </w:pPr>
      <w:r>
        <w:rPr>
          <w:rStyle w:val="FootnoteReference"/>
        </w:rPr>
        <w:footnoteRef/>
      </w:r>
      <w:r>
        <w:rPr>
          <w:rtl/>
        </w:rPr>
        <w:t xml:space="preserve"> </w:t>
      </w:r>
      <w:r>
        <w:rPr>
          <w:rFonts w:hint="cs"/>
          <w:rtl/>
        </w:rPr>
        <w:t xml:space="preserve">. </w:t>
      </w:r>
      <w:r w:rsidRPr="00623CE2">
        <w:rPr>
          <w:rtl/>
        </w:rPr>
        <w:t>العروة الوثق</w:t>
      </w:r>
      <w:r w:rsidRPr="00623CE2">
        <w:rPr>
          <w:rFonts w:hint="cs"/>
          <w:rtl/>
        </w:rPr>
        <w:t>ی</w:t>
      </w:r>
      <w:r w:rsidRPr="00623CE2">
        <w:rPr>
          <w:rtl/>
        </w:rPr>
        <w:t xml:space="preserve"> (أعلام العصر، مؤسسة الأعلمي)، جلد: ۱، صفحه: ۶۳۵</w:t>
      </w:r>
      <w:r>
        <w:rPr>
          <w:rFonts w:hint="cs"/>
          <w:rtl/>
        </w:rPr>
        <w:t xml:space="preserve">. </w:t>
      </w:r>
    </w:p>
  </w:footnote>
  <w:footnote w:id="11">
    <w:p w:rsidR="00D666DB" w:rsidRDefault="00D666DB" w:rsidP="00D666DB">
      <w:pPr>
        <w:pStyle w:val="FootnoteText"/>
        <w:rPr>
          <w:rFonts w:hint="cs"/>
        </w:rPr>
      </w:pPr>
      <w:r>
        <w:rPr>
          <w:rStyle w:val="FootnoteReference"/>
        </w:rPr>
        <w:footnoteRef/>
      </w:r>
      <w:r>
        <w:rPr>
          <w:rtl/>
        </w:rPr>
        <w:t xml:space="preserve"> </w:t>
      </w:r>
      <w:r>
        <w:rPr>
          <w:rFonts w:hint="cs"/>
          <w:rtl/>
        </w:rPr>
        <w:t>.</w:t>
      </w:r>
      <w:r w:rsidRPr="00D666DB">
        <w:rPr>
          <w:rtl/>
        </w:rPr>
        <w:t xml:space="preserve"> </w:t>
      </w:r>
      <w:r w:rsidRPr="00D666DB">
        <w:rPr>
          <w:rtl/>
        </w:rPr>
        <w:t>الكافي (ط - الإسلامية)، ج‏2، ص: 95</w:t>
      </w:r>
      <w:r>
        <w:rPr>
          <w:rFonts w:hint="cs"/>
          <w:rtl/>
        </w:rPr>
        <w:t xml:space="preserve">. </w:t>
      </w:r>
    </w:p>
  </w:footnote>
  <w:footnote w:id="12">
    <w:p w:rsidR="00D666DB" w:rsidRPr="00D666DB" w:rsidRDefault="00D666DB" w:rsidP="00D666DB">
      <w:pPr>
        <w:pStyle w:val="FootnoteText"/>
        <w:rPr>
          <w:rFonts w:hint="cs"/>
          <w:color w:val="008000"/>
          <w:rtl/>
        </w:rPr>
      </w:pPr>
      <w:r>
        <w:rPr>
          <w:rStyle w:val="FootnoteReference"/>
        </w:rPr>
        <w:footnoteRef/>
      </w:r>
      <w:r>
        <w:rPr>
          <w:rtl/>
        </w:rPr>
        <w:t xml:space="preserve"> </w:t>
      </w:r>
      <w:r>
        <w:rPr>
          <w:rFonts w:hint="cs"/>
          <w:rtl/>
        </w:rPr>
        <w:t>.</w:t>
      </w:r>
      <w:r w:rsidRPr="00D666DB">
        <w:rPr>
          <w:rtl/>
        </w:rPr>
        <w:t>قرب الإسناد (ط - الحديثة)، متن، ص: 171</w:t>
      </w:r>
      <w:r w:rsidRPr="00D666DB">
        <w:rPr>
          <w:rFonts w:hint="cs"/>
          <w:rtl/>
        </w:rPr>
        <w:t xml:space="preserve"> </w:t>
      </w:r>
      <w:r>
        <w:rPr>
          <w:rFonts w:hint="cs"/>
          <w:rtl/>
        </w:rPr>
        <w:t xml:space="preserve">. </w:t>
      </w:r>
      <w:r w:rsidRPr="00D666DB">
        <w:rPr>
          <w:rFonts w:hint="cs"/>
          <w:color w:val="008000"/>
          <w:rtl/>
        </w:rPr>
        <w:t>«</w:t>
      </w:r>
      <w:r w:rsidRPr="00D666DB">
        <w:rPr>
          <w:color w:val="008000"/>
          <w:rtl/>
        </w:rPr>
        <w:t xml:space="preserve"> إِنَّ رَسُولَ اللَّهِ صَلَّى اللَّهُ عَلَيْهِ وَ آلِهِ وَ سَلَّمَ بَعْدَ مَا عَظُمَ- أَوْ بَعْدَ مَا ثَقُلَ- كَانَ يُصَلِّي وَ هُوَ قَائِمٌ، وَ رَفَعَ إِحْدَى رِجْلَيْهِ حَتَّى أَنْزَلَ اللَّهُ تَبَارَكَ وَ تَعَالَى طه* ما أَنْزَلْنا عَلَيْكَ الْقُرْآنَ لِتَشْقى‏ فَوَضَعَهَا».</w:t>
      </w:r>
    </w:p>
  </w:footnote>
  <w:footnote w:id="13">
    <w:p w:rsidR="00D666DB" w:rsidRDefault="00D666DB">
      <w:pPr>
        <w:pStyle w:val="FootnoteText"/>
        <w:rPr>
          <w:rFonts w:hint="cs"/>
        </w:rPr>
      </w:pPr>
      <w:r>
        <w:rPr>
          <w:rStyle w:val="FootnoteReference"/>
        </w:rPr>
        <w:footnoteRef/>
      </w:r>
      <w:r>
        <w:rPr>
          <w:rtl/>
        </w:rPr>
        <w:t xml:space="preserve"> </w:t>
      </w:r>
      <w:r>
        <w:rPr>
          <w:rFonts w:hint="cs"/>
          <w:rtl/>
        </w:rPr>
        <w:t xml:space="preserve">. </w:t>
      </w:r>
      <w:r w:rsidRPr="00D666DB">
        <w:rPr>
          <w:rtl/>
        </w:rPr>
        <w:t>العروة الوثق</w:t>
      </w:r>
      <w:r w:rsidRPr="00D666DB">
        <w:rPr>
          <w:rFonts w:hint="cs"/>
          <w:rtl/>
        </w:rPr>
        <w:t>ی</w:t>
      </w:r>
      <w:r w:rsidRPr="00D666DB">
        <w:rPr>
          <w:rtl/>
        </w:rPr>
        <w:t xml:space="preserve"> (أعلام العصر، مؤسسة الأعلمي)، جلد: ۱، صفحه: ۶۳۵</w:t>
      </w:r>
      <w:r>
        <w:rPr>
          <w:rFonts w:hint="cs"/>
          <w:rtl/>
        </w:rPr>
        <w:t xml:space="preserve">. </w:t>
      </w:r>
    </w:p>
  </w:footnote>
  <w:footnote w:id="14">
    <w:p w:rsidR="00D666DB" w:rsidRDefault="00D666DB" w:rsidP="00D666DB">
      <w:pPr>
        <w:pStyle w:val="FootnoteText"/>
        <w:rPr>
          <w:rFonts w:hint="cs"/>
        </w:rPr>
      </w:pPr>
      <w:r>
        <w:rPr>
          <w:rStyle w:val="FootnoteReference"/>
        </w:rPr>
        <w:footnoteRef/>
      </w:r>
      <w:r>
        <w:rPr>
          <w:rtl/>
        </w:rPr>
        <w:t xml:space="preserve"> </w:t>
      </w:r>
      <w:r>
        <w:rPr>
          <w:rFonts w:hint="cs"/>
          <w:rtl/>
        </w:rPr>
        <w:t>.</w:t>
      </w:r>
      <w:r w:rsidRPr="00D666DB">
        <w:rPr>
          <w:rtl/>
        </w:rPr>
        <w:t>الكافي (ط - الإسلامية)، ج‏3، ص: 337</w:t>
      </w:r>
      <w:r>
        <w:rPr>
          <w:rFonts w:hint="cs"/>
          <w:rtl/>
        </w:rPr>
        <w:t xml:space="preserve">. </w:t>
      </w:r>
    </w:p>
  </w:footnote>
  <w:footnote w:id="15">
    <w:p w:rsidR="00202BE7" w:rsidRDefault="00202BE7">
      <w:pPr>
        <w:pStyle w:val="FootnoteText"/>
        <w:rPr>
          <w:rFonts w:hint="cs"/>
        </w:rPr>
      </w:pPr>
      <w:r>
        <w:rPr>
          <w:rStyle w:val="FootnoteReference"/>
        </w:rPr>
        <w:footnoteRef/>
      </w:r>
      <w:r>
        <w:rPr>
          <w:rtl/>
        </w:rPr>
        <w:t xml:space="preserve"> </w:t>
      </w:r>
      <w:r>
        <w:rPr>
          <w:rFonts w:hint="cs"/>
          <w:rtl/>
        </w:rPr>
        <w:t xml:space="preserve">. </w:t>
      </w:r>
      <w:r w:rsidRPr="00202BE7">
        <w:rPr>
          <w:rtl/>
        </w:rPr>
        <w:t>العروة الوثق</w:t>
      </w:r>
      <w:r w:rsidRPr="00202BE7">
        <w:rPr>
          <w:rFonts w:hint="cs"/>
          <w:rtl/>
        </w:rPr>
        <w:t>ی</w:t>
      </w:r>
      <w:r w:rsidRPr="00202BE7">
        <w:rPr>
          <w:rtl/>
        </w:rPr>
        <w:t xml:space="preserve"> (أعلام العصر، مؤسسة الأعلمي)، جلد: ۱، صفحه: ۶۳۵</w:t>
      </w:r>
      <w:r>
        <w:rPr>
          <w:rFonts w:hint="cs"/>
          <w:rtl/>
        </w:rPr>
        <w:t xml:space="preserve">. </w:t>
      </w:r>
    </w:p>
  </w:footnote>
  <w:footnote w:id="16">
    <w:p w:rsidR="006D6B44" w:rsidRDefault="006D6B44" w:rsidP="006D6B44">
      <w:pPr>
        <w:pStyle w:val="FootnoteText"/>
        <w:rPr>
          <w:rFonts w:hint="cs"/>
        </w:rPr>
      </w:pPr>
      <w:r>
        <w:rPr>
          <w:rStyle w:val="FootnoteReference"/>
        </w:rPr>
        <w:footnoteRef/>
      </w:r>
      <w:r>
        <w:rPr>
          <w:rtl/>
        </w:rPr>
        <w:t xml:space="preserve"> </w:t>
      </w:r>
      <w:r>
        <w:rPr>
          <w:rFonts w:hint="cs"/>
          <w:rtl/>
        </w:rPr>
        <w:t xml:space="preserve">. </w:t>
      </w:r>
      <w:r w:rsidRPr="00202BE7">
        <w:rPr>
          <w:rtl/>
        </w:rPr>
        <w:t>العروة الوثق</w:t>
      </w:r>
      <w:r w:rsidRPr="00202BE7">
        <w:rPr>
          <w:rFonts w:hint="cs"/>
          <w:rtl/>
        </w:rPr>
        <w:t>ی</w:t>
      </w:r>
      <w:r w:rsidRPr="00202BE7">
        <w:rPr>
          <w:rtl/>
        </w:rPr>
        <w:t xml:space="preserve"> (أعلام العصر، مؤسسة الأعلمي)، جلد: ۱، صفحه: ۶۳۵</w:t>
      </w:r>
      <w:r>
        <w:rPr>
          <w:rFonts w:hint="cs"/>
          <w:rtl/>
        </w:rPr>
        <w:t xml:space="preserve">. </w:t>
      </w:r>
    </w:p>
  </w:footnote>
  <w:footnote w:id="17">
    <w:p w:rsidR="006D6B44" w:rsidRDefault="006D6B44" w:rsidP="006D6B44">
      <w:pPr>
        <w:pStyle w:val="FootnoteText"/>
        <w:rPr>
          <w:rFonts w:hint="cs"/>
        </w:rPr>
      </w:pPr>
      <w:r>
        <w:rPr>
          <w:rStyle w:val="FootnoteReference"/>
        </w:rPr>
        <w:footnoteRef/>
      </w:r>
      <w:r>
        <w:rPr>
          <w:rtl/>
        </w:rPr>
        <w:t xml:space="preserve"> </w:t>
      </w:r>
      <w:r>
        <w:rPr>
          <w:rFonts w:hint="cs"/>
          <w:rtl/>
        </w:rPr>
        <w:t xml:space="preserve">. </w:t>
      </w:r>
      <w:r w:rsidRPr="00202BE7">
        <w:rPr>
          <w:rtl/>
        </w:rPr>
        <w:t>العروة الوثق</w:t>
      </w:r>
      <w:r w:rsidRPr="00202BE7">
        <w:rPr>
          <w:rFonts w:hint="cs"/>
          <w:rtl/>
        </w:rPr>
        <w:t>ی</w:t>
      </w:r>
      <w:r w:rsidRPr="00202BE7">
        <w:rPr>
          <w:rtl/>
        </w:rPr>
        <w:t xml:space="preserve"> (أعلام العصر، مؤسسة الأعلمي)، جلد: ۱، صفحه: ۶۳۵</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45B" w:rsidRPr="001D2E9A" w:rsidRDefault="009E345B" w:rsidP="00777F37">
    <w:pPr>
      <w:pStyle w:val="Header"/>
      <w:pBdr>
        <w:top w:val="double" w:sz="4" w:space="1" w:color="auto"/>
        <w:left w:val="double" w:sz="4" w:space="4" w:color="auto"/>
        <w:bottom w:val="double" w:sz="4" w:space="4" w:color="auto"/>
        <w:right w:val="double" w:sz="4" w:space="4" w:color="auto"/>
      </w:pBdr>
      <w:tabs>
        <w:tab w:val="clear" w:pos="4513"/>
        <w:tab w:val="clear" w:pos="9026"/>
        <w:tab w:val="center" w:pos="4959"/>
        <w:tab w:val="right" w:pos="9920"/>
      </w:tabs>
      <w:rPr>
        <w:sz w:val="24"/>
        <w:szCs w:val="24"/>
        <w:rtl/>
      </w:rPr>
    </w:pPr>
    <w:r w:rsidRPr="001D2E9A">
      <w:rPr>
        <w:rFonts w:hint="cs"/>
        <w:b/>
        <w:bCs/>
        <w:sz w:val="20"/>
        <w:szCs w:val="24"/>
        <w:rtl/>
      </w:rPr>
      <w:t xml:space="preserve">  </w:t>
    </w:r>
    <w:r w:rsidRPr="001D2E9A">
      <w:rPr>
        <w:rFonts w:hint="cs"/>
        <w:b/>
        <w:bCs/>
        <w:color w:val="7030A0"/>
        <w:sz w:val="20"/>
        <w:szCs w:val="24"/>
        <w:rtl/>
      </w:rPr>
      <w:t>شماره جلسه</w:t>
    </w:r>
    <w:r>
      <w:rPr>
        <w:rFonts w:hint="cs"/>
        <w:b/>
        <w:bCs/>
        <w:sz w:val="20"/>
        <w:szCs w:val="24"/>
        <w:rtl/>
      </w:rPr>
      <w:t xml:space="preserve">: </w:t>
    </w:r>
    <w:bookmarkStart w:id="11" w:name="BokNum"/>
    <w:bookmarkEnd w:id="11"/>
    <w:r>
      <w:rPr>
        <w:rFonts w:hint="cs"/>
        <w:b/>
        <w:bCs/>
        <w:sz w:val="20"/>
        <w:szCs w:val="24"/>
        <w:rtl/>
      </w:rPr>
      <w:t>00</w:t>
    </w:r>
    <w:r w:rsidR="00777F37">
      <w:rPr>
        <w:rFonts w:hint="cs"/>
        <w:b/>
        <w:bCs/>
        <w:sz w:val="20"/>
        <w:szCs w:val="24"/>
        <w:rtl/>
      </w:rPr>
      <w:t>8</w:t>
    </w:r>
    <w:r>
      <w:rPr>
        <w:rFonts w:hint="cs"/>
        <w:b/>
        <w:bCs/>
        <w:sz w:val="20"/>
        <w:szCs w:val="24"/>
        <w:rtl/>
      </w:rPr>
      <w:tab/>
    </w:r>
    <w:r w:rsidRPr="00C32A7E">
      <w:rPr>
        <w:rFonts w:hint="cs"/>
        <w:b/>
        <w:bCs/>
        <w:color w:val="632423" w:themeColor="accent2" w:themeShade="80"/>
        <w:sz w:val="20"/>
        <w:szCs w:val="24"/>
        <w:rtl/>
      </w:rPr>
      <w:t xml:space="preserve">درس خارج </w:t>
    </w:r>
    <w:bookmarkStart w:id="12" w:name="Bokdars"/>
    <w:bookmarkEnd w:id="12"/>
    <w:r>
      <w:rPr>
        <w:rFonts w:hint="cs"/>
        <w:b/>
        <w:bCs/>
        <w:color w:val="632423" w:themeColor="accent2" w:themeShade="80"/>
        <w:sz w:val="20"/>
        <w:szCs w:val="24"/>
        <w:rtl/>
      </w:rPr>
      <w:t xml:space="preserve"> فقه حضرت</w:t>
    </w:r>
    <w:r w:rsidRPr="00C32A7E">
      <w:rPr>
        <w:rFonts w:hint="cs"/>
        <w:b/>
        <w:bCs/>
        <w:color w:val="632423" w:themeColor="accent2" w:themeShade="80"/>
        <w:sz w:val="20"/>
        <w:szCs w:val="24"/>
        <w:rtl/>
      </w:rPr>
      <w:t xml:space="preserve"> استاد </w:t>
    </w:r>
    <w:bookmarkStart w:id="13" w:name="Bokostad"/>
    <w:bookmarkEnd w:id="13"/>
    <w:r>
      <w:rPr>
        <w:rFonts w:hint="cs"/>
        <w:b/>
        <w:bCs/>
        <w:color w:val="632423" w:themeColor="accent2" w:themeShade="80"/>
        <w:sz w:val="20"/>
        <w:szCs w:val="24"/>
        <w:rtl/>
      </w:rPr>
      <w:t>شهیدی پور</w:t>
    </w:r>
    <w:r w:rsidRPr="00481C31">
      <w:rPr>
        <w:rFonts w:hint="cs"/>
        <w:b/>
        <w:bCs/>
        <w:color w:val="632423" w:themeColor="accent2" w:themeShade="80"/>
        <w:sz w:val="14"/>
        <w:szCs w:val="14"/>
        <w:rtl/>
      </w:rPr>
      <w:t>(</w:t>
    </w:r>
    <w:r w:rsidRPr="00481C31">
      <w:rPr>
        <w:rFonts w:ascii="Times New Roman" w:hAnsi="Times New Roman" w:hint="cs"/>
        <w:b/>
        <w:bCs/>
        <w:color w:val="632423" w:themeColor="accent2" w:themeShade="80"/>
        <w:sz w:val="14"/>
        <w:szCs w:val="14"/>
        <w:rtl/>
      </w:rPr>
      <w:t>دام</w:t>
    </w:r>
    <w:r w:rsidRPr="00481C31">
      <w:rPr>
        <w:rFonts w:hint="cs"/>
        <w:b/>
        <w:bCs/>
        <w:color w:val="632423" w:themeColor="accent2" w:themeShade="80"/>
        <w:sz w:val="14"/>
        <w:szCs w:val="14"/>
        <w:rtl/>
      </w:rPr>
      <w:t xml:space="preserve"> </w:t>
    </w:r>
    <w:r w:rsidRPr="00481C31">
      <w:rPr>
        <w:rFonts w:ascii="Times New Roman" w:hAnsi="Times New Roman" w:hint="cs"/>
        <w:b/>
        <w:bCs/>
        <w:color w:val="632423" w:themeColor="accent2" w:themeShade="80"/>
        <w:sz w:val="14"/>
        <w:szCs w:val="14"/>
        <w:rtl/>
      </w:rPr>
      <w:t>ظله</w:t>
    </w:r>
    <w:r w:rsidRPr="00481C31">
      <w:rPr>
        <w:rFonts w:hint="cs"/>
        <w:b/>
        <w:bCs/>
        <w:color w:val="632423" w:themeColor="accent2" w:themeShade="80"/>
        <w:sz w:val="14"/>
        <w:szCs w:val="14"/>
        <w:rtl/>
      </w:rPr>
      <w:t>)</w:t>
    </w:r>
    <w:r>
      <w:rPr>
        <w:rFonts w:cs="Alaem" w:hint="cs"/>
        <w:b/>
        <w:bCs/>
        <w:color w:val="632423" w:themeColor="accent2" w:themeShade="80"/>
        <w:sz w:val="14"/>
        <w:szCs w:val="14"/>
        <w:rtl/>
      </w:rPr>
      <w:tab/>
    </w:r>
    <w:r w:rsidRPr="001D2E9A">
      <w:rPr>
        <w:rFonts w:hint="cs"/>
        <w:b/>
        <w:bCs/>
        <w:color w:val="7030A0"/>
        <w:sz w:val="24"/>
        <w:szCs w:val="24"/>
        <w:rtl/>
      </w:rPr>
      <w:t>تاریخ</w:t>
    </w:r>
    <w:r>
      <w:rPr>
        <w:rFonts w:hint="cs"/>
        <w:sz w:val="24"/>
        <w:szCs w:val="24"/>
        <w:rtl/>
      </w:rPr>
      <w:t xml:space="preserve">: </w:t>
    </w:r>
    <w:bookmarkStart w:id="14" w:name="BokTarikh"/>
    <w:bookmarkEnd w:id="14"/>
    <w:r w:rsidR="00777F37">
      <w:rPr>
        <w:rFonts w:hint="cs"/>
        <w:sz w:val="24"/>
        <w:szCs w:val="24"/>
        <w:rtl/>
      </w:rPr>
      <w:t>30</w:t>
    </w:r>
    <w:r>
      <w:rPr>
        <w:sz w:val="24"/>
        <w:szCs w:val="24"/>
        <w:rtl/>
      </w:rPr>
      <w:t xml:space="preserve"> /</w:t>
    </w:r>
    <w:r>
      <w:rPr>
        <w:rFonts w:hint="cs"/>
        <w:sz w:val="24"/>
        <w:szCs w:val="24"/>
        <w:rtl/>
      </w:rPr>
      <w:t>6</w:t>
    </w:r>
    <w:r>
      <w:rPr>
        <w:sz w:val="24"/>
        <w:szCs w:val="24"/>
        <w:rtl/>
      </w:rPr>
      <w:t xml:space="preserve"> /1</w:t>
    </w:r>
    <w:r>
      <w:rPr>
        <w:rFonts w:hint="cs"/>
        <w:sz w:val="24"/>
        <w:szCs w:val="24"/>
        <w:rtl/>
      </w:rPr>
      <w:t>400</w:t>
    </w:r>
  </w:p>
  <w:p w:rsidR="009E345B" w:rsidRPr="00F16B53" w:rsidRDefault="009E345B" w:rsidP="00475EC6">
    <w:pPr>
      <w:pStyle w:val="Header"/>
      <w:pBdr>
        <w:top w:val="double" w:sz="4" w:space="1" w:color="auto"/>
        <w:left w:val="double" w:sz="4" w:space="4" w:color="auto"/>
        <w:bottom w:val="double" w:sz="4" w:space="4" w:color="auto"/>
        <w:right w:val="double" w:sz="4" w:space="4" w:color="auto"/>
      </w:pBdr>
      <w:tabs>
        <w:tab w:val="clear" w:pos="4513"/>
        <w:tab w:val="clear" w:pos="9026"/>
        <w:tab w:val="center" w:pos="4959"/>
        <w:tab w:val="right" w:pos="9920"/>
      </w:tabs>
      <w:rPr>
        <w:sz w:val="24"/>
        <w:szCs w:val="24"/>
      </w:rPr>
    </w:pPr>
    <w:r w:rsidRPr="001D2E9A">
      <w:rPr>
        <w:rFonts w:hint="cs"/>
        <w:b/>
        <w:bCs/>
        <w:color w:val="7030A0"/>
        <w:sz w:val="24"/>
        <w:szCs w:val="24"/>
        <w:rtl/>
      </w:rPr>
      <w:t>موضوع عام</w:t>
    </w:r>
    <w:r>
      <w:rPr>
        <w:rFonts w:hint="cs"/>
        <w:b/>
        <w:bCs/>
        <w:color w:val="7030A0"/>
        <w:sz w:val="24"/>
        <w:szCs w:val="24"/>
        <w:rtl/>
      </w:rPr>
      <w:t>:</w:t>
    </w:r>
    <w:r w:rsidRPr="00102585">
      <w:rPr>
        <w:rFonts w:hint="cs"/>
        <w:color w:val="000000" w:themeColor="text1"/>
        <w:sz w:val="24"/>
        <w:szCs w:val="24"/>
        <w:rtl/>
      </w:rPr>
      <w:t xml:space="preserve"> </w:t>
    </w:r>
    <w:bookmarkStart w:id="15" w:name="BokSabj"/>
    <w:bookmarkEnd w:id="15"/>
    <w:r w:rsidRPr="00102585">
      <w:rPr>
        <w:rFonts w:hint="cs"/>
        <w:color w:val="000000" w:themeColor="text1"/>
        <w:sz w:val="24"/>
        <w:szCs w:val="24"/>
        <w:rtl/>
      </w:rPr>
      <w:t xml:space="preserve">  </w:t>
    </w:r>
    <w:r w:rsidR="00501BEC">
      <w:rPr>
        <w:rFonts w:hint="cs"/>
        <w:color w:val="000000" w:themeColor="text1"/>
        <w:sz w:val="24"/>
        <w:szCs w:val="24"/>
        <w:rtl/>
      </w:rPr>
      <w:t xml:space="preserve">قیام </w:t>
    </w:r>
    <w:r w:rsidRPr="00102585">
      <w:rPr>
        <w:rFonts w:hint="cs"/>
        <w:color w:val="000000" w:themeColor="text1"/>
        <w:sz w:val="24"/>
        <w:szCs w:val="24"/>
        <w:rtl/>
      </w:rPr>
      <w:tab/>
    </w:r>
    <w:r w:rsidRPr="001D2E9A">
      <w:rPr>
        <w:rFonts w:hint="cs"/>
        <w:b/>
        <w:bCs/>
        <w:color w:val="7030A0"/>
        <w:sz w:val="24"/>
        <w:szCs w:val="24"/>
        <w:rtl/>
      </w:rPr>
      <w:t>مقرر</w:t>
    </w:r>
    <w:r>
      <w:rPr>
        <w:rFonts w:hint="cs"/>
        <w:sz w:val="24"/>
        <w:szCs w:val="24"/>
        <w:rtl/>
      </w:rPr>
      <w:t xml:space="preserve">: </w:t>
    </w:r>
    <w:bookmarkStart w:id="16" w:name="Bokmoqarer"/>
    <w:bookmarkEnd w:id="16"/>
    <w:r>
      <w:rPr>
        <w:rFonts w:hint="cs"/>
        <w:sz w:val="24"/>
        <w:szCs w:val="24"/>
        <w:rtl/>
      </w:rPr>
      <w:t xml:space="preserve"> </w:t>
    </w:r>
    <w:r>
      <w:rPr>
        <w:sz w:val="24"/>
        <w:szCs w:val="24"/>
      </w:rPr>
      <w:t xml:space="preserve"> </w:t>
    </w:r>
    <w:r>
      <w:rPr>
        <w:rFonts w:hint="cs"/>
        <w:sz w:val="24"/>
        <w:szCs w:val="24"/>
        <w:rtl/>
      </w:rPr>
      <w:t xml:space="preserve"> سید رضا حسنی </w:t>
    </w:r>
    <w:r>
      <w:rPr>
        <w:rFonts w:hint="cs"/>
        <w:sz w:val="24"/>
        <w:szCs w:val="24"/>
        <w:rtl/>
      </w:rPr>
      <w:tab/>
    </w:r>
    <w:r w:rsidRPr="001D2E9A">
      <w:rPr>
        <w:rFonts w:hint="cs"/>
        <w:b/>
        <w:bCs/>
        <w:color w:val="7030A0"/>
        <w:sz w:val="24"/>
        <w:szCs w:val="24"/>
        <w:rtl/>
      </w:rPr>
      <w:t>موضوع خاص</w:t>
    </w:r>
    <w:r>
      <w:rPr>
        <w:rFonts w:hint="cs"/>
        <w:sz w:val="24"/>
        <w:szCs w:val="24"/>
        <w:rtl/>
      </w:rPr>
      <w:t xml:space="preserve">: </w:t>
    </w:r>
    <w:bookmarkStart w:id="17" w:name="BokSabj2"/>
    <w:bookmarkEnd w:id="17"/>
    <w:r w:rsidR="00475EC6">
      <w:rPr>
        <w:rFonts w:hint="cs"/>
        <w:sz w:val="24"/>
        <w:szCs w:val="24"/>
        <w:rtl/>
      </w:rPr>
      <w:t xml:space="preserve">مسائل مربوط به شرایط قیام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41CA60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4C8765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9FC08C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8144C2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B2EED4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536C11"/>
    <w:multiLevelType w:val="hybridMultilevel"/>
    <w:tmpl w:val="E61AF9D4"/>
    <w:lvl w:ilvl="0" w:tplc="0252571A">
      <w:start w:val="2"/>
      <w:numFmt w:val="bullet"/>
      <w:lvlText w:val="-"/>
      <w:lvlJc w:val="left"/>
      <w:pPr>
        <w:ind w:left="720" w:hanging="360"/>
      </w:pPr>
      <w:rPr>
        <w:rFonts w:ascii="Calibri" w:eastAsia="Calibri" w:hAnsi="Calibri" w:cs="B Badr" w:hint="default"/>
        <w:b w:val="0"/>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792BE6"/>
    <w:multiLevelType w:val="hybridMultilevel"/>
    <w:tmpl w:val="9D3A3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56163B"/>
    <w:multiLevelType w:val="hybridMultilevel"/>
    <w:tmpl w:val="27E25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2E70A8"/>
    <w:multiLevelType w:val="hybridMultilevel"/>
    <w:tmpl w:val="56E6401C"/>
    <w:lvl w:ilvl="0" w:tplc="EA00A696">
      <w:start w:val="2"/>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EF52AB"/>
    <w:multiLevelType w:val="hybridMultilevel"/>
    <w:tmpl w:val="013CC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7E4C86"/>
    <w:multiLevelType w:val="hybridMultilevel"/>
    <w:tmpl w:val="C4766124"/>
    <w:lvl w:ilvl="0" w:tplc="29A6391E">
      <w:start w:val="2"/>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55225"/>
    <w:multiLevelType w:val="hybridMultilevel"/>
    <w:tmpl w:val="98D49DBA"/>
    <w:lvl w:ilvl="0" w:tplc="9F7CDE3E">
      <w:start w:val="2"/>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FC46EE"/>
    <w:multiLevelType w:val="hybridMultilevel"/>
    <w:tmpl w:val="A3207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AB7D83"/>
    <w:multiLevelType w:val="hybridMultilevel"/>
    <w:tmpl w:val="41583522"/>
    <w:lvl w:ilvl="0" w:tplc="FFFAD984">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9C1008"/>
    <w:multiLevelType w:val="hybridMultilevel"/>
    <w:tmpl w:val="E18EBFE6"/>
    <w:lvl w:ilvl="0" w:tplc="CC8EEDF2">
      <w:start w:val="4"/>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8B56B7"/>
    <w:multiLevelType w:val="hybridMultilevel"/>
    <w:tmpl w:val="50986FA4"/>
    <w:lvl w:ilvl="0" w:tplc="FADA32B2">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9B0314"/>
    <w:multiLevelType w:val="hybridMultilevel"/>
    <w:tmpl w:val="6004D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081321"/>
    <w:multiLevelType w:val="hybridMultilevel"/>
    <w:tmpl w:val="9C3E8CB4"/>
    <w:lvl w:ilvl="0" w:tplc="6F6AB21E">
      <w:start w:val="4"/>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C636C8"/>
    <w:multiLevelType w:val="hybridMultilevel"/>
    <w:tmpl w:val="541644B4"/>
    <w:lvl w:ilvl="0" w:tplc="C4E664BE">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D907E7"/>
    <w:multiLevelType w:val="hybridMultilevel"/>
    <w:tmpl w:val="7FD6A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E10308"/>
    <w:multiLevelType w:val="hybridMultilevel"/>
    <w:tmpl w:val="FDC4E59C"/>
    <w:lvl w:ilvl="0" w:tplc="6C1C0996">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447842"/>
    <w:multiLevelType w:val="hybridMultilevel"/>
    <w:tmpl w:val="F60A9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F02D45"/>
    <w:multiLevelType w:val="hybridMultilevel"/>
    <w:tmpl w:val="BB287CF4"/>
    <w:lvl w:ilvl="0" w:tplc="CB422102">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42881"/>
    <w:multiLevelType w:val="hybridMultilevel"/>
    <w:tmpl w:val="CB040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057CBF"/>
    <w:multiLevelType w:val="hybridMultilevel"/>
    <w:tmpl w:val="050871DE"/>
    <w:lvl w:ilvl="0" w:tplc="B05673A6">
      <w:start w:val="4"/>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46343F"/>
    <w:multiLevelType w:val="hybridMultilevel"/>
    <w:tmpl w:val="1E66A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23"/>
  </w:num>
  <w:num w:numId="7">
    <w:abstractNumId w:val="6"/>
  </w:num>
  <w:num w:numId="8">
    <w:abstractNumId w:val="25"/>
  </w:num>
  <w:num w:numId="9">
    <w:abstractNumId w:val="16"/>
  </w:num>
  <w:num w:numId="10">
    <w:abstractNumId w:val="8"/>
  </w:num>
  <w:num w:numId="11">
    <w:abstractNumId w:val="5"/>
  </w:num>
  <w:num w:numId="12">
    <w:abstractNumId w:val="11"/>
  </w:num>
  <w:num w:numId="13">
    <w:abstractNumId w:val="10"/>
  </w:num>
  <w:num w:numId="14">
    <w:abstractNumId w:val="21"/>
  </w:num>
  <w:num w:numId="15">
    <w:abstractNumId w:val="12"/>
  </w:num>
  <w:num w:numId="16">
    <w:abstractNumId w:val="9"/>
  </w:num>
  <w:num w:numId="17">
    <w:abstractNumId w:val="22"/>
  </w:num>
  <w:num w:numId="18">
    <w:abstractNumId w:val="7"/>
  </w:num>
  <w:num w:numId="19">
    <w:abstractNumId w:val="14"/>
  </w:num>
  <w:num w:numId="20">
    <w:abstractNumId w:val="17"/>
  </w:num>
  <w:num w:numId="21">
    <w:abstractNumId w:val="24"/>
  </w:num>
  <w:num w:numId="22">
    <w:abstractNumId w:val="19"/>
  </w:num>
  <w:num w:numId="23">
    <w:abstractNumId w:val="15"/>
  </w:num>
  <w:num w:numId="24">
    <w:abstractNumId w:val="18"/>
  </w:num>
  <w:num w:numId="25">
    <w:abstractNumId w:val="20"/>
  </w:num>
  <w:num w:numId="2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saveSubsetFonts/>
  <w:proofState w:spelling="clean" w:grammar="clean"/>
  <w:attachedTemplate r:id="rId1"/>
  <w:stylePaneSortMethod w:val="00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D7D"/>
    <w:rsid w:val="00000F4E"/>
    <w:rsid w:val="00005D26"/>
    <w:rsid w:val="000072A3"/>
    <w:rsid w:val="00025777"/>
    <w:rsid w:val="00025B70"/>
    <w:rsid w:val="00031A30"/>
    <w:rsid w:val="00032E3A"/>
    <w:rsid w:val="000353D7"/>
    <w:rsid w:val="00036993"/>
    <w:rsid w:val="000437EF"/>
    <w:rsid w:val="00043FB9"/>
    <w:rsid w:val="00052EA7"/>
    <w:rsid w:val="00055496"/>
    <w:rsid w:val="00057597"/>
    <w:rsid w:val="000639A6"/>
    <w:rsid w:val="00071F11"/>
    <w:rsid w:val="00080A41"/>
    <w:rsid w:val="0008299B"/>
    <w:rsid w:val="000913AA"/>
    <w:rsid w:val="000942BA"/>
    <w:rsid w:val="00094847"/>
    <w:rsid w:val="00096C63"/>
    <w:rsid w:val="000B1A39"/>
    <w:rsid w:val="000B2915"/>
    <w:rsid w:val="000B5AB6"/>
    <w:rsid w:val="000B5DB5"/>
    <w:rsid w:val="000C3947"/>
    <w:rsid w:val="000D2A37"/>
    <w:rsid w:val="000D30E9"/>
    <w:rsid w:val="000D6818"/>
    <w:rsid w:val="000E335E"/>
    <w:rsid w:val="000E433E"/>
    <w:rsid w:val="000F16CF"/>
    <w:rsid w:val="000F5BAC"/>
    <w:rsid w:val="000F60CF"/>
    <w:rsid w:val="00102585"/>
    <w:rsid w:val="00104BA8"/>
    <w:rsid w:val="00105C50"/>
    <w:rsid w:val="00110485"/>
    <w:rsid w:val="00112FDA"/>
    <w:rsid w:val="00114AB7"/>
    <w:rsid w:val="00116B2B"/>
    <w:rsid w:val="00116EAA"/>
    <w:rsid w:val="00117684"/>
    <w:rsid w:val="00123223"/>
    <w:rsid w:val="00124E3D"/>
    <w:rsid w:val="00124EB5"/>
    <w:rsid w:val="001265CE"/>
    <w:rsid w:val="00126824"/>
    <w:rsid w:val="00127E95"/>
    <w:rsid w:val="00130659"/>
    <w:rsid w:val="00130789"/>
    <w:rsid w:val="00130F53"/>
    <w:rsid w:val="001347C7"/>
    <w:rsid w:val="001356B0"/>
    <w:rsid w:val="001356DF"/>
    <w:rsid w:val="00136036"/>
    <w:rsid w:val="0013617D"/>
    <w:rsid w:val="001366F1"/>
    <w:rsid w:val="00137DC1"/>
    <w:rsid w:val="001514E8"/>
    <w:rsid w:val="00151937"/>
    <w:rsid w:val="00163E7F"/>
    <w:rsid w:val="0017798C"/>
    <w:rsid w:val="00181844"/>
    <w:rsid w:val="001837E9"/>
    <w:rsid w:val="00187DFA"/>
    <w:rsid w:val="0019022B"/>
    <w:rsid w:val="00195345"/>
    <w:rsid w:val="00196909"/>
    <w:rsid w:val="001969FF"/>
    <w:rsid w:val="0019782D"/>
    <w:rsid w:val="001A1BC1"/>
    <w:rsid w:val="001A1EA5"/>
    <w:rsid w:val="001A2574"/>
    <w:rsid w:val="001A27D7"/>
    <w:rsid w:val="001A294E"/>
    <w:rsid w:val="001A4ED8"/>
    <w:rsid w:val="001B0579"/>
    <w:rsid w:val="001B2488"/>
    <w:rsid w:val="001B6799"/>
    <w:rsid w:val="001B690A"/>
    <w:rsid w:val="001C1362"/>
    <w:rsid w:val="001D2E9A"/>
    <w:rsid w:val="001D597F"/>
    <w:rsid w:val="001E14B8"/>
    <w:rsid w:val="001E3FD4"/>
    <w:rsid w:val="001F0797"/>
    <w:rsid w:val="001F47C9"/>
    <w:rsid w:val="0020241A"/>
    <w:rsid w:val="00202BE7"/>
    <w:rsid w:val="00203821"/>
    <w:rsid w:val="002071D8"/>
    <w:rsid w:val="00211632"/>
    <w:rsid w:val="0021630D"/>
    <w:rsid w:val="002229FA"/>
    <w:rsid w:val="00235990"/>
    <w:rsid w:val="00235CBA"/>
    <w:rsid w:val="0024121B"/>
    <w:rsid w:val="00247D2F"/>
    <w:rsid w:val="00256560"/>
    <w:rsid w:val="00263A95"/>
    <w:rsid w:val="0027605E"/>
    <w:rsid w:val="00281E00"/>
    <w:rsid w:val="00294A52"/>
    <w:rsid w:val="002A0013"/>
    <w:rsid w:val="002A5B9E"/>
    <w:rsid w:val="002B0EEE"/>
    <w:rsid w:val="002B575F"/>
    <w:rsid w:val="002B67C0"/>
    <w:rsid w:val="002B729B"/>
    <w:rsid w:val="002C0E13"/>
    <w:rsid w:val="002C23B5"/>
    <w:rsid w:val="002C2F53"/>
    <w:rsid w:val="002C53A2"/>
    <w:rsid w:val="002D0040"/>
    <w:rsid w:val="002D2FA8"/>
    <w:rsid w:val="002E1CB5"/>
    <w:rsid w:val="002E220F"/>
    <w:rsid w:val="00303BF4"/>
    <w:rsid w:val="00307311"/>
    <w:rsid w:val="0032100F"/>
    <w:rsid w:val="003337B8"/>
    <w:rsid w:val="0033402C"/>
    <w:rsid w:val="00337661"/>
    <w:rsid w:val="00340521"/>
    <w:rsid w:val="00345C73"/>
    <w:rsid w:val="00354A99"/>
    <w:rsid w:val="00360311"/>
    <w:rsid w:val="00361922"/>
    <w:rsid w:val="00364F83"/>
    <w:rsid w:val="003723D6"/>
    <w:rsid w:val="0037339B"/>
    <w:rsid w:val="00376791"/>
    <w:rsid w:val="003809B1"/>
    <w:rsid w:val="00386C11"/>
    <w:rsid w:val="0039689A"/>
    <w:rsid w:val="00397466"/>
    <w:rsid w:val="003A6148"/>
    <w:rsid w:val="003A76DC"/>
    <w:rsid w:val="003B5F02"/>
    <w:rsid w:val="003C33F6"/>
    <w:rsid w:val="003C3D2E"/>
    <w:rsid w:val="003C43A5"/>
    <w:rsid w:val="003D182C"/>
    <w:rsid w:val="003E1C5C"/>
    <w:rsid w:val="003E43ED"/>
    <w:rsid w:val="003E5ADB"/>
    <w:rsid w:val="003E6650"/>
    <w:rsid w:val="003F331A"/>
    <w:rsid w:val="003F5B46"/>
    <w:rsid w:val="00400871"/>
    <w:rsid w:val="00401363"/>
    <w:rsid w:val="00402E47"/>
    <w:rsid w:val="00406737"/>
    <w:rsid w:val="004112B5"/>
    <w:rsid w:val="00413191"/>
    <w:rsid w:val="00413475"/>
    <w:rsid w:val="0042312B"/>
    <w:rsid w:val="00425015"/>
    <w:rsid w:val="00430994"/>
    <w:rsid w:val="00435D36"/>
    <w:rsid w:val="0044128E"/>
    <w:rsid w:val="00441B6D"/>
    <w:rsid w:val="004556EF"/>
    <w:rsid w:val="00460DDA"/>
    <w:rsid w:val="00462B07"/>
    <w:rsid w:val="00464D29"/>
    <w:rsid w:val="00465BD2"/>
    <w:rsid w:val="004715C8"/>
    <w:rsid w:val="00472091"/>
    <w:rsid w:val="004724C1"/>
    <w:rsid w:val="00475EC6"/>
    <w:rsid w:val="00480EE4"/>
    <w:rsid w:val="00481C31"/>
    <w:rsid w:val="00482FC1"/>
    <w:rsid w:val="00483027"/>
    <w:rsid w:val="004871AA"/>
    <w:rsid w:val="004918D7"/>
    <w:rsid w:val="004926E1"/>
    <w:rsid w:val="004A09CC"/>
    <w:rsid w:val="004A2FEA"/>
    <w:rsid w:val="004A3E38"/>
    <w:rsid w:val="004B21DA"/>
    <w:rsid w:val="004B2F9E"/>
    <w:rsid w:val="004B3F99"/>
    <w:rsid w:val="004C3BC5"/>
    <w:rsid w:val="004D2DD7"/>
    <w:rsid w:val="004D75C5"/>
    <w:rsid w:val="004D7A65"/>
    <w:rsid w:val="004E2186"/>
    <w:rsid w:val="004E66FB"/>
    <w:rsid w:val="004F470A"/>
    <w:rsid w:val="004F4C59"/>
    <w:rsid w:val="00500C8F"/>
    <w:rsid w:val="00501909"/>
    <w:rsid w:val="00501BEC"/>
    <w:rsid w:val="00507BBB"/>
    <w:rsid w:val="005128DF"/>
    <w:rsid w:val="0051592A"/>
    <w:rsid w:val="00515A22"/>
    <w:rsid w:val="005206FE"/>
    <w:rsid w:val="005257ED"/>
    <w:rsid w:val="005306F8"/>
    <w:rsid w:val="0053378E"/>
    <w:rsid w:val="00537E48"/>
    <w:rsid w:val="0054023D"/>
    <w:rsid w:val="005419F2"/>
    <w:rsid w:val="005426BF"/>
    <w:rsid w:val="0055424A"/>
    <w:rsid w:val="005564E8"/>
    <w:rsid w:val="00556F99"/>
    <w:rsid w:val="00557E1D"/>
    <w:rsid w:val="00560D2A"/>
    <w:rsid w:val="0056213C"/>
    <w:rsid w:val="00575770"/>
    <w:rsid w:val="00580C24"/>
    <w:rsid w:val="0058656B"/>
    <w:rsid w:val="005916CC"/>
    <w:rsid w:val="005968EF"/>
    <w:rsid w:val="00596C1E"/>
    <w:rsid w:val="005A2E26"/>
    <w:rsid w:val="005B4856"/>
    <w:rsid w:val="005B7BCA"/>
    <w:rsid w:val="005C0DAE"/>
    <w:rsid w:val="005C188E"/>
    <w:rsid w:val="005D2349"/>
    <w:rsid w:val="005E1B60"/>
    <w:rsid w:val="005E5507"/>
    <w:rsid w:val="005E607B"/>
    <w:rsid w:val="005F0A8D"/>
    <w:rsid w:val="005F3D39"/>
    <w:rsid w:val="005F666E"/>
    <w:rsid w:val="00601229"/>
    <w:rsid w:val="00603B67"/>
    <w:rsid w:val="00607708"/>
    <w:rsid w:val="00613BFE"/>
    <w:rsid w:val="006162A2"/>
    <w:rsid w:val="00623CE2"/>
    <w:rsid w:val="00624050"/>
    <w:rsid w:val="006240DA"/>
    <w:rsid w:val="0063256E"/>
    <w:rsid w:val="00633F04"/>
    <w:rsid w:val="00635219"/>
    <w:rsid w:val="00635EC0"/>
    <w:rsid w:val="00640B58"/>
    <w:rsid w:val="00651B02"/>
    <w:rsid w:val="00651B19"/>
    <w:rsid w:val="00654CF7"/>
    <w:rsid w:val="00657BD2"/>
    <w:rsid w:val="00660A29"/>
    <w:rsid w:val="006750BA"/>
    <w:rsid w:val="00677C34"/>
    <w:rsid w:val="00682878"/>
    <w:rsid w:val="00691A16"/>
    <w:rsid w:val="00695519"/>
    <w:rsid w:val="006A1FA8"/>
    <w:rsid w:val="006A2499"/>
    <w:rsid w:val="006A4134"/>
    <w:rsid w:val="006A441C"/>
    <w:rsid w:val="006A5DDA"/>
    <w:rsid w:val="006A6701"/>
    <w:rsid w:val="006B21F4"/>
    <w:rsid w:val="006B253F"/>
    <w:rsid w:val="006B312D"/>
    <w:rsid w:val="006B3753"/>
    <w:rsid w:val="006B7AD6"/>
    <w:rsid w:val="006C43D0"/>
    <w:rsid w:val="006C50FD"/>
    <w:rsid w:val="006D1DD4"/>
    <w:rsid w:val="006D2548"/>
    <w:rsid w:val="006D4014"/>
    <w:rsid w:val="006D44C1"/>
    <w:rsid w:val="006D6B44"/>
    <w:rsid w:val="006E1E5A"/>
    <w:rsid w:val="006E27C3"/>
    <w:rsid w:val="006E5651"/>
    <w:rsid w:val="006E5806"/>
    <w:rsid w:val="006E5B85"/>
    <w:rsid w:val="006F026A"/>
    <w:rsid w:val="006F1405"/>
    <w:rsid w:val="006F2C24"/>
    <w:rsid w:val="00700435"/>
    <w:rsid w:val="0070265B"/>
    <w:rsid w:val="00704813"/>
    <w:rsid w:val="00705403"/>
    <w:rsid w:val="007111CF"/>
    <w:rsid w:val="0071381B"/>
    <w:rsid w:val="00720265"/>
    <w:rsid w:val="0072290D"/>
    <w:rsid w:val="00723D6D"/>
    <w:rsid w:val="00724537"/>
    <w:rsid w:val="00724CC7"/>
    <w:rsid w:val="00731724"/>
    <w:rsid w:val="0073474B"/>
    <w:rsid w:val="00735511"/>
    <w:rsid w:val="00737208"/>
    <w:rsid w:val="00744DE6"/>
    <w:rsid w:val="007514A6"/>
    <w:rsid w:val="00752F1A"/>
    <w:rsid w:val="00755AE9"/>
    <w:rsid w:val="007579A8"/>
    <w:rsid w:val="00762452"/>
    <w:rsid w:val="007639E0"/>
    <w:rsid w:val="00766B61"/>
    <w:rsid w:val="00775507"/>
    <w:rsid w:val="00777F37"/>
    <w:rsid w:val="00783473"/>
    <w:rsid w:val="0078594B"/>
    <w:rsid w:val="00787150"/>
    <w:rsid w:val="00795E02"/>
    <w:rsid w:val="0079746D"/>
    <w:rsid w:val="007979D0"/>
    <w:rsid w:val="007A4E18"/>
    <w:rsid w:val="007A6196"/>
    <w:rsid w:val="007A7B8C"/>
    <w:rsid w:val="007B1577"/>
    <w:rsid w:val="007C6D9E"/>
    <w:rsid w:val="007D1C43"/>
    <w:rsid w:val="007D6C53"/>
    <w:rsid w:val="007D6EE0"/>
    <w:rsid w:val="007E1121"/>
    <w:rsid w:val="007E1564"/>
    <w:rsid w:val="007E1E87"/>
    <w:rsid w:val="007E5B3F"/>
    <w:rsid w:val="007F2257"/>
    <w:rsid w:val="0080091D"/>
    <w:rsid w:val="0080392B"/>
    <w:rsid w:val="00804108"/>
    <w:rsid w:val="00804FC4"/>
    <w:rsid w:val="00816367"/>
    <w:rsid w:val="00816A0B"/>
    <w:rsid w:val="008211C6"/>
    <w:rsid w:val="00824B22"/>
    <w:rsid w:val="00826570"/>
    <w:rsid w:val="00830C53"/>
    <w:rsid w:val="00837FAA"/>
    <w:rsid w:val="00841F77"/>
    <w:rsid w:val="0084449D"/>
    <w:rsid w:val="00844627"/>
    <w:rsid w:val="0084700F"/>
    <w:rsid w:val="00851C24"/>
    <w:rsid w:val="0085276D"/>
    <w:rsid w:val="00862FD7"/>
    <w:rsid w:val="00863390"/>
    <w:rsid w:val="0086385C"/>
    <w:rsid w:val="00871916"/>
    <w:rsid w:val="0087350B"/>
    <w:rsid w:val="00886268"/>
    <w:rsid w:val="008956DD"/>
    <w:rsid w:val="00895845"/>
    <w:rsid w:val="008A3C70"/>
    <w:rsid w:val="008A510E"/>
    <w:rsid w:val="008A522A"/>
    <w:rsid w:val="008A7879"/>
    <w:rsid w:val="008B4464"/>
    <w:rsid w:val="008B6964"/>
    <w:rsid w:val="008B750B"/>
    <w:rsid w:val="008C3162"/>
    <w:rsid w:val="008D1F14"/>
    <w:rsid w:val="008E3924"/>
    <w:rsid w:val="008E68EE"/>
    <w:rsid w:val="008F0C73"/>
    <w:rsid w:val="008F13F7"/>
    <w:rsid w:val="008F3FCA"/>
    <w:rsid w:val="008F5237"/>
    <w:rsid w:val="008F5B4D"/>
    <w:rsid w:val="00904C97"/>
    <w:rsid w:val="00904CFA"/>
    <w:rsid w:val="00907425"/>
    <w:rsid w:val="0091475F"/>
    <w:rsid w:val="00922432"/>
    <w:rsid w:val="00923C34"/>
    <w:rsid w:val="00924152"/>
    <w:rsid w:val="0092513D"/>
    <w:rsid w:val="00927A9F"/>
    <w:rsid w:val="009335CC"/>
    <w:rsid w:val="00935A55"/>
    <w:rsid w:val="00941CEB"/>
    <w:rsid w:val="0094720F"/>
    <w:rsid w:val="00953B28"/>
    <w:rsid w:val="00954322"/>
    <w:rsid w:val="0095704E"/>
    <w:rsid w:val="00957CAA"/>
    <w:rsid w:val="00957DB1"/>
    <w:rsid w:val="00966927"/>
    <w:rsid w:val="0096778A"/>
    <w:rsid w:val="00977656"/>
    <w:rsid w:val="00982711"/>
    <w:rsid w:val="009846A7"/>
    <w:rsid w:val="009869CD"/>
    <w:rsid w:val="0098794D"/>
    <w:rsid w:val="0099463D"/>
    <w:rsid w:val="0099497B"/>
    <w:rsid w:val="009972CF"/>
    <w:rsid w:val="009A393C"/>
    <w:rsid w:val="009A43BA"/>
    <w:rsid w:val="009A5F58"/>
    <w:rsid w:val="009A6158"/>
    <w:rsid w:val="009B0D05"/>
    <w:rsid w:val="009B4CA6"/>
    <w:rsid w:val="009B79F8"/>
    <w:rsid w:val="009C66D5"/>
    <w:rsid w:val="009D13FD"/>
    <w:rsid w:val="009D266A"/>
    <w:rsid w:val="009E345B"/>
    <w:rsid w:val="009F4543"/>
    <w:rsid w:val="009F72D6"/>
    <w:rsid w:val="009F7E07"/>
    <w:rsid w:val="00A01522"/>
    <w:rsid w:val="00A066D5"/>
    <w:rsid w:val="00A1042E"/>
    <w:rsid w:val="00A108F8"/>
    <w:rsid w:val="00A10A11"/>
    <w:rsid w:val="00A13C6A"/>
    <w:rsid w:val="00A1633E"/>
    <w:rsid w:val="00A17B09"/>
    <w:rsid w:val="00A26B69"/>
    <w:rsid w:val="00A26DA6"/>
    <w:rsid w:val="00A3081B"/>
    <w:rsid w:val="00A319AD"/>
    <w:rsid w:val="00A32325"/>
    <w:rsid w:val="00A33C41"/>
    <w:rsid w:val="00A356C9"/>
    <w:rsid w:val="00A42FC3"/>
    <w:rsid w:val="00A457C6"/>
    <w:rsid w:val="00A46AD0"/>
    <w:rsid w:val="00A47063"/>
    <w:rsid w:val="00A473A8"/>
    <w:rsid w:val="00A513F0"/>
    <w:rsid w:val="00A57927"/>
    <w:rsid w:val="00A61AC8"/>
    <w:rsid w:val="00A62531"/>
    <w:rsid w:val="00A6366F"/>
    <w:rsid w:val="00A65D4C"/>
    <w:rsid w:val="00A70512"/>
    <w:rsid w:val="00A92492"/>
    <w:rsid w:val="00A94295"/>
    <w:rsid w:val="00AA1F60"/>
    <w:rsid w:val="00AA40D7"/>
    <w:rsid w:val="00AB5F7D"/>
    <w:rsid w:val="00AC0C50"/>
    <w:rsid w:val="00AC0E4E"/>
    <w:rsid w:val="00AC6FE2"/>
    <w:rsid w:val="00AF2DD3"/>
    <w:rsid w:val="00AF3925"/>
    <w:rsid w:val="00B11ADB"/>
    <w:rsid w:val="00B1296B"/>
    <w:rsid w:val="00B2292F"/>
    <w:rsid w:val="00B3221E"/>
    <w:rsid w:val="00B41590"/>
    <w:rsid w:val="00B43169"/>
    <w:rsid w:val="00B4480F"/>
    <w:rsid w:val="00B501A8"/>
    <w:rsid w:val="00B52466"/>
    <w:rsid w:val="00B55AE4"/>
    <w:rsid w:val="00B63FF9"/>
    <w:rsid w:val="00B70B46"/>
    <w:rsid w:val="00B739B0"/>
    <w:rsid w:val="00B73A98"/>
    <w:rsid w:val="00B76A56"/>
    <w:rsid w:val="00B814A3"/>
    <w:rsid w:val="00B908C8"/>
    <w:rsid w:val="00B96F38"/>
    <w:rsid w:val="00BA0493"/>
    <w:rsid w:val="00BB153B"/>
    <w:rsid w:val="00BB2113"/>
    <w:rsid w:val="00BC2484"/>
    <w:rsid w:val="00BC716B"/>
    <w:rsid w:val="00BD0E74"/>
    <w:rsid w:val="00BD3D2A"/>
    <w:rsid w:val="00BD5F8C"/>
    <w:rsid w:val="00BE29DD"/>
    <w:rsid w:val="00BE7B1A"/>
    <w:rsid w:val="00BF5AE9"/>
    <w:rsid w:val="00C01BE3"/>
    <w:rsid w:val="00C0317E"/>
    <w:rsid w:val="00C05072"/>
    <w:rsid w:val="00C066AF"/>
    <w:rsid w:val="00C10E06"/>
    <w:rsid w:val="00C145B8"/>
    <w:rsid w:val="00C2438F"/>
    <w:rsid w:val="00C27944"/>
    <w:rsid w:val="00C31AF0"/>
    <w:rsid w:val="00C32A7E"/>
    <w:rsid w:val="00C3423C"/>
    <w:rsid w:val="00C34F28"/>
    <w:rsid w:val="00C368DF"/>
    <w:rsid w:val="00C40131"/>
    <w:rsid w:val="00C442C5"/>
    <w:rsid w:val="00C4725F"/>
    <w:rsid w:val="00C50ACD"/>
    <w:rsid w:val="00C51BF1"/>
    <w:rsid w:val="00C5439C"/>
    <w:rsid w:val="00C559A4"/>
    <w:rsid w:val="00C57B5C"/>
    <w:rsid w:val="00C57C7C"/>
    <w:rsid w:val="00C61049"/>
    <w:rsid w:val="00C63FFE"/>
    <w:rsid w:val="00C70805"/>
    <w:rsid w:val="00C76962"/>
    <w:rsid w:val="00C86A16"/>
    <w:rsid w:val="00C91BB4"/>
    <w:rsid w:val="00C91EB6"/>
    <w:rsid w:val="00CA10B0"/>
    <w:rsid w:val="00CA2D85"/>
    <w:rsid w:val="00CA2F8E"/>
    <w:rsid w:val="00CA3EE2"/>
    <w:rsid w:val="00CA7FD5"/>
    <w:rsid w:val="00CB1B96"/>
    <w:rsid w:val="00CB1F07"/>
    <w:rsid w:val="00CB3287"/>
    <w:rsid w:val="00CB33E2"/>
    <w:rsid w:val="00CB4E68"/>
    <w:rsid w:val="00CC16FB"/>
    <w:rsid w:val="00CC2733"/>
    <w:rsid w:val="00CD0050"/>
    <w:rsid w:val="00CE7481"/>
    <w:rsid w:val="00CF0A8F"/>
    <w:rsid w:val="00CF53B6"/>
    <w:rsid w:val="00D0159E"/>
    <w:rsid w:val="00D03558"/>
    <w:rsid w:val="00D048CE"/>
    <w:rsid w:val="00D10998"/>
    <w:rsid w:val="00D129A9"/>
    <w:rsid w:val="00D12A82"/>
    <w:rsid w:val="00D15CBD"/>
    <w:rsid w:val="00D16247"/>
    <w:rsid w:val="00D17103"/>
    <w:rsid w:val="00D221CB"/>
    <w:rsid w:val="00D23391"/>
    <w:rsid w:val="00D31805"/>
    <w:rsid w:val="00D356CC"/>
    <w:rsid w:val="00D3794F"/>
    <w:rsid w:val="00D37E62"/>
    <w:rsid w:val="00D405AD"/>
    <w:rsid w:val="00D43A0E"/>
    <w:rsid w:val="00D460F5"/>
    <w:rsid w:val="00D55197"/>
    <w:rsid w:val="00D552B9"/>
    <w:rsid w:val="00D556F1"/>
    <w:rsid w:val="00D65FAC"/>
    <w:rsid w:val="00D666DB"/>
    <w:rsid w:val="00D735B2"/>
    <w:rsid w:val="00D74021"/>
    <w:rsid w:val="00D749D7"/>
    <w:rsid w:val="00D76D01"/>
    <w:rsid w:val="00D77F3D"/>
    <w:rsid w:val="00D82279"/>
    <w:rsid w:val="00D922A9"/>
    <w:rsid w:val="00D9394A"/>
    <w:rsid w:val="00DA155A"/>
    <w:rsid w:val="00DB0CBB"/>
    <w:rsid w:val="00DB67CC"/>
    <w:rsid w:val="00DC3783"/>
    <w:rsid w:val="00DD1F28"/>
    <w:rsid w:val="00DD2414"/>
    <w:rsid w:val="00DE1070"/>
    <w:rsid w:val="00DE1597"/>
    <w:rsid w:val="00DE2EE3"/>
    <w:rsid w:val="00DF7C82"/>
    <w:rsid w:val="00E00219"/>
    <w:rsid w:val="00E002C6"/>
    <w:rsid w:val="00E01A8D"/>
    <w:rsid w:val="00E0316B"/>
    <w:rsid w:val="00E25E10"/>
    <w:rsid w:val="00E30C1B"/>
    <w:rsid w:val="00E361C0"/>
    <w:rsid w:val="00E50B41"/>
    <w:rsid w:val="00E5219B"/>
    <w:rsid w:val="00E52D07"/>
    <w:rsid w:val="00E5518B"/>
    <w:rsid w:val="00E609A5"/>
    <w:rsid w:val="00E609FE"/>
    <w:rsid w:val="00E61411"/>
    <w:rsid w:val="00E630BE"/>
    <w:rsid w:val="00E75920"/>
    <w:rsid w:val="00E80D96"/>
    <w:rsid w:val="00E85A03"/>
    <w:rsid w:val="00E871FA"/>
    <w:rsid w:val="00E936A4"/>
    <w:rsid w:val="00E954BB"/>
    <w:rsid w:val="00EA090E"/>
    <w:rsid w:val="00EA45E7"/>
    <w:rsid w:val="00EB78E3"/>
    <w:rsid w:val="00EB7BE3"/>
    <w:rsid w:val="00EC1C4B"/>
    <w:rsid w:val="00EC735A"/>
    <w:rsid w:val="00ED0A8A"/>
    <w:rsid w:val="00ED5F38"/>
    <w:rsid w:val="00EE6CAA"/>
    <w:rsid w:val="00EF1D28"/>
    <w:rsid w:val="00EF27FE"/>
    <w:rsid w:val="00F010D0"/>
    <w:rsid w:val="00F07FB6"/>
    <w:rsid w:val="00F149D0"/>
    <w:rsid w:val="00F16B53"/>
    <w:rsid w:val="00F16F47"/>
    <w:rsid w:val="00F16FFA"/>
    <w:rsid w:val="00F25ECD"/>
    <w:rsid w:val="00F318BE"/>
    <w:rsid w:val="00F33297"/>
    <w:rsid w:val="00F3384F"/>
    <w:rsid w:val="00F343FB"/>
    <w:rsid w:val="00F359FE"/>
    <w:rsid w:val="00F42159"/>
    <w:rsid w:val="00F4256E"/>
    <w:rsid w:val="00F42EE1"/>
    <w:rsid w:val="00F564CA"/>
    <w:rsid w:val="00F56C38"/>
    <w:rsid w:val="00F5794B"/>
    <w:rsid w:val="00F60F1F"/>
    <w:rsid w:val="00F62FE7"/>
    <w:rsid w:val="00F64141"/>
    <w:rsid w:val="00F65AE8"/>
    <w:rsid w:val="00F66355"/>
    <w:rsid w:val="00F67401"/>
    <w:rsid w:val="00F67508"/>
    <w:rsid w:val="00F71FC9"/>
    <w:rsid w:val="00F73B48"/>
    <w:rsid w:val="00F74F51"/>
    <w:rsid w:val="00F75C3E"/>
    <w:rsid w:val="00F776AA"/>
    <w:rsid w:val="00F811BF"/>
    <w:rsid w:val="00F83FC7"/>
    <w:rsid w:val="00F842AD"/>
    <w:rsid w:val="00F911A2"/>
    <w:rsid w:val="00F914EB"/>
    <w:rsid w:val="00F91B85"/>
    <w:rsid w:val="00F938E7"/>
    <w:rsid w:val="00F94621"/>
    <w:rsid w:val="00FA3B17"/>
    <w:rsid w:val="00FA5E8D"/>
    <w:rsid w:val="00FA5F3D"/>
    <w:rsid w:val="00FB399E"/>
    <w:rsid w:val="00FB67B8"/>
    <w:rsid w:val="00FB7F50"/>
    <w:rsid w:val="00FC0820"/>
    <w:rsid w:val="00FC1B52"/>
    <w:rsid w:val="00FC2A85"/>
    <w:rsid w:val="00FC40AF"/>
    <w:rsid w:val="00FC73B9"/>
    <w:rsid w:val="00FD0A16"/>
    <w:rsid w:val="00FD46A2"/>
    <w:rsid w:val="00FE3D7D"/>
    <w:rsid w:val="00FE6DCF"/>
    <w:rsid w:val="00FF0E1C"/>
    <w:rsid w:val="00FF2D86"/>
    <w:rsid w:val="00FF2E6E"/>
    <w:rsid w:val="00FF6BC0"/>
    <w:rsid w:val="00FF7FB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CAD8F"/>
  <w15:docId w15:val="{79ED2FB3-8E69-47E5-AA23-A2EFD6DE2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91D"/>
    <w:pPr>
      <w:bidi/>
      <w:spacing w:line="276" w:lineRule="auto"/>
    </w:pPr>
    <w:rPr>
      <w:rFonts w:cs="B Badr"/>
      <w:sz w:val="22"/>
      <w:szCs w:val="28"/>
    </w:rPr>
  </w:style>
  <w:style w:type="paragraph" w:styleId="Heading1">
    <w:name w:val="heading 1"/>
    <w:basedOn w:val="Normal"/>
    <w:next w:val="Normal"/>
    <w:link w:val="Heading1Char"/>
    <w:autoRedefine/>
    <w:uiPriority w:val="9"/>
    <w:qFormat/>
    <w:rsid w:val="00C31AF0"/>
    <w:pPr>
      <w:keepNext/>
      <w:spacing w:before="120"/>
      <w:outlineLvl w:val="0"/>
    </w:pPr>
    <w:rPr>
      <w:rFonts w:ascii="Cambria" w:eastAsia="Times New Roman" w:hAnsi="Cambria" w:cs="B Titr"/>
      <w:b/>
      <w:bCs/>
      <w:color w:val="0100FF"/>
      <w:kern w:val="32"/>
      <w:sz w:val="32"/>
      <w:szCs w:val="32"/>
    </w:rPr>
  </w:style>
  <w:style w:type="paragraph" w:styleId="Heading2">
    <w:name w:val="heading 2"/>
    <w:basedOn w:val="Normal"/>
    <w:next w:val="Normal"/>
    <w:link w:val="Heading2Char"/>
    <w:autoRedefine/>
    <w:uiPriority w:val="9"/>
    <w:unhideWhenUsed/>
    <w:qFormat/>
    <w:rsid w:val="00BC716B"/>
    <w:pPr>
      <w:keepNext/>
      <w:spacing w:before="240" w:after="60"/>
      <w:outlineLvl w:val="1"/>
    </w:pPr>
    <w:rPr>
      <w:rFonts w:ascii="Cambria" w:eastAsia="Times New Roman" w:hAnsi="Cambria" w:cs="B Titr"/>
      <w:b/>
      <w:bCs/>
      <w:i/>
      <w:color w:val="0000FE"/>
      <w:sz w:val="28"/>
      <w:szCs w:val="30"/>
    </w:rPr>
  </w:style>
  <w:style w:type="paragraph" w:styleId="Heading3">
    <w:name w:val="heading 3"/>
    <w:basedOn w:val="Normal"/>
    <w:next w:val="Normal"/>
    <w:link w:val="Heading3Char"/>
    <w:autoRedefine/>
    <w:uiPriority w:val="9"/>
    <w:unhideWhenUsed/>
    <w:qFormat/>
    <w:rsid w:val="00BC716B"/>
    <w:pPr>
      <w:keepNext/>
      <w:spacing w:before="240" w:after="60"/>
      <w:outlineLvl w:val="2"/>
    </w:pPr>
    <w:rPr>
      <w:rFonts w:ascii="Cambria" w:eastAsia="Times New Roman" w:hAnsi="Cambria" w:cs="B Titr"/>
      <w:b/>
      <w:bCs/>
      <w:color w:val="0000FD"/>
      <w:sz w:val="26"/>
    </w:rPr>
  </w:style>
  <w:style w:type="paragraph" w:styleId="Heading4">
    <w:name w:val="heading 4"/>
    <w:basedOn w:val="Normal"/>
    <w:next w:val="Normal"/>
    <w:link w:val="Heading4Char"/>
    <w:autoRedefine/>
    <w:uiPriority w:val="9"/>
    <w:unhideWhenUsed/>
    <w:qFormat/>
    <w:rsid w:val="00BC716B"/>
    <w:pPr>
      <w:keepNext/>
      <w:spacing w:before="240" w:after="60"/>
      <w:outlineLvl w:val="3"/>
    </w:pPr>
    <w:rPr>
      <w:rFonts w:eastAsia="Times New Roman" w:cs="B Titr"/>
      <w:b/>
      <w:bCs/>
      <w:color w:val="0000FC"/>
      <w:sz w:val="28"/>
      <w:szCs w:val="26"/>
    </w:rPr>
  </w:style>
  <w:style w:type="paragraph" w:styleId="Heading5">
    <w:name w:val="heading 5"/>
    <w:basedOn w:val="Normal"/>
    <w:next w:val="Normal"/>
    <w:link w:val="Heading5Char"/>
    <w:autoRedefine/>
    <w:uiPriority w:val="9"/>
    <w:unhideWhenUsed/>
    <w:qFormat/>
    <w:rsid w:val="00BC716B"/>
    <w:pPr>
      <w:keepNext/>
      <w:spacing w:before="240" w:after="60"/>
      <w:outlineLvl w:val="4"/>
    </w:pPr>
    <w:rPr>
      <w:rFonts w:eastAsia="Times New Roman" w:cs="B Titr"/>
      <w:b/>
      <w:bCs/>
      <w:i/>
      <w:color w:val="0000FB"/>
      <w:sz w:val="26"/>
      <w:szCs w:val="24"/>
    </w:rPr>
  </w:style>
  <w:style w:type="paragraph" w:styleId="Heading6">
    <w:name w:val="heading 6"/>
    <w:basedOn w:val="Normal"/>
    <w:next w:val="Normal"/>
    <w:link w:val="Heading6Char"/>
    <w:autoRedefine/>
    <w:uiPriority w:val="9"/>
    <w:unhideWhenUsed/>
    <w:qFormat/>
    <w:rsid w:val="00BC716B"/>
    <w:pPr>
      <w:keepNext/>
      <w:spacing w:before="240" w:after="60"/>
      <w:outlineLvl w:val="5"/>
    </w:pPr>
    <w:rPr>
      <w:rFonts w:eastAsia="Times New Roman" w:cs="B Titr"/>
      <w:b/>
      <w:bCs/>
      <w:color w:val="0000FA"/>
      <w:szCs w:val="24"/>
    </w:rPr>
  </w:style>
  <w:style w:type="paragraph" w:styleId="Heading7">
    <w:name w:val="heading 7"/>
    <w:basedOn w:val="Normal"/>
    <w:next w:val="Normal"/>
    <w:link w:val="Heading7Char"/>
    <w:autoRedefine/>
    <w:uiPriority w:val="9"/>
    <w:unhideWhenUsed/>
    <w:qFormat/>
    <w:rsid w:val="00BC716B"/>
    <w:pPr>
      <w:keepNext/>
      <w:spacing w:before="240" w:after="60"/>
      <w:outlineLvl w:val="6"/>
    </w:pPr>
    <w:rPr>
      <w:rFonts w:eastAsia="Times New Roman" w:cs="B Titr"/>
      <w:bCs/>
      <w:color w:val="0000F9"/>
      <w:sz w:val="24"/>
      <w:szCs w:val="24"/>
    </w:rPr>
  </w:style>
  <w:style w:type="paragraph" w:styleId="Heading8">
    <w:name w:val="heading 8"/>
    <w:basedOn w:val="Normal"/>
    <w:next w:val="Normal"/>
    <w:link w:val="Heading8Char"/>
    <w:autoRedefine/>
    <w:uiPriority w:val="9"/>
    <w:unhideWhenUsed/>
    <w:qFormat/>
    <w:rsid w:val="00BC716B"/>
    <w:pPr>
      <w:keepNext/>
      <w:spacing w:before="240" w:after="60" w:line="240" w:lineRule="auto"/>
      <w:outlineLvl w:val="7"/>
    </w:pPr>
    <w:rPr>
      <w:rFonts w:eastAsia="Times New Roman" w:cs="B Titr"/>
      <w:bCs/>
      <w:i/>
      <w:color w:val="0000F8"/>
      <w:sz w:val="24"/>
      <w:szCs w:val="24"/>
    </w:rPr>
  </w:style>
  <w:style w:type="paragraph" w:styleId="Heading9">
    <w:name w:val="heading 9"/>
    <w:basedOn w:val="Normal"/>
    <w:next w:val="Normal"/>
    <w:link w:val="Heading9Char"/>
    <w:autoRedefine/>
    <w:uiPriority w:val="9"/>
    <w:unhideWhenUsed/>
    <w:qFormat/>
    <w:rsid w:val="00BC716B"/>
    <w:pPr>
      <w:keepNext/>
      <w:spacing w:before="240" w:after="60"/>
      <w:outlineLvl w:val="8"/>
    </w:pPr>
    <w:rPr>
      <w:rFonts w:ascii="Cambria" w:eastAsia="Times New Roman" w:hAnsi="Cambria" w:cs="B Titr"/>
      <w:bCs/>
      <w:color w:val="0000F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1AF0"/>
    <w:rPr>
      <w:rFonts w:ascii="Cambria" w:eastAsia="Times New Roman" w:hAnsi="Cambria" w:cs="B Titr"/>
      <w:b/>
      <w:bCs/>
      <w:color w:val="0100FF"/>
      <w:kern w:val="32"/>
      <w:sz w:val="32"/>
      <w:szCs w:val="32"/>
    </w:rPr>
  </w:style>
  <w:style w:type="character" w:customStyle="1" w:styleId="Heading2Char">
    <w:name w:val="Heading 2 Char"/>
    <w:link w:val="Heading2"/>
    <w:uiPriority w:val="9"/>
    <w:rsid w:val="00BC716B"/>
    <w:rPr>
      <w:rFonts w:ascii="Cambria" w:eastAsia="Times New Roman" w:hAnsi="Cambria" w:cs="B Titr"/>
      <w:b/>
      <w:bCs/>
      <w:i/>
      <w:color w:val="0000FE"/>
      <w:sz w:val="28"/>
      <w:szCs w:val="30"/>
    </w:rPr>
  </w:style>
  <w:style w:type="character" w:customStyle="1" w:styleId="Heading3Char">
    <w:name w:val="Heading 3 Char"/>
    <w:link w:val="Heading3"/>
    <w:uiPriority w:val="9"/>
    <w:rsid w:val="00BC716B"/>
    <w:rPr>
      <w:rFonts w:ascii="Cambria" w:eastAsia="Times New Roman" w:hAnsi="Cambria" w:cs="B Titr"/>
      <w:b/>
      <w:bCs/>
      <w:color w:val="0000FD"/>
      <w:sz w:val="26"/>
      <w:szCs w:val="28"/>
    </w:rPr>
  </w:style>
  <w:style w:type="character" w:customStyle="1" w:styleId="Heading4Char">
    <w:name w:val="Heading 4 Char"/>
    <w:link w:val="Heading4"/>
    <w:uiPriority w:val="9"/>
    <w:rsid w:val="00BC716B"/>
    <w:rPr>
      <w:rFonts w:eastAsia="Times New Roman" w:cs="B Titr"/>
      <w:b/>
      <w:bCs/>
      <w:color w:val="0000FC"/>
      <w:sz w:val="28"/>
      <w:szCs w:val="26"/>
    </w:rPr>
  </w:style>
  <w:style w:type="character" w:customStyle="1" w:styleId="Heading5Char">
    <w:name w:val="Heading 5 Char"/>
    <w:link w:val="Heading5"/>
    <w:uiPriority w:val="9"/>
    <w:rsid w:val="00BC716B"/>
    <w:rPr>
      <w:rFonts w:eastAsia="Times New Roman" w:cs="B Titr"/>
      <w:b/>
      <w:bCs/>
      <w:i/>
      <w:color w:val="0000FB"/>
      <w:sz w:val="26"/>
      <w:szCs w:val="24"/>
    </w:rPr>
  </w:style>
  <w:style w:type="character" w:customStyle="1" w:styleId="Heading7Char">
    <w:name w:val="Heading 7 Char"/>
    <w:link w:val="Heading7"/>
    <w:uiPriority w:val="9"/>
    <w:rsid w:val="00BC716B"/>
    <w:rPr>
      <w:rFonts w:eastAsia="Times New Roman" w:cs="B Titr"/>
      <w:bCs/>
      <w:color w:val="0000F9"/>
      <w:sz w:val="24"/>
      <w:szCs w:val="24"/>
    </w:rPr>
  </w:style>
  <w:style w:type="character" w:customStyle="1" w:styleId="Heading6Char">
    <w:name w:val="Heading 6 Char"/>
    <w:link w:val="Heading6"/>
    <w:uiPriority w:val="9"/>
    <w:rsid w:val="00BC716B"/>
    <w:rPr>
      <w:rFonts w:eastAsia="Times New Roman" w:cs="B Titr"/>
      <w:b/>
      <w:bCs/>
      <w:color w:val="0000FA"/>
      <w:sz w:val="22"/>
      <w:szCs w:val="24"/>
    </w:rPr>
  </w:style>
  <w:style w:type="character" w:customStyle="1" w:styleId="Heading8Char">
    <w:name w:val="Heading 8 Char"/>
    <w:link w:val="Heading8"/>
    <w:uiPriority w:val="9"/>
    <w:rsid w:val="00BC716B"/>
    <w:rPr>
      <w:rFonts w:eastAsia="Times New Roman" w:cs="B Titr"/>
      <w:bCs/>
      <w:i/>
      <w:color w:val="0000F8"/>
      <w:sz w:val="24"/>
      <w:szCs w:val="24"/>
    </w:rPr>
  </w:style>
  <w:style w:type="character" w:customStyle="1" w:styleId="Heading9Char">
    <w:name w:val="Heading 9 Char"/>
    <w:link w:val="Heading9"/>
    <w:uiPriority w:val="9"/>
    <w:rsid w:val="00BC716B"/>
    <w:rPr>
      <w:rFonts w:ascii="Cambria" w:eastAsia="Times New Roman" w:hAnsi="Cambria" w:cs="B Titr"/>
      <w:bCs/>
      <w:color w:val="0000F7"/>
      <w:sz w:val="22"/>
      <w:szCs w:val="24"/>
    </w:rPr>
  </w:style>
  <w:style w:type="paragraph" w:styleId="Header">
    <w:name w:val="header"/>
    <w:basedOn w:val="Normal"/>
    <w:link w:val="HeaderChar"/>
    <w:uiPriority w:val="99"/>
    <w:unhideWhenUsed/>
    <w:rsid w:val="008B750B"/>
    <w:pPr>
      <w:tabs>
        <w:tab w:val="center" w:pos="4513"/>
        <w:tab w:val="right" w:pos="9026"/>
      </w:tabs>
    </w:pPr>
  </w:style>
  <w:style w:type="character" w:customStyle="1" w:styleId="HeaderChar">
    <w:name w:val="Header Char"/>
    <w:link w:val="Header"/>
    <w:uiPriority w:val="99"/>
    <w:rsid w:val="008B750B"/>
    <w:rPr>
      <w:rFonts w:cs="B Badr"/>
      <w:sz w:val="22"/>
      <w:szCs w:val="28"/>
    </w:rPr>
  </w:style>
  <w:style w:type="paragraph" w:styleId="Footer">
    <w:name w:val="footer"/>
    <w:basedOn w:val="Normal"/>
    <w:link w:val="FooterChar"/>
    <w:uiPriority w:val="99"/>
    <w:unhideWhenUsed/>
    <w:rsid w:val="008B750B"/>
    <w:pPr>
      <w:tabs>
        <w:tab w:val="center" w:pos="4513"/>
        <w:tab w:val="right" w:pos="9026"/>
      </w:tabs>
    </w:pPr>
  </w:style>
  <w:style w:type="character" w:customStyle="1" w:styleId="FooterChar">
    <w:name w:val="Footer Char"/>
    <w:link w:val="Footer"/>
    <w:uiPriority w:val="99"/>
    <w:rsid w:val="008B750B"/>
    <w:rPr>
      <w:rFonts w:cs="B Badr"/>
      <w:sz w:val="22"/>
      <w:szCs w:val="28"/>
    </w:rPr>
  </w:style>
  <w:style w:type="paragraph" w:styleId="NormalWeb">
    <w:name w:val="Normal (Web)"/>
    <w:basedOn w:val="Normal"/>
    <w:uiPriority w:val="99"/>
    <w:unhideWhenUsed/>
    <w:rsid w:val="00E5219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99497B"/>
    <w:rPr>
      <w:sz w:val="20"/>
      <w:szCs w:val="20"/>
    </w:rPr>
  </w:style>
  <w:style w:type="character" w:customStyle="1" w:styleId="FootnoteTextChar">
    <w:name w:val="Footnote Text Char"/>
    <w:link w:val="FootnoteText"/>
    <w:uiPriority w:val="99"/>
    <w:rsid w:val="0099497B"/>
    <w:rPr>
      <w:rFonts w:cs="B Lotus"/>
    </w:rPr>
  </w:style>
  <w:style w:type="character" w:styleId="FootnoteReference">
    <w:name w:val="footnote reference"/>
    <w:uiPriority w:val="99"/>
    <w:semiHidden/>
    <w:unhideWhenUsed/>
    <w:qFormat/>
    <w:rsid w:val="00E5219B"/>
    <w:rPr>
      <w:vertAlign w:val="superscript"/>
    </w:rPr>
  </w:style>
  <w:style w:type="paragraph" w:styleId="TOC2">
    <w:name w:val="toc 2"/>
    <w:basedOn w:val="Normal"/>
    <w:next w:val="Normal"/>
    <w:autoRedefine/>
    <w:uiPriority w:val="39"/>
    <w:unhideWhenUsed/>
    <w:rsid w:val="0032100F"/>
    <w:pPr>
      <w:spacing w:line="240" w:lineRule="auto"/>
      <w:ind w:left="221"/>
    </w:pPr>
    <w:rPr>
      <w:rFonts w:cs="B Titr"/>
      <w:bCs/>
      <w:color w:val="632423" w:themeColor="accent2" w:themeShade="80"/>
      <w:szCs w:val="18"/>
    </w:rPr>
  </w:style>
  <w:style w:type="paragraph" w:styleId="TOC3">
    <w:name w:val="toc 3"/>
    <w:basedOn w:val="Normal"/>
    <w:next w:val="Normal"/>
    <w:autoRedefine/>
    <w:uiPriority w:val="39"/>
    <w:unhideWhenUsed/>
    <w:rsid w:val="0092513D"/>
    <w:pPr>
      <w:spacing w:line="240" w:lineRule="auto"/>
      <w:ind w:left="442"/>
    </w:pPr>
    <w:rPr>
      <w:bCs/>
      <w:iCs/>
      <w:color w:val="632423" w:themeColor="accent2" w:themeShade="80"/>
      <w:szCs w:val="24"/>
    </w:rPr>
  </w:style>
  <w:style w:type="paragraph" w:styleId="TOC4">
    <w:name w:val="toc 4"/>
    <w:basedOn w:val="Normal"/>
    <w:next w:val="Normal"/>
    <w:autoRedefine/>
    <w:uiPriority w:val="39"/>
    <w:unhideWhenUsed/>
    <w:rsid w:val="0092513D"/>
    <w:pPr>
      <w:spacing w:line="240" w:lineRule="auto"/>
      <w:ind w:left="658"/>
    </w:pPr>
    <w:rPr>
      <w:bCs/>
      <w:color w:val="632423" w:themeColor="accent2" w:themeShade="80"/>
      <w:szCs w:val="24"/>
    </w:rPr>
  </w:style>
  <w:style w:type="paragraph" w:styleId="TOC5">
    <w:name w:val="toc 5"/>
    <w:basedOn w:val="Normal"/>
    <w:next w:val="Normal"/>
    <w:autoRedefine/>
    <w:uiPriority w:val="39"/>
    <w:unhideWhenUsed/>
    <w:rsid w:val="0092513D"/>
    <w:pPr>
      <w:spacing w:line="240" w:lineRule="auto"/>
      <w:ind w:left="879"/>
    </w:pPr>
    <w:rPr>
      <w:bCs/>
      <w:color w:val="632423" w:themeColor="accent2" w:themeShade="80"/>
      <w:szCs w:val="24"/>
    </w:rPr>
  </w:style>
  <w:style w:type="paragraph" w:styleId="TOC6">
    <w:name w:val="toc 6"/>
    <w:basedOn w:val="Normal"/>
    <w:next w:val="Normal"/>
    <w:autoRedefine/>
    <w:uiPriority w:val="39"/>
    <w:unhideWhenUsed/>
    <w:rsid w:val="0092513D"/>
    <w:pPr>
      <w:spacing w:line="240" w:lineRule="auto"/>
      <w:ind w:left="1100"/>
    </w:pPr>
    <w:rPr>
      <w:bCs/>
      <w:color w:val="632423" w:themeColor="accent2" w:themeShade="80"/>
      <w:szCs w:val="24"/>
    </w:rPr>
  </w:style>
  <w:style w:type="character" w:styleId="Hyperlink">
    <w:name w:val="Hyperlink"/>
    <w:uiPriority w:val="99"/>
    <w:unhideWhenUsed/>
    <w:rsid w:val="00731724"/>
    <w:rPr>
      <w:color w:val="0000FF"/>
      <w:u w:val="single"/>
    </w:rPr>
  </w:style>
  <w:style w:type="character" w:styleId="IntenseEmphasis">
    <w:name w:val="Intense Emphasis"/>
    <w:aliases w:val="متن آیات و روایات"/>
    <w:basedOn w:val="DefaultParagraphFont"/>
    <w:uiPriority w:val="21"/>
    <w:qFormat/>
    <w:rsid w:val="006162A2"/>
    <w:rPr>
      <w:rFonts w:cs="B Badr"/>
      <w:b/>
      <w:bCs w:val="0"/>
      <w:i/>
      <w:iCs w:val="0"/>
      <w:color w:val="008000"/>
      <w:szCs w:val="28"/>
    </w:rPr>
  </w:style>
  <w:style w:type="character" w:styleId="SubtleEmphasis">
    <w:name w:val="Subtle Emphasis"/>
    <w:aliases w:val="متن کتاب محور"/>
    <w:basedOn w:val="DefaultParagraphFont"/>
    <w:uiPriority w:val="19"/>
    <w:qFormat/>
    <w:rsid w:val="006162A2"/>
    <w:rPr>
      <w:rFonts w:cs="B Badr"/>
      <w:bCs w:val="0"/>
      <w:i/>
      <w:iCs w:val="0"/>
      <w:color w:val="0000FF"/>
      <w:szCs w:val="28"/>
    </w:rPr>
  </w:style>
  <w:style w:type="paragraph" w:customStyle="1" w:styleId="2">
    <w:name w:val="نظر سایر علما2"/>
    <w:basedOn w:val="Normal"/>
    <w:qFormat/>
    <w:rsid w:val="006162A2"/>
    <w:rPr>
      <w:color w:val="000080"/>
    </w:rPr>
  </w:style>
  <w:style w:type="paragraph" w:customStyle="1" w:styleId="a">
    <w:name w:val="متن نظر استاد"/>
    <w:basedOn w:val="Normal"/>
    <w:rsid w:val="001B2488"/>
    <w:rPr>
      <w:color w:val="800000"/>
    </w:rPr>
  </w:style>
  <w:style w:type="character" w:styleId="Emphasis">
    <w:name w:val="Emphasis"/>
    <w:aliases w:val="موضوع"/>
    <w:basedOn w:val="DefaultParagraphFont"/>
    <w:uiPriority w:val="20"/>
    <w:qFormat/>
    <w:rsid w:val="00FC73B9"/>
    <w:rPr>
      <w:rFonts w:cs="B Titr"/>
      <w:bCs/>
      <w:i/>
      <w:iCs w:val="0"/>
      <w:color w:val="0101FF"/>
      <w:szCs w:val="28"/>
    </w:rPr>
  </w:style>
  <w:style w:type="paragraph" w:styleId="TOC1">
    <w:name w:val="toc 1"/>
    <w:basedOn w:val="Normal"/>
    <w:next w:val="Normal"/>
    <w:autoRedefine/>
    <w:uiPriority w:val="39"/>
    <w:unhideWhenUsed/>
    <w:rsid w:val="00F64141"/>
    <w:pPr>
      <w:tabs>
        <w:tab w:val="right" w:leader="dot" w:pos="10194"/>
      </w:tabs>
      <w:spacing w:line="240" w:lineRule="auto"/>
    </w:pPr>
    <w:rPr>
      <w:rFonts w:cs="B Titr"/>
      <w:color w:val="632423" w:themeColor="accent2" w:themeShade="80"/>
      <w:szCs w:val="24"/>
    </w:rPr>
  </w:style>
  <w:style w:type="paragraph" w:customStyle="1" w:styleId="a0">
    <w:name w:val="متن فهرست"/>
    <w:basedOn w:val="TOC1"/>
    <w:rsid w:val="00603B67"/>
    <w:rPr>
      <w:bCs/>
      <w:noProof/>
      <w:color w:val="008000"/>
      <w:sz w:val="24"/>
    </w:rPr>
  </w:style>
  <w:style w:type="paragraph" w:styleId="BalloonText">
    <w:name w:val="Balloon Text"/>
    <w:basedOn w:val="Normal"/>
    <w:link w:val="BalloonTextChar"/>
    <w:uiPriority w:val="99"/>
    <w:semiHidden/>
    <w:unhideWhenUsed/>
    <w:rsid w:val="009B79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9F8"/>
    <w:rPr>
      <w:rFonts w:ascii="Tahoma" w:hAnsi="Tahoma" w:cs="Tahoma"/>
      <w:sz w:val="16"/>
      <w:szCs w:val="16"/>
    </w:rPr>
  </w:style>
  <w:style w:type="paragraph" w:styleId="TOC9">
    <w:name w:val="toc 9"/>
    <w:basedOn w:val="Normal"/>
    <w:next w:val="Normal"/>
    <w:autoRedefine/>
    <w:uiPriority w:val="39"/>
    <w:unhideWhenUsed/>
    <w:rsid w:val="00F64141"/>
    <w:pPr>
      <w:spacing w:after="100" w:line="240" w:lineRule="auto"/>
      <w:ind w:left="1758"/>
    </w:pPr>
    <w:rPr>
      <w:color w:val="632423" w:themeColor="accent2" w:themeShade="80"/>
      <w:szCs w:val="24"/>
    </w:rPr>
  </w:style>
  <w:style w:type="paragraph" w:styleId="TOC7">
    <w:name w:val="toc 7"/>
    <w:basedOn w:val="Normal"/>
    <w:next w:val="Normal"/>
    <w:autoRedefine/>
    <w:uiPriority w:val="39"/>
    <w:unhideWhenUsed/>
    <w:rsid w:val="0092513D"/>
    <w:pPr>
      <w:spacing w:line="240" w:lineRule="auto"/>
      <w:ind w:left="1321"/>
    </w:pPr>
    <w:rPr>
      <w:bCs/>
      <w:color w:val="632423" w:themeColor="accent2" w:themeShade="80"/>
      <w:szCs w:val="24"/>
    </w:rPr>
  </w:style>
  <w:style w:type="paragraph" w:styleId="TOC8">
    <w:name w:val="toc 8"/>
    <w:basedOn w:val="Normal"/>
    <w:next w:val="Normal"/>
    <w:autoRedefine/>
    <w:uiPriority w:val="39"/>
    <w:unhideWhenUsed/>
    <w:rsid w:val="00F64141"/>
    <w:pPr>
      <w:spacing w:after="100" w:line="240" w:lineRule="auto"/>
      <w:ind w:left="1542"/>
    </w:pPr>
    <w:rPr>
      <w:color w:val="632423" w:themeColor="accent2" w:themeShade="80"/>
      <w:szCs w:val="24"/>
    </w:rPr>
  </w:style>
  <w:style w:type="paragraph" w:styleId="ListParagraph">
    <w:name w:val="List Paragraph"/>
    <w:basedOn w:val="Normal"/>
    <w:uiPriority w:val="34"/>
    <w:rsid w:val="0092513D"/>
    <w:pPr>
      <w:ind w:left="720"/>
      <w:contextualSpacing/>
    </w:pPr>
    <w:rPr>
      <w:rFonts w:cs="B Lotus"/>
    </w:rPr>
  </w:style>
  <w:style w:type="paragraph" w:styleId="ListBullet">
    <w:name w:val="List Bullet"/>
    <w:basedOn w:val="Normal"/>
    <w:uiPriority w:val="99"/>
    <w:unhideWhenUsed/>
    <w:rsid w:val="00816A0B"/>
    <w:pPr>
      <w:numPr>
        <w:numId w:val="1"/>
      </w:numPr>
      <w:contextualSpacing/>
    </w:pPr>
  </w:style>
  <w:style w:type="paragraph" w:styleId="ListBullet2">
    <w:name w:val="List Bullet 2"/>
    <w:basedOn w:val="Normal"/>
    <w:uiPriority w:val="99"/>
    <w:unhideWhenUsed/>
    <w:rsid w:val="00816A0B"/>
    <w:pPr>
      <w:numPr>
        <w:numId w:val="2"/>
      </w:numPr>
      <w:contextualSpacing/>
    </w:pPr>
  </w:style>
  <w:style w:type="paragraph" w:styleId="ListBullet3">
    <w:name w:val="List Bullet 3"/>
    <w:basedOn w:val="Normal"/>
    <w:uiPriority w:val="99"/>
    <w:semiHidden/>
    <w:unhideWhenUsed/>
    <w:rsid w:val="00E5518B"/>
    <w:pPr>
      <w:numPr>
        <w:numId w:val="3"/>
      </w:numPr>
      <w:contextualSpacing/>
    </w:pPr>
  </w:style>
  <w:style w:type="paragraph" w:styleId="ListBullet4">
    <w:name w:val="List Bullet 4"/>
    <w:basedOn w:val="Normal"/>
    <w:uiPriority w:val="99"/>
    <w:semiHidden/>
    <w:unhideWhenUsed/>
    <w:rsid w:val="00E5518B"/>
    <w:pPr>
      <w:numPr>
        <w:numId w:val="4"/>
      </w:numPr>
      <w:contextualSpacing/>
    </w:pPr>
  </w:style>
  <w:style w:type="paragraph" w:styleId="ListBullet5">
    <w:name w:val="List Bullet 5"/>
    <w:basedOn w:val="Normal"/>
    <w:uiPriority w:val="99"/>
    <w:semiHidden/>
    <w:unhideWhenUsed/>
    <w:rsid w:val="00E5518B"/>
    <w:pPr>
      <w:numPr>
        <w:numId w:val="5"/>
      </w:numPr>
      <w:contextualSpacing/>
    </w:pPr>
  </w:style>
  <w:style w:type="table" w:styleId="TableGrid">
    <w:name w:val="Table Grid"/>
    <w:basedOn w:val="TableNormal"/>
    <w:uiPriority w:val="59"/>
    <w:rsid w:val="00F9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پاورقي"/>
    <w:basedOn w:val="FootnoteText"/>
    <w:link w:val="a2"/>
    <w:qFormat/>
    <w:rsid w:val="00824B22"/>
  </w:style>
  <w:style w:type="character" w:customStyle="1" w:styleId="a2">
    <w:name w:val="پاورقي نویسه"/>
    <w:basedOn w:val="FootnoteTextChar"/>
    <w:link w:val="a1"/>
    <w:rsid w:val="00824B22"/>
    <w:rPr>
      <w:rFonts w:cs="B Badr"/>
    </w:rPr>
  </w:style>
  <w:style w:type="character" w:customStyle="1" w:styleId="a3">
    <w:name w:val="نظر سایر علما"/>
    <w:basedOn w:val="DefaultParagraphFont"/>
    <w:uiPriority w:val="1"/>
    <w:qFormat/>
    <w:rsid w:val="006D4014"/>
    <w:rPr>
      <w:rFonts w:cs="B Badr"/>
      <w:b/>
      <w:bCs/>
      <w:color w:val="000080"/>
      <w:sz w:val="20"/>
      <w:szCs w:val="28"/>
    </w:rPr>
  </w:style>
  <w:style w:type="paragraph" w:styleId="TOCHeading">
    <w:name w:val="TOC Heading"/>
    <w:basedOn w:val="Heading1"/>
    <w:next w:val="Normal"/>
    <w:uiPriority w:val="39"/>
    <w:unhideWhenUsed/>
    <w:qFormat/>
    <w:rsid w:val="00D77F3D"/>
    <w:pPr>
      <w:keepLines/>
      <w:bidi w:val="0"/>
      <w:spacing w:before="240" w:line="259" w:lineRule="auto"/>
      <w:outlineLvl w:val="9"/>
    </w:pPr>
    <w:rPr>
      <w:rFonts w:asciiTheme="majorHAnsi" w:eastAsiaTheme="majorEastAsia" w:hAnsiTheme="majorHAnsi" w:cstheme="majorBidi"/>
      <w:b w:val="0"/>
      <w:bCs w:val="0"/>
      <w:color w:val="365F91" w:themeColor="accent1" w:themeShade="BF"/>
      <w:kern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8554">
      <w:bodyDiv w:val="1"/>
      <w:marLeft w:val="0"/>
      <w:marRight w:val="0"/>
      <w:marTop w:val="0"/>
      <w:marBottom w:val="0"/>
      <w:divBdr>
        <w:top w:val="none" w:sz="0" w:space="0" w:color="auto"/>
        <w:left w:val="none" w:sz="0" w:space="0" w:color="auto"/>
        <w:bottom w:val="none" w:sz="0" w:space="0" w:color="auto"/>
        <w:right w:val="none" w:sz="0" w:space="0" w:color="auto"/>
      </w:divBdr>
    </w:div>
    <w:div w:id="114637966">
      <w:bodyDiv w:val="1"/>
      <w:marLeft w:val="0"/>
      <w:marRight w:val="0"/>
      <w:marTop w:val="0"/>
      <w:marBottom w:val="0"/>
      <w:divBdr>
        <w:top w:val="none" w:sz="0" w:space="0" w:color="auto"/>
        <w:left w:val="none" w:sz="0" w:space="0" w:color="auto"/>
        <w:bottom w:val="none" w:sz="0" w:space="0" w:color="auto"/>
        <w:right w:val="none" w:sz="0" w:space="0" w:color="auto"/>
      </w:divBdr>
    </w:div>
    <w:div w:id="117797945">
      <w:bodyDiv w:val="1"/>
      <w:marLeft w:val="0"/>
      <w:marRight w:val="0"/>
      <w:marTop w:val="0"/>
      <w:marBottom w:val="0"/>
      <w:divBdr>
        <w:top w:val="none" w:sz="0" w:space="0" w:color="auto"/>
        <w:left w:val="none" w:sz="0" w:space="0" w:color="auto"/>
        <w:bottom w:val="none" w:sz="0" w:space="0" w:color="auto"/>
        <w:right w:val="none" w:sz="0" w:space="0" w:color="auto"/>
      </w:divBdr>
    </w:div>
    <w:div w:id="221646168">
      <w:bodyDiv w:val="1"/>
      <w:marLeft w:val="0"/>
      <w:marRight w:val="0"/>
      <w:marTop w:val="0"/>
      <w:marBottom w:val="0"/>
      <w:divBdr>
        <w:top w:val="none" w:sz="0" w:space="0" w:color="auto"/>
        <w:left w:val="none" w:sz="0" w:space="0" w:color="auto"/>
        <w:bottom w:val="none" w:sz="0" w:space="0" w:color="auto"/>
        <w:right w:val="none" w:sz="0" w:space="0" w:color="auto"/>
      </w:divBdr>
    </w:div>
    <w:div w:id="266813888">
      <w:bodyDiv w:val="1"/>
      <w:marLeft w:val="0"/>
      <w:marRight w:val="0"/>
      <w:marTop w:val="0"/>
      <w:marBottom w:val="0"/>
      <w:divBdr>
        <w:top w:val="none" w:sz="0" w:space="0" w:color="auto"/>
        <w:left w:val="none" w:sz="0" w:space="0" w:color="auto"/>
        <w:bottom w:val="none" w:sz="0" w:space="0" w:color="auto"/>
        <w:right w:val="none" w:sz="0" w:space="0" w:color="auto"/>
      </w:divBdr>
    </w:div>
    <w:div w:id="304163739">
      <w:bodyDiv w:val="1"/>
      <w:marLeft w:val="0"/>
      <w:marRight w:val="0"/>
      <w:marTop w:val="0"/>
      <w:marBottom w:val="0"/>
      <w:divBdr>
        <w:top w:val="none" w:sz="0" w:space="0" w:color="auto"/>
        <w:left w:val="none" w:sz="0" w:space="0" w:color="auto"/>
        <w:bottom w:val="none" w:sz="0" w:space="0" w:color="auto"/>
        <w:right w:val="none" w:sz="0" w:space="0" w:color="auto"/>
      </w:divBdr>
    </w:div>
    <w:div w:id="474295416">
      <w:bodyDiv w:val="1"/>
      <w:marLeft w:val="0"/>
      <w:marRight w:val="0"/>
      <w:marTop w:val="0"/>
      <w:marBottom w:val="0"/>
      <w:divBdr>
        <w:top w:val="none" w:sz="0" w:space="0" w:color="auto"/>
        <w:left w:val="none" w:sz="0" w:space="0" w:color="auto"/>
        <w:bottom w:val="none" w:sz="0" w:space="0" w:color="auto"/>
        <w:right w:val="none" w:sz="0" w:space="0" w:color="auto"/>
      </w:divBdr>
    </w:div>
    <w:div w:id="510264611">
      <w:bodyDiv w:val="1"/>
      <w:marLeft w:val="0"/>
      <w:marRight w:val="0"/>
      <w:marTop w:val="0"/>
      <w:marBottom w:val="0"/>
      <w:divBdr>
        <w:top w:val="none" w:sz="0" w:space="0" w:color="auto"/>
        <w:left w:val="none" w:sz="0" w:space="0" w:color="auto"/>
        <w:bottom w:val="none" w:sz="0" w:space="0" w:color="auto"/>
        <w:right w:val="none" w:sz="0" w:space="0" w:color="auto"/>
      </w:divBdr>
    </w:div>
    <w:div w:id="613484810">
      <w:bodyDiv w:val="1"/>
      <w:marLeft w:val="0"/>
      <w:marRight w:val="0"/>
      <w:marTop w:val="0"/>
      <w:marBottom w:val="0"/>
      <w:divBdr>
        <w:top w:val="none" w:sz="0" w:space="0" w:color="auto"/>
        <w:left w:val="none" w:sz="0" w:space="0" w:color="auto"/>
        <w:bottom w:val="none" w:sz="0" w:space="0" w:color="auto"/>
        <w:right w:val="none" w:sz="0" w:space="0" w:color="auto"/>
      </w:divBdr>
    </w:div>
    <w:div w:id="842475395">
      <w:bodyDiv w:val="1"/>
      <w:marLeft w:val="0"/>
      <w:marRight w:val="0"/>
      <w:marTop w:val="0"/>
      <w:marBottom w:val="0"/>
      <w:divBdr>
        <w:top w:val="none" w:sz="0" w:space="0" w:color="auto"/>
        <w:left w:val="none" w:sz="0" w:space="0" w:color="auto"/>
        <w:bottom w:val="none" w:sz="0" w:space="0" w:color="auto"/>
        <w:right w:val="none" w:sz="0" w:space="0" w:color="auto"/>
      </w:divBdr>
    </w:div>
    <w:div w:id="1190222858">
      <w:bodyDiv w:val="1"/>
      <w:marLeft w:val="0"/>
      <w:marRight w:val="0"/>
      <w:marTop w:val="0"/>
      <w:marBottom w:val="0"/>
      <w:divBdr>
        <w:top w:val="none" w:sz="0" w:space="0" w:color="auto"/>
        <w:left w:val="none" w:sz="0" w:space="0" w:color="auto"/>
        <w:bottom w:val="none" w:sz="0" w:space="0" w:color="auto"/>
        <w:right w:val="none" w:sz="0" w:space="0" w:color="auto"/>
      </w:divBdr>
    </w:div>
    <w:div w:id="1317879528">
      <w:bodyDiv w:val="1"/>
      <w:marLeft w:val="0"/>
      <w:marRight w:val="0"/>
      <w:marTop w:val="0"/>
      <w:marBottom w:val="0"/>
      <w:divBdr>
        <w:top w:val="none" w:sz="0" w:space="0" w:color="auto"/>
        <w:left w:val="none" w:sz="0" w:space="0" w:color="auto"/>
        <w:bottom w:val="none" w:sz="0" w:space="0" w:color="auto"/>
        <w:right w:val="none" w:sz="0" w:space="0" w:color="auto"/>
      </w:divBdr>
    </w:div>
    <w:div w:id="1352605422">
      <w:bodyDiv w:val="1"/>
      <w:marLeft w:val="0"/>
      <w:marRight w:val="0"/>
      <w:marTop w:val="0"/>
      <w:marBottom w:val="0"/>
      <w:divBdr>
        <w:top w:val="none" w:sz="0" w:space="0" w:color="auto"/>
        <w:left w:val="none" w:sz="0" w:space="0" w:color="auto"/>
        <w:bottom w:val="none" w:sz="0" w:space="0" w:color="auto"/>
        <w:right w:val="none" w:sz="0" w:space="0" w:color="auto"/>
      </w:divBdr>
    </w:div>
    <w:div w:id="1546943542">
      <w:bodyDiv w:val="1"/>
      <w:marLeft w:val="0"/>
      <w:marRight w:val="0"/>
      <w:marTop w:val="0"/>
      <w:marBottom w:val="0"/>
      <w:divBdr>
        <w:top w:val="none" w:sz="0" w:space="0" w:color="auto"/>
        <w:left w:val="none" w:sz="0" w:space="0" w:color="auto"/>
        <w:bottom w:val="none" w:sz="0" w:space="0" w:color="auto"/>
        <w:right w:val="none" w:sz="0" w:space="0" w:color="auto"/>
      </w:divBdr>
    </w:div>
    <w:div w:id="1568612856">
      <w:bodyDiv w:val="1"/>
      <w:marLeft w:val="0"/>
      <w:marRight w:val="0"/>
      <w:marTop w:val="0"/>
      <w:marBottom w:val="0"/>
      <w:divBdr>
        <w:top w:val="none" w:sz="0" w:space="0" w:color="auto"/>
        <w:left w:val="none" w:sz="0" w:space="0" w:color="auto"/>
        <w:bottom w:val="none" w:sz="0" w:space="0" w:color="auto"/>
        <w:right w:val="none" w:sz="0" w:space="0" w:color="auto"/>
      </w:divBdr>
    </w:div>
    <w:div w:id="1800563462">
      <w:bodyDiv w:val="1"/>
      <w:marLeft w:val="0"/>
      <w:marRight w:val="0"/>
      <w:marTop w:val="0"/>
      <w:marBottom w:val="0"/>
      <w:divBdr>
        <w:top w:val="none" w:sz="0" w:space="0" w:color="auto"/>
        <w:left w:val="none" w:sz="0" w:space="0" w:color="auto"/>
        <w:bottom w:val="none" w:sz="0" w:space="0" w:color="auto"/>
        <w:right w:val="none" w:sz="0" w:space="0" w:color="auto"/>
      </w:divBdr>
    </w:div>
    <w:div w:id="1909607351">
      <w:bodyDiv w:val="1"/>
      <w:marLeft w:val="0"/>
      <w:marRight w:val="0"/>
      <w:marTop w:val="0"/>
      <w:marBottom w:val="0"/>
      <w:divBdr>
        <w:top w:val="none" w:sz="0" w:space="0" w:color="auto"/>
        <w:left w:val="none" w:sz="0" w:space="0" w:color="auto"/>
        <w:bottom w:val="none" w:sz="0" w:space="0" w:color="auto"/>
        <w:right w:val="none" w:sz="0" w:space="0" w:color="auto"/>
      </w:divBdr>
    </w:div>
    <w:div w:id="2002541640">
      <w:bodyDiv w:val="1"/>
      <w:marLeft w:val="0"/>
      <w:marRight w:val="0"/>
      <w:marTop w:val="0"/>
      <w:marBottom w:val="0"/>
      <w:divBdr>
        <w:top w:val="none" w:sz="0" w:space="0" w:color="auto"/>
        <w:left w:val="none" w:sz="0" w:space="0" w:color="auto"/>
        <w:bottom w:val="none" w:sz="0" w:space="0" w:color="auto"/>
        <w:right w:val="none" w:sz="0" w:space="0" w:color="auto"/>
      </w:divBdr>
    </w:div>
    <w:div w:id="2044942961">
      <w:bodyDiv w:val="1"/>
      <w:marLeft w:val="0"/>
      <w:marRight w:val="0"/>
      <w:marTop w:val="0"/>
      <w:marBottom w:val="0"/>
      <w:divBdr>
        <w:top w:val="none" w:sz="0" w:space="0" w:color="auto"/>
        <w:left w:val="none" w:sz="0" w:space="0" w:color="auto"/>
        <w:bottom w:val="none" w:sz="0" w:space="0" w:color="auto"/>
        <w:right w:val="none" w:sz="0" w:space="0" w:color="auto"/>
      </w:divBdr>
    </w:div>
    <w:div w:id="2128229870">
      <w:bodyDiv w:val="1"/>
      <w:marLeft w:val="0"/>
      <w:marRight w:val="0"/>
      <w:marTop w:val="0"/>
      <w:marBottom w:val="0"/>
      <w:divBdr>
        <w:top w:val="none" w:sz="0" w:space="0" w:color="auto"/>
        <w:left w:val="none" w:sz="0" w:space="0" w:color="auto"/>
        <w:bottom w:val="none" w:sz="0" w:space="0" w:color="auto"/>
        <w:right w:val="none" w:sz="0" w:space="0" w:color="auto"/>
      </w:divBdr>
    </w:div>
    <w:div w:id="213405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feb.ir\temp\TemTaq_000.dotx" TargetMode="External"/></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دفتر کار">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دفتر کا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0D846-2D6A-4FCF-BFF6-C0B019833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TemTaq_000</Template>
  <TotalTime>0</TotalTime>
  <Pages>1</Pages>
  <Words>2306</Words>
  <Characters>13145</Characters>
  <Application>Microsoft Office Word</Application>
  <DocSecurity>0</DocSecurity>
  <Lines>109</Lines>
  <Paragraphs>30</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تقریرات دروس خارج مدرسه فقهی امام محمد باقر علیه السلام</vt:lpstr>
      <vt:lpstr>تقریرات دروس خارج مدرسه فقهی امام محمد باقر علیه السلام</vt:lpstr>
    </vt:vector>
  </TitlesOfParts>
  <Manager>mfeb.ir</Manager>
  <Company>مدرسه فقهی امام محمد باقر علیه السلام</Company>
  <LinksUpToDate>false</LinksUpToDate>
  <CharactersWithSpaces>15421</CharactersWithSpaces>
  <SharedDoc>false</SharedDoc>
  <HyperlinkBase>www.mfeb.ir</HyperlinkBase>
  <HLinks>
    <vt:vector size="120" baseType="variant">
      <vt:variant>
        <vt:i4>1638455</vt:i4>
      </vt:variant>
      <vt:variant>
        <vt:i4>116</vt:i4>
      </vt:variant>
      <vt:variant>
        <vt:i4>0</vt:i4>
      </vt:variant>
      <vt:variant>
        <vt:i4>5</vt:i4>
      </vt:variant>
      <vt:variant>
        <vt:lpwstr/>
      </vt:variant>
      <vt:variant>
        <vt:lpwstr>_Toc388683437</vt:lpwstr>
      </vt:variant>
      <vt:variant>
        <vt:i4>1638455</vt:i4>
      </vt:variant>
      <vt:variant>
        <vt:i4>110</vt:i4>
      </vt:variant>
      <vt:variant>
        <vt:i4>0</vt:i4>
      </vt:variant>
      <vt:variant>
        <vt:i4>5</vt:i4>
      </vt:variant>
      <vt:variant>
        <vt:lpwstr/>
      </vt:variant>
      <vt:variant>
        <vt:lpwstr>_Toc388683436</vt:lpwstr>
      </vt:variant>
      <vt:variant>
        <vt:i4>1638455</vt:i4>
      </vt:variant>
      <vt:variant>
        <vt:i4>104</vt:i4>
      </vt:variant>
      <vt:variant>
        <vt:i4>0</vt:i4>
      </vt:variant>
      <vt:variant>
        <vt:i4>5</vt:i4>
      </vt:variant>
      <vt:variant>
        <vt:lpwstr/>
      </vt:variant>
      <vt:variant>
        <vt:lpwstr>_Toc388683435</vt:lpwstr>
      </vt:variant>
      <vt:variant>
        <vt:i4>1638455</vt:i4>
      </vt:variant>
      <vt:variant>
        <vt:i4>98</vt:i4>
      </vt:variant>
      <vt:variant>
        <vt:i4>0</vt:i4>
      </vt:variant>
      <vt:variant>
        <vt:i4>5</vt:i4>
      </vt:variant>
      <vt:variant>
        <vt:lpwstr/>
      </vt:variant>
      <vt:variant>
        <vt:lpwstr>_Toc388683434</vt:lpwstr>
      </vt:variant>
      <vt:variant>
        <vt:i4>1638455</vt:i4>
      </vt:variant>
      <vt:variant>
        <vt:i4>92</vt:i4>
      </vt:variant>
      <vt:variant>
        <vt:i4>0</vt:i4>
      </vt:variant>
      <vt:variant>
        <vt:i4>5</vt:i4>
      </vt:variant>
      <vt:variant>
        <vt:lpwstr/>
      </vt:variant>
      <vt:variant>
        <vt:lpwstr>_Toc388683433</vt:lpwstr>
      </vt:variant>
      <vt:variant>
        <vt:i4>1638455</vt:i4>
      </vt:variant>
      <vt:variant>
        <vt:i4>86</vt:i4>
      </vt:variant>
      <vt:variant>
        <vt:i4>0</vt:i4>
      </vt:variant>
      <vt:variant>
        <vt:i4>5</vt:i4>
      </vt:variant>
      <vt:variant>
        <vt:lpwstr/>
      </vt:variant>
      <vt:variant>
        <vt:lpwstr>_Toc388683432</vt:lpwstr>
      </vt:variant>
      <vt:variant>
        <vt:i4>1638455</vt:i4>
      </vt:variant>
      <vt:variant>
        <vt:i4>80</vt:i4>
      </vt:variant>
      <vt:variant>
        <vt:i4>0</vt:i4>
      </vt:variant>
      <vt:variant>
        <vt:i4>5</vt:i4>
      </vt:variant>
      <vt:variant>
        <vt:lpwstr/>
      </vt:variant>
      <vt:variant>
        <vt:lpwstr>_Toc388683431</vt:lpwstr>
      </vt:variant>
      <vt:variant>
        <vt:i4>1638455</vt:i4>
      </vt:variant>
      <vt:variant>
        <vt:i4>74</vt:i4>
      </vt:variant>
      <vt:variant>
        <vt:i4>0</vt:i4>
      </vt:variant>
      <vt:variant>
        <vt:i4>5</vt:i4>
      </vt:variant>
      <vt:variant>
        <vt:lpwstr/>
      </vt:variant>
      <vt:variant>
        <vt:lpwstr>_Toc388683430</vt:lpwstr>
      </vt:variant>
      <vt:variant>
        <vt:i4>1572919</vt:i4>
      </vt:variant>
      <vt:variant>
        <vt:i4>68</vt:i4>
      </vt:variant>
      <vt:variant>
        <vt:i4>0</vt:i4>
      </vt:variant>
      <vt:variant>
        <vt:i4>5</vt:i4>
      </vt:variant>
      <vt:variant>
        <vt:lpwstr/>
      </vt:variant>
      <vt:variant>
        <vt:lpwstr>_Toc388683429</vt:lpwstr>
      </vt:variant>
      <vt:variant>
        <vt:i4>1572919</vt:i4>
      </vt:variant>
      <vt:variant>
        <vt:i4>62</vt:i4>
      </vt:variant>
      <vt:variant>
        <vt:i4>0</vt:i4>
      </vt:variant>
      <vt:variant>
        <vt:i4>5</vt:i4>
      </vt:variant>
      <vt:variant>
        <vt:lpwstr/>
      </vt:variant>
      <vt:variant>
        <vt:lpwstr>_Toc388683428</vt:lpwstr>
      </vt:variant>
      <vt:variant>
        <vt:i4>1572919</vt:i4>
      </vt:variant>
      <vt:variant>
        <vt:i4>56</vt:i4>
      </vt:variant>
      <vt:variant>
        <vt:i4>0</vt:i4>
      </vt:variant>
      <vt:variant>
        <vt:i4>5</vt:i4>
      </vt:variant>
      <vt:variant>
        <vt:lpwstr/>
      </vt:variant>
      <vt:variant>
        <vt:lpwstr>_Toc388683427</vt:lpwstr>
      </vt:variant>
      <vt:variant>
        <vt:i4>1572919</vt:i4>
      </vt:variant>
      <vt:variant>
        <vt:i4>50</vt:i4>
      </vt:variant>
      <vt:variant>
        <vt:i4>0</vt:i4>
      </vt:variant>
      <vt:variant>
        <vt:i4>5</vt:i4>
      </vt:variant>
      <vt:variant>
        <vt:lpwstr/>
      </vt:variant>
      <vt:variant>
        <vt:lpwstr>_Toc388683426</vt:lpwstr>
      </vt:variant>
      <vt:variant>
        <vt:i4>1572919</vt:i4>
      </vt:variant>
      <vt:variant>
        <vt:i4>44</vt:i4>
      </vt:variant>
      <vt:variant>
        <vt:i4>0</vt:i4>
      </vt:variant>
      <vt:variant>
        <vt:i4>5</vt:i4>
      </vt:variant>
      <vt:variant>
        <vt:lpwstr/>
      </vt:variant>
      <vt:variant>
        <vt:lpwstr>_Toc388683425</vt:lpwstr>
      </vt:variant>
      <vt:variant>
        <vt:i4>1572919</vt:i4>
      </vt:variant>
      <vt:variant>
        <vt:i4>38</vt:i4>
      </vt:variant>
      <vt:variant>
        <vt:i4>0</vt:i4>
      </vt:variant>
      <vt:variant>
        <vt:i4>5</vt:i4>
      </vt:variant>
      <vt:variant>
        <vt:lpwstr/>
      </vt:variant>
      <vt:variant>
        <vt:lpwstr>_Toc388683424</vt:lpwstr>
      </vt:variant>
      <vt:variant>
        <vt:i4>1572919</vt:i4>
      </vt:variant>
      <vt:variant>
        <vt:i4>32</vt:i4>
      </vt:variant>
      <vt:variant>
        <vt:i4>0</vt:i4>
      </vt:variant>
      <vt:variant>
        <vt:i4>5</vt:i4>
      </vt:variant>
      <vt:variant>
        <vt:lpwstr/>
      </vt:variant>
      <vt:variant>
        <vt:lpwstr>_Toc388683423</vt:lpwstr>
      </vt:variant>
      <vt:variant>
        <vt:i4>1572919</vt:i4>
      </vt:variant>
      <vt:variant>
        <vt:i4>26</vt:i4>
      </vt:variant>
      <vt:variant>
        <vt:i4>0</vt:i4>
      </vt:variant>
      <vt:variant>
        <vt:i4>5</vt:i4>
      </vt:variant>
      <vt:variant>
        <vt:lpwstr/>
      </vt:variant>
      <vt:variant>
        <vt:lpwstr>_Toc388683422</vt:lpwstr>
      </vt:variant>
      <vt:variant>
        <vt:i4>1572919</vt:i4>
      </vt:variant>
      <vt:variant>
        <vt:i4>20</vt:i4>
      </vt:variant>
      <vt:variant>
        <vt:i4>0</vt:i4>
      </vt:variant>
      <vt:variant>
        <vt:i4>5</vt:i4>
      </vt:variant>
      <vt:variant>
        <vt:lpwstr/>
      </vt:variant>
      <vt:variant>
        <vt:lpwstr>_Toc388683421</vt:lpwstr>
      </vt:variant>
      <vt:variant>
        <vt:i4>1572919</vt:i4>
      </vt:variant>
      <vt:variant>
        <vt:i4>14</vt:i4>
      </vt:variant>
      <vt:variant>
        <vt:i4>0</vt:i4>
      </vt:variant>
      <vt:variant>
        <vt:i4>5</vt:i4>
      </vt:variant>
      <vt:variant>
        <vt:lpwstr/>
      </vt:variant>
      <vt:variant>
        <vt:lpwstr>_Toc388683420</vt:lpwstr>
      </vt:variant>
      <vt:variant>
        <vt:i4>1769527</vt:i4>
      </vt:variant>
      <vt:variant>
        <vt:i4>8</vt:i4>
      </vt:variant>
      <vt:variant>
        <vt:i4>0</vt:i4>
      </vt:variant>
      <vt:variant>
        <vt:i4>5</vt:i4>
      </vt:variant>
      <vt:variant>
        <vt:lpwstr/>
      </vt:variant>
      <vt:variant>
        <vt:lpwstr>_Toc388683419</vt:lpwstr>
      </vt:variant>
      <vt:variant>
        <vt:i4>1769527</vt:i4>
      </vt:variant>
      <vt:variant>
        <vt:i4>2</vt:i4>
      </vt:variant>
      <vt:variant>
        <vt:i4>0</vt:i4>
      </vt:variant>
      <vt:variant>
        <vt:i4>5</vt:i4>
      </vt:variant>
      <vt:variant>
        <vt:lpwstr/>
      </vt:variant>
      <vt:variant>
        <vt:lpwstr>_Toc388683418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تقریرات دروس خارج مدرسه فقهی امام محمد باقر علیه السلام</dc:title>
  <dc:subject>تقریر دروس خارج</dc:subject>
  <dc:creator>mfeb.ir;سید علی مرتضوی</dc:creator>
  <cp:keywords>تقریر، درس خارج</cp:keywords>
  <dc:description>2.8اصلاح هدینگ موضوع</dc:description>
  <cp:lastModifiedBy>RePack by Diakov</cp:lastModifiedBy>
  <cp:revision>4</cp:revision>
  <cp:lastPrinted>2021-09-21T10:16:00Z</cp:lastPrinted>
  <dcterms:created xsi:type="dcterms:W3CDTF">2021-09-21T10:16:00Z</dcterms:created>
  <dcterms:modified xsi:type="dcterms:W3CDTF">2021-09-21T10:16:00Z</dcterms:modified>
  <cp:contentStatus>ویرایش 2.5</cp:contentStatus>
  <cp:version>2.7</cp:version>
</cp:coreProperties>
</file>