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5E1FD153" w:rsidR="008B750B" w:rsidRDefault="00D44B37" w:rsidP="009C66D5">
      <w:pPr>
        <w:jc w:val="center"/>
        <w:rPr>
          <w:noProof/>
          <w:rtl/>
        </w:rPr>
      </w:pPr>
      <w:r>
        <w:rPr>
          <w:rFonts w:hint="cs"/>
          <w:noProof/>
          <w:rtl/>
        </w:rPr>
        <w:t>بسمه تعالی</w:t>
      </w:r>
    </w:p>
    <w:p w14:paraId="55133D34" w14:textId="63E448BA" w:rsidR="00D44B37" w:rsidRDefault="00D44B37" w:rsidP="00C15BCD">
      <w:pPr>
        <w:rPr>
          <w:rtl/>
        </w:rPr>
      </w:pPr>
      <w:r w:rsidRPr="00ED3848">
        <w:rPr>
          <w:rFonts w:hint="cs"/>
          <w:color w:val="FF0000"/>
          <w:sz w:val="28"/>
          <w:rtl/>
        </w:rPr>
        <w:t>موضوع</w:t>
      </w:r>
      <w:r w:rsidR="005209DA" w:rsidRPr="00ED3848">
        <w:rPr>
          <w:bCs/>
          <w:color w:val="FF0000"/>
          <w:sz w:val="28"/>
        </w:rPr>
        <w:t xml:space="preserve"> </w:t>
      </w:r>
      <w:r w:rsidRPr="00ED3848">
        <w:rPr>
          <w:rFonts w:hint="cs"/>
          <w:bCs/>
          <w:color w:val="FF0000"/>
          <w:sz w:val="28"/>
        </w:rPr>
        <w:t>:</w:t>
      </w:r>
      <w:r w:rsidRPr="00ED3848">
        <w:rPr>
          <w:rFonts w:hint="cs"/>
          <w:color w:val="FF0000"/>
          <w:sz w:val="28"/>
        </w:rPr>
        <w:t xml:space="preserve"> </w:t>
      </w:r>
      <w:bookmarkStart w:id="0" w:name="BokSabj2_d"/>
      <w:bookmarkEnd w:id="0"/>
      <w:r w:rsidR="00C15BCD">
        <w:rPr>
          <w:rFonts w:hint="cs"/>
          <w:rtl/>
        </w:rPr>
        <w:t xml:space="preserve">جواز عدول از سوره </w:t>
      </w:r>
      <w:r w:rsidR="00C15BCD">
        <w:rPr>
          <w:rFonts w:hint="cs"/>
          <w:rtl/>
        </w:rPr>
        <w:t xml:space="preserve"> </w:t>
      </w:r>
      <w:bookmarkStart w:id="1" w:name="_GoBack"/>
      <w:bookmarkEnd w:id="1"/>
      <w:r w:rsidRPr="00D44B37">
        <w:rPr>
          <w:rFonts w:hint="cs"/>
        </w:rPr>
        <w:t>/</w:t>
      </w:r>
      <w:bookmarkStart w:id="2" w:name="BokSabj_d"/>
      <w:bookmarkEnd w:id="2"/>
      <w:r w:rsidRPr="00D44B37">
        <w:rPr>
          <w:rFonts w:hint="cs"/>
          <w:rtl/>
        </w:rPr>
        <w:t>قرائت</w:t>
      </w:r>
      <w:r w:rsidRPr="00D44B37">
        <w:rPr>
          <w:rFonts w:hint="cs"/>
        </w:rPr>
        <w:t xml:space="preserve"> /</w:t>
      </w:r>
      <w:bookmarkStart w:id="3" w:name="Bokkolli"/>
      <w:bookmarkEnd w:id="3"/>
      <w:r w:rsidRPr="00D44B37">
        <w:rPr>
          <w:rFonts w:hint="cs"/>
          <w:rtl/>
        </w:rPr>
        <w:t>صلاه</w:t>
      </w:r>
    </w:p>
    <w:p w14:paraId="1059DE97" w14:textId="77777777" w:rsidR="005209DA" w:rsidRPr="008A522A" w:rsidRDefault="005209DA" w:rsidP="009C66D5">
      <w:pPr>
        <w:jc w:val="center"/>
        <w:rPr>
          <w:rtl/>
        </w:rPr>
      </w:pPr>
    </w:p>
    <w:sdt>
      <w:sdtPr>
        <w:rPr>
          <w:rFonts w:ascii="Calibri" w:eastAsia="Calibri" w:hAnsi="Calibri" w:cs="B Badr"/>
          <w:color w:val="auto"/>
          <w:sz w:val="22"/>
          <w:szCs w:val="28"/>
          <w:rtl/>
          <w:lang w:bidi="fa-IR"/>
        </w:rPr>
        <w:id w:val="-1359653894"/>
        <w:docPartObj>
          <w:docPartGallery w:val="Table of Contents"/>
          <w:docPartUnique/>
        </w:docPartObj>
      </w:sdtPr>
      <w:sdtEndPr>
        <w:rPr>
          <w:b/>
          <w:bCs/>
          <w:noProof/>
        </w:rPr>
      </w:sdtEndPr>
      <w:sdtContent>
        <w:p w14:paraId="29CCF756" w14:textId="0FF95ECE" w:rsidR="0096778F" w:rsidRDefault="0096778F" w:rsidP="0096778F">
          <w:pPr>
            <w:pStyle w:val="TOCHeading"/>
            <w:bidi/>
          </w:pPr>
          <w:r>
            <w:rPr>
              <w:rFonts w:hint="cs"/>
              <w:rtl/>
            </w:rPr>
            <w:t xml:space="preserve">فهرست مطالب </w:t>
          </w:r>
        </w:p>
        <w:p w14:paraId="36B83F8C" w14:textId="6F0F7513" w:rsidR="0096778F" w:rsidRDefault="0096778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138943" w:history="1">
            <w:r w:rsidRPr="00E91F54">
              <w:rPr>
                <w:rStyle w:val="Hyperlink"/>
                <w:noProof/>
                <w:rtl/>
              </w:rPr>
              <w:t xml:space="preserve">انحصار </w:t>
            </w:r>
            <w:r w:rsidRPr="00E91F54">
              <w:rPr>
                <w:rStyle w:val="Hyperlink"/>
                <w:rFonts w:hint="cs"/>
                <w:noProof/>
                <w:rtl/>
              </w:rPr>
              <w:t>ی</w:t>
            </w:r>
            <w:r w:rsidRPr="00E91F54">
              <w:rPr>
                <w:rStyle w:val="Hyperlink"/>
                <w:rFonts w:hint="eastAsia"/>
                <w:noProof/>
                <w:rtl/>
              </w:rPr>
              <w:t>ا</w:t>
            </w:r>
            <w:r w:rsidRPr="00E91F54">
              <w:rPr>
                <w:rStyle w:val="Hyperlink"/>
                <w:noProof/>
                <w:rtl/>
              </w:rPr>
              <w:t xml:space="preserve"> عدم انحصار حکم جواز عدول در فرض شروع نس</w:t>
            </w:r>
            <w:r w:rsidRPr="00E91F54">
              <w:rPr>
                <w:rStyle w:val="Hyperlink"/>
                <w:rFonts w:hint="cs"/>
                <w:noProof/>
                <w:rtl/>
              </w:rPr>
              <w:t>ی</w:t>
            </w:r>
            <w:r w:rsidRPr="00E91F54">
              <w:rPr>
                <w:rStyle w:val="Hyperlink"/>
                <w:rFonts w:hint="eastAsia"/>
                <w:noProof/>
                <w:rtl/>
              </w:rPr>
              <w:t>ان</w:t>
            </w:r>
            <w:r w:rsidRPr="00E91F54">
              <w:rPr>
                <w:rStyle w:val="Hyperlink"/>
                <w:rFonts w:hint="cs"/>
                <w:noProof/>
                <w:rtl/>
              </w:rPr>
              <w:t>ی</w:t>
            </w:r>
            <w:r w:rsidRPr="00E91F54">
              <w:rPr>
                <w:rStyle w:val="Hyperlink"/>
                <w:noProof/>
                <w:rtl/>
              </w:rPr>
              <w:t xml:space="preserve"> توح</w:t>
            </w:r>
            <w:r w:rsidRPr="00E91F54">
              <w:rPr>
                <w:rStyle w:val="Hyperlink"/>
                <w:rFonts w:hint="cs"/>
                <w:noProof/>
                <w:rtl/>
              </w:rPr>
              <w:t>ی</w:t>
            </w:r>
            <w:r w:rsidRPr="00E91F54">
              <w:rPr>
                <w:rStyle w:val="Hyperlink"/>
                <w:rFonts w:hint="eastAsia"/>
                <w:noProof/>
                <w:rtl/>
              </w:rPr>
              <w:t>د</w:t>
            </w:r>
            <w:r w:rsidRPr="00E91F54">
              <w:rPr>
                <w:rStyle w:val="Hyperlink"/>
                <w:noProof/>
                <w:rtl/>
              </w:rPr>
              <w:t xml:space="preserve"> و کافرون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Toc116138943 \h</w:instrText>
            </w:r>
            <w:r>
              <w:rPr>
                <w:noProof/>
                <w:webHidden/>
                <w:rtl/>
              </w:rPr>
              <w:instrText xml:space="preserve"> </w:instrText>
            </w:r>
            <w:r>
              <w:rPr>
                <w:noProof/>
                <w:webHidden/>
                <w:rtl/>
              </w:rPr>
            </w:r>
            <w:r>
              <w:rPr>
                <w:noProof/>
                <w:webHidden/>
                <w:rtl/>
              </w:rPr>
              <w:fldChar w:fldCharType="separate"/>
            </w:r>
            <w:r w:rsidR="00380FF7">
              <w:rPr>
                <w:noProof/>
                <w:webHidden/>
                <w:rtl/>
              </w:rPr>
              <w:t>1</w:t>
            </w:r>
            <w:r>
              <w:rPr>
                <w:noProof/>
                <w:webHidden/>
                <w:rtl/>
              </w:rPr>
              <w:fldChar w:fldCharType="end"/>
            </w:r>
          </w:hyperlink>
        </w:p>
        <w:p w14:paraId="556AB872" w14:textId="662E77D7" w:rsidR="0096778F" w:rsidRDefault="00C15BCD">
          <w:pPr>
            <w:pStyle w:val="TOC2"/>
            <w:tabs>
              <w:tab w:val="right" w:leader="dot" w:pos="10194"/>
            </w:tabs>
            <w:rPr>
              <w:rFonts w:asciiTheme="minorHAnsi" w:eastAsiaTheme="minorEastAsia" w:hAnsiTheme="minorHAnsi" w:cstheme="minorBidi"/>
              <w:bCs w:val="0"/>
              <w:noProof/>
              <w:color w:val="auto"/>
              <w:szCs w:val="22"/>
              <w:rtl/>
              <w:lang w:bidi="ar-SA"/>
            </w:rPr>
          </w:pPr>
          <w:hyperlink w:anchor="_Toc116138944" w:history="1">
            <w:r w:rsidR="0096778F" w:rsidRPr="00E91F54">
              <w:rPr>
                <w:rStyle w:val="Hyperlink"/>
                <w:noProof/>
                <w:rtl/>
              </w:rPr>
              <w:t>دل</w:t>
            </w:r>
            <w:r w:rsidR="0096778F" w:rsidRPr="00E91F54">
              <w:rPr>
                <w:rStyle w:val="Hyperlink"/>
                <w:rFonts w:hint="cs"/>
                <w:noProof/>
                <w:rtl/>
              </w:rPr>
              <w:t>ی</w:t>
            </w:r>
            <w:r w:rsidR="0096778F" w:rsidRPr="00E91F54">
              <w:rPr>
                <w:rStyle w:val="Hyperlink"/>
                <w:rFonts w:hint="eastAsia"/>
                <w:noProof/>
                <w:rtl/>
              </w:rPr>
              <w:t>ل</w:t>
            </w:r>
            <w:r w:rsidR="0096778F" w:rsidRPr="00E91F54">
              <w:rPr>
                <w:rStyle w:val="Hyperlink"/>
                <w:noProof/>
                <w:rtl/>
              </w:rPr>
              <w:t xml:space="preserve"> قائل</w:t>
            </w:r>
            <w:r w:rsidR="0096778F" w:rsidRPr="00E91F54">
              <w:rPr>
                <w:rStyle w:val="Hyperlink"/>
                <w:rFonts w:hint="cs"/>
                <w:noProof/>
                <w:rtl/>
              </w:rPr>
              <w:t>ی</w:t>
            </w:r>
            <w:r w:rsidR="0096778F" w:rsidRPr="00E91F54">
              <w:rPr>
                <w:rStyle w:val="Hyperlink"/>
                <w:rFonts w:hint="eastAsia"/>
                <w:noProof/>
                <w:rtl/>
              </w:rPr>
              <w:t>ن</w:t>
            </w:r>
            <w:r w:rsidR="0096778F" w:rsidRPr="00E91F54">
              <w:rPr>
                <w:rStyle w:val="Hyperlink"/>
                <w:noProof/>
                <w:rtl/>
              </w:rPr>
              <w:t xml:space="preserve"> به انحصار جواز در فرض نس</w:t>
            </w:r>
            <w:r w:rsidR="0096778F" w:rsidRPr="00E91F54">
              <w:rPr>
                <w:rStyle w:val="Hyperlink"/>
                <w:rFonts w:hint="cs"/>
                <w:noProof/>
                <w:rtl/>
              </w:rPr>
              <w:t>ی</w:t>
            </w:r>
            <w:r w:rsidR="0096778F" w:rsidRPr="00E91F54">
              <w:rPr>
                <w:rStyle w:val="Hyperlink"/>
                <w:rFonts w:hint="eastAsia"/>
                <w:noProof/>
                <w:rtl/>
              </w:rPr>
              <w:t>ان</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Toc116138944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2</w:t>
            </w:r>
            <w:r w:rsidR="0096778F">
              <w:rPr>
                <w:noProof/>
                <w:webHidden/>
                <w:rtl/>
              </w:rPr>
              <w:fldChar w:fldCharType="end"/>
            </w:r>
          </w:hyperlink>
        </w:p>
        <w:p w14:paraId="7A32DE67" w14:textId="7CB1AE7B" w:rsidR="0096778F" w:rsidRDefault="00C15B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138945" w:history="1">
            <w:r w:rsidR="0096778F" w:rsidRPr="00E91F54">
              <w:rPr>
                <w:rStyle w:val="Hyperlink"/>
                <w:noProof/>
                <w:rtl/>
              </w:rPr>
              <w:t>ب</w:t>
            </w:r>
            <w:r w:rsidR="0096778F" w:rsidRPr="00E91F54">
              <w:rPr>
                <w:rStyle w:val="Hyperlink"/>
                <w:rFonts w:hint="cs"/>
                <w:noProof/>
                <w:rtl/>
              </w:rPr>
              <w:t>ی</w:t>
            </w:r>
            <w:r w:rsidR="0096778F" w:rsidRPr="00E91F54">
              <w:rPr>
                <w:rStyle w:val="Hyperlink"/>
                <w:rFonts w:hint="eastAsia"/>
                <w:noProof/>
                <w:rtl/>
              </w:rPr>
              <w:t>ان</w:t>
            </w:r>
            <w:r w:rsidR="0096778F" w:rsidRPr="00E91F54">
              <w:rPr>
                <w:rStyle w:val="Hyperlink"/>
                <w:noProof/>
                <w:rtl/>
              </w:rPr>
              <w:t xml:space="preserve"> فرما</w:t>
            </w:r>
            <w:r w:rsidR="0096778F" w:rsidRPr="00E91F54">
              <w:rPr>
                <w:rStyle w:val="Hyperlink"/>
                <w:rFonts w:hint="cs"/>
                <w:noProof/>
                <w:rtl/>
              </w:rPr>
              <w:t>ی</w:t>
            </w:r>
            <w:r w:rsidR="0096778F" w:rsidRPr="00E91F54">
              <w:rPr>
                <w:rStyle w:val="Hyperlink"/>
                <w:rFonts w:hint="eastAsia"/>
                <w:noProof/>
                <w:rtl/>
              </w:rPr>
              <w:t>ش</w:t>
            </w:r>
            <w:r w:rsidR="0096778F" w:rsidRPr="00E91F54">
              <w:rPr>
                <w:rStyle w:val="Hyperlink"/>
                <w:noProof/>
                <w:rtl/>
              </w:rPr>
              <w:t xml:space="preserve"> آ</w:t>
            </w:r>
            <w:r w:rsidR="0096778F" w:rsidRPr="00E91F54">
              <w:rPr>
                <w:rStyle w:val="Hyperlink"/>
                <w:rFonts w:hint="cs"/>
                <w:noProof/>
                <w:rtl/>
              </w:rPr>
              <w:t>ی</w:t>
            </w:r>
            <w:r w:rsidR="0096778F" w:rsidRPr="00E91F54">
              <w:rPr>
                <w:rStyle w:val="Hyperlink"/>
                <w:rFonts w:hint="eastAsia"/>
                <w:noProof/>
                <w:rtl/>
              </w:rPr>
              <w:t>ت</w:t>
            </w:r>
            <w:r w:rsidR="0096778F" w:rsidRPr="00E91F54">
              <w:rPr>
                <w:rStyle w:val="Hyperlink"/>
                <w:noProof/>
                <w:rtl/>
              </w:rPr>
              <w:t xml:space="preserve"> الله س</w:t>
            </w:r>
            <w:r w:rsidR="0096778F" w:rsidRPr="00E91F54">
              <w:rPr>
                <w:rStyle w:val="Hyperlink"/>
                <w:rFonts w:hint="cs"/>
                <w:noProof/>
                <w:rtl/>
              </w:rPr>
              <w:t>ی</w:t>
            </w:r>
            <w:r w:rsidR="0096778F" w:rsidRPr="00E91F54">
              <w:rPr>
                <w:rStyle w:val="Hyperlink"/>
                <w:rFonts w:hint="eastAsia"/>
                <w:noProof/>
                <w:rtl/>
              </w:rPr>
              <w:t>ستان</w:t>
            </w:r>
            <w:r w:rsidR="0096778F" w:rsidRPr="00E91F54">
              <w:rPr>
                <w:rStyle w:val="Hyperlink"/>
                <w:rFonts w:hint="cs"/>
                <w:noProof/>
                <w:rtl/>
              </w:rPr>
              <w:t>ی</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Toc116138945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3</w:t>
            </w:r>
            <w:r w:rsidR="0096778F">
              <w:rPr>
                <w:noProof/>
                <w:webHidden/>
                <w:rtl/>
              </w:rPr>
              <w:fldChar w:fldCharType="end"/>
            </w:r>
          </w:hyperlink>
        </w:p>
        <w:p w14:paraId="0C8B1254" w14:textId="03815146" w:rsidR="0096778F" w:rsidRDefault="00C15BC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138946" w:history="1">
            <w:r w:rsidR="0096778F" w:rsidRPr="00E91F54">
              <w:rPr>
                <w:rStyle w:val="Hyperlink"/>
                <w:noProof/>
                <w:rtl/>
              </w:rPr>
              <w:t>خلاصه نظر</w:t>
            </w:r>
            <w:r w:rsidR="0096778F" w:rsidRPr="00E91F54">
              <w:rPr>
                <w:rStyle w:val="Hyperlink"/>
                <w:rFonts w:hint="cs"/>
                <w:noProof/>
                <w:rtl/>
              </w:rPr>
              <w:t>ی</w:t>
            </w:r>
            <w:r w:rsidR="0096778F" w:rsidRPr="00E91F54">
              <w:rPr>
                <w:rStyle w:val="Hyperlink"/>
                <w:rFonts w:hint="eastAsia"/>
                <w:noProof/>
                <w:rtl/>
              </w:rPr>
              <w:t>ه</w:t>
            </w:r>
            <w:r w:rsidR="0096778F" w:rsidRPr="00E91F54">
              <w:rPr>
                <w:rStyle w:val="Hyperlink"/>
                <w:noProof/>
                <w:rtl/>
              </w:rPr>
              <w:t xml:space="preserve"> مختار</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Toc116138946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6</w:t>
            </w:r>
            <w:r w:rsidR="0096778F">
              <w:rPr>
                <w:noProof/>
                <w:webHidden/>
                <w:rtl/>
              </w:rPr>
              <w:fldChar w:fldCharType="end"/>
            </w:r>
          </w:hyperlink>
        </w:p>
        <w:p w14:paraId="4E4ACC33" w14:textId="09D598B1" w:rsidR="0096778F" w:rsidRDefault="00C15BCD">
          <w:pPr>
            <w:pStyle w:val="TOC1"/>
            <w:rPr>
              <w:rFonts w:asciiTheme="minorHAnsi" w:eastAsiaTheme="minorEastAsia" w:hAnsiTheme="minorHAnsi" w:cstheme="minorBidi"/>
              <w:noProof/>
              <w:color w:val="auto"/>
              <w:szCs w:val="22"/>
              <w:rtl/>
              <w:lang w:bidi="ar-SA"/>
            </w:rPr>
          </w:pPr>
          <w:hyperlink w:anchor="_Toc116138947" w:history="1">
            <w:r w:rsidR="0096778F" w:rsidRPr="00E91F54">
              <w:rPr>
                <w:rStyle w:val="Hyperlink"/>
                <w:noProof/>
                <w:rtl/>
              </w:rPr>
              <w:t>مسئله 17: حکم عدول از جمعه و منافق</w:t>
            </w:r>
            <w:r w:rsidR="0096778F" w:rsidRPr="00E91F54">
              <w:rPr>
                <w:rStyle w:val="Hyperlink"/>
                <w:rFonts w:hint="cs"/>
                <w:noProof/>
                <w:rtl/>
              </w:rPr>
              <w:t>ی</w:t>
            </w:r>
            <w:r w:rsidR="0096778F" w:rsidRPr="00E91F54">
              <w:rPr>
                <w:rStyle w:val="Hyperlink"/>
                <w:rFonts w:hint="eastAsia"/>
                <w:noProof/>
                <w:rtl/>
              </w:rPr>
              <w:t>ن</w:t>
            </w:r>
            <w:r w:rsidR="0096778F" w:rsidRPr="00E91F54">
              <w:rPr>
                <w:rStyle w:val="Hyperlink"/>
                <w:noProof/>
                <w:rtl/>
              </w:rPr>
              <w:t xml:space="preserve"> به سور د</w:t>
            </w:r>
            <w:r w:rsidR="0096778F" w:rsidRPr="00E91F54">
              <w:rPr>
                <w:rStyle w:val="Hyperlink"/>
                <w:rFonts w:hint="cs"/>
                <w:noProof/>
                <w:rtl/>
              </w:rPr>
              <w:t>ی</w:t>
            </w:r>
            <w:r w:rsidR="0096778F" w:rsidRPr="00E91F54">
              <w:rPr>
                <w:rStyle w:val="Hyperlink"/>
                <w:rFonts w:hint="eastAsia"/>
                <w:noProof/>
                <w:rtl/>
              </w:rPr>
              <w:t>گر</w:t>
            </w:r>
            <w:r w:rsidR="0096778F" w:rsidRPr="00E91F54">
              <w:rPr>
                <w:rStyle w:val="Hyperlink"/>
                <w:noProof/>
                <w:rtl/>
              </w:rPr>
              <w:t xml:space="preserve"> در روز جمعه</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Toc116138947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6</w:t>
            </w:r>
            <w:r w:rsidR="0096778F">
              <w:rPr>
                <w:noProof/>
                <w:webHidden/>
                <w:rtl/>
              </w:rPr>
              <w:fldChar w:fldCharType="end"/>
            </w:r>
          </w:hyperlink>
        </w:p>
        <w:p w14:paraId="26889666" w14:textId="1EE638C9" w:rsidR="0096778F" w:rsidRDefault="00C15BCD">
          <w:pPr>
            <w:pStyle w:val="TOC2"/>
            <w:tabs>
              <w:tab w:val="right" w:leader="dot" w:pos="10194"/>
            </w:tabs>
            <w:rPr>
              <w:rFonts w:asciiTheme="minorHAnsi" w:eastAsiaTheme="minorEastAsia" w:hAnsiTheme="minorHAnsi" w:cstheme="minorBidi"/>
              <w:bCs w:val="0"/>
              <w:noProof/>
              <w:color w:val="auto"/>
              <w:szCs w:val="22"/>
              <w:rtl/>
              <w:lang w:bidi="ar-SA"/>
            </w:rPr>
          </w:pPr>
          <w:hyperlink w:anchor="_Toc116138948" w:history="1">
            <w:r w:rsidR="0096778F" w:rsidRPr="00E91F54">
              <w:rPr>
                <w:rStyle w:val="Hyperlink"/>
                <w:noProof/>
                <w:rtl/>
              </w:rPr>
              <w:t>ب</w:t>
            </w:r>
            <w:r w:rsidR="0096778F" w:rsidRPr="00E91F54">
              <w:rPr>
                <w:rStyle w:val="Hyperlink"/>
                <w:rFonts w:hint="cs"/>
                <w:noProof/>
                <w:rtl/>
              </w:rPr>
              <w:t>ی</w:t>
            </w:r>
            <w:r w:rsidR="0096778F" w:rsidRPr="00E91F54">
              <w:rPr>
                <w:rStyle w:val="Hyperlink"/>
                <w:rFonts w:hint="eastAsia"/>
                <w:noProof/>
                <w:rtl/>
              </w:rPr>
              <w:t>ان</w:t>
            </w:r>
            <w:r w:rsidR="0096778F" w:rsidRPr="00E91F54">
              <w:rPr>
                <w:rStyle w:val="Hyperlink"/>
                <w:noProof/>
                <w:rtl/>
              </w:rPr>
              <w:t xml:space="preserve"> دل</w:t>
            </w:r>
            <w:r w:rsidR="0096778F" w:rsidRPr="00E91F54">
              <w:rPr>
                <w:rStyle w:val="Hyperlink"/>
                <w:rFonts w:hint="cs"/>
                <w:noProof/>
                <w:rtl/>
              </w:rPr>
              <w:t>ی</w:t>
            </w:r>
            <w:r w:rsidR="0096778F" w:rsidRPr="00E91F54">
              <w:rPr>
                <w:rStyle w:val="Hyperlink"/>
                <w:rFonts w:hint="eastAsia"/>
                <w:noProof/>
                <w:rtl/>
              </w:rPr>
              <w:t>ل</w:t>
            </w:r>
            <w:r w:rsidR="0096778F" w:rsidRPr="00E91F54">
              <w:rPr>
                <w:rStyle w:val="Hyperlink"/>
                <w:noProof/>
                <w:rtl/>
              </w:rPr>
              <w:t xml:space="preserve"> استحسان</w:t>
            </w:r>
            <w:r w:rsidR="0096778F" w:rsidRPr="00E91F54">
              <w:rPr>
                <w:rStyle w:val="Hyperlink"/>
                <w:rFonts w:hint="cs"/>
                <w:noProof/>
                <w:rtl/>
              </w:rPr>
              <w:t>ی</w:t>
            </w:r>
            <w:r w:rsidR="0096778F" w:rsidRPr="00E91F54">
              <w:rPr>
                <w:rStyle w:val="Hyperlink"/>
                <w:noProof/>
                <w:rtl/>
              </w:rPr>
              <w:t xml:space="preserve"> بر مسئله</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Toc116138948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7</w:t>
            </w:r>
            <w:r w:rsidR="0096778F">
              <w:rPr>
                <w:noProof/>
                <w:webHidden/>
                <w:rtl/>
              </w:rPr>
              <w:fldChar w:fldCharType="end"/>
            </w:r>
          </w:hyperlink>
        </w:p>
        <w:p w14:paraId="60FE80AC" w14:textId="56618267" w:rsidR="0096778F" w:rsidRDefault="00C15BCD">
          <w:pPr>
            <w:pStyle w:val="TOC1"/>
            <w:rPr>
              <w:rFonts w:asciiTheme="minorHAnsi" w:eastAsiaTheme="minorEastAsia" w:hAnsiTheme="minorHAnsi" w:cstheme="minorBidi"/>
              <w:noProof/>
              <w:color w:val="auto"/>
              <w:szCs w:val="22"/>
              <w:rtl/>
              <w:lang w:bidi="ar-SA"/>
            </w:rPr>
          </w:pPr>
          <w:hyperlink w:anchor="_Toc116138949" w:history="1">
            <w:r w:rsidR="0096778F" w:rsidRPr="00E91F54">
              <w:rPr>
                <w:rStyle w:val="Hyperlink"/>
                <w:noProof/>
                <w:rtl/>
              </w:rPr>
              <w:t>مسئله 18: حکم عدول نسبت به نوافل</w:t>
            </w:r>
            <w:r w:rsidR="0096778F">
              <w:rPr>
                <w:noProof/>
                <w:webHidden/>
                <w:rtl/>
              </w:rPr>
              <w:tab/>
            </w:r>
            <w:r w:rsidR="0096778F">
              <w:rPr>
                <w:noProof/>
                <w:webHidden/>
                <w:rtl/>
              </w:rPr>
              <w:fldChar w:fldCharType="begin"/>
            </w:r>
            <w:r w:rsidR="0096778F">
              <w:rPr>
                <w:noProof/>
                <w:webHidden/>
                <w:rtl/>
              </w:rPr>
              <w:instrText xml:space="preserve"> </w:instrText>
            </w:r>
            <w:r w:rsidR="0096778F">
              <w:rPr>
                <w:noProof/>
                <w:webHidden/>
              </w:rPr>
              <w:instrText>PAGEREF</w:instrText>
            </w:r>
            <w:r w:rsidR="0096778F">
              <w:rPr>
                <w:noProof/>
                <w:webHidden/>
                <w:rtl/>
              </w:rPr>
              <w:instrText xml:space="preserve"> _</w:instrText>
            </w:r>
            <w:r w:rsidR="0096778F">
              <w:rPr>
                <w:noProof/>
                <w:webHidden/>
              </w:rPr>
              <w:instrText>Toc116138949 \h</w:instrText>
            </w:r>
            <w:r w:rsidR="0096778F">
              <w:rPr>
                <w:noProof/>
                <w:webHidden/>
                <w:rtl/>
              </w:rPr>
              <w:instrText xml:space="preserve"> </w:instrText>
            </w:r>
            <w:r w:rsidR="0096778F">
              <w:rPr>
                <w:noProof/>
                <w:webHidden/>
                <w:rtl/>
              </w:rPr>
            </w:r>
            <w:r w:rsidR="0096778F">
              <w:rPr>
                <w:noProof/>
                <w:webHidden/>
                <w:rtl/>
              </w:rPr>
              <w:fldChar w:fldCharType="separate"/>
            </w:r>
            <w:r w:rsidR="00380FF7">
              <w:rPr>
                <w:noProof/>
                <w:webHidden/>
                <w:rtl/>
              </w:rPr>
              <w:t>7</w:t>
            </w:r>
            <w:r w:rsidR="0096778F">
              <w:rPr>
                <w:noProof/>
                <w:webHidden/>
                <w:rtl/>
              </w:rPr>
              <w:fldChar w:fldCharType="end"/>
            </w:r>
          </w:hyperlink>
        </w:p>
        <w:p w14:paraId="3739649A" w14:textId="48002A9C" w:rsidR="0096778F" w:rsidRDefault="0096778F">
          <w:r>
            <w:rPr>
              <w:b/>
              <w:bCs/>
              <w:noProof/>
            </w:rPr>
            <w:fldChar w:fldCharType="end"/>
          </w:r>
        </w:p>
      </w:sdtContent>
    </w:sdt>
    <w:p w14:paraId="63046585" w14:textId="530F17A9" w:rsidR="00247D2F" w:rsidRDefault="002A6195" w:rsidP="003A6148">
      <w:pPr>
        <w:pBdr>
          <w:bottom w:val="double" w:sz="6" w:space="1" w:color="auto"/>
        </w:pBdr>
        <w:rPr>
          <w:rtl/>
        </w:rPr>
      </w:pPr>
      <w:r w:rsidRPr="007D1E71">
        <w:rPr>
          <w:rStyle w:val="Heading1Char"/>
          <w:rFonts w:eastAsia="Calibri" w:hint="cs"/>
          <w:rtl/>
        </w:rPr>
        <w:t>خلاصه جلسه گذشته</w:t>
      </w:r>
      <w:r>
        <w:rPr>
          <w:rFonts w:hint="cs"/>
          <w:rtl/>
        </w:rPr>
        <w:t xml:space="preserve">: </w:t>
      </w:r>
    </w:p>
    <w:p w14:paraId="050BA35D" w14:textId="55F53425" w:rsidR="002A6195" w:rsidRPr="003A6148" w:rsidRDefault="002A6195" w:rsidP="003A6148">
      <w:pPr>
        <w:pBdr>
          <w:bottom w:val="double" w:sz="6" w:space="1" w:color="auto"/>
        </w:pBdr>
      </w:pPr>
      <w:r>
        <w:rPr>
          <w:rFonts w:hint="cs"/>
          <w:rtl/>
        </w:rPr>
        <w:t>استاد در جلسه گذشته به مسئله عدول عمدی از</w:t>
      </w:r>
      <w:r w:rsidR="005209DA">
        <w:rPr>
          <w:rFonts w:hint="cs"/>
          <w:rtl/>
        </w:rPr>
        <w:t xml:space="preserve"> سوره </w:t>
      </w:r>
      <w:r>
        <w:rPr>
          <w:rFonts w:hint="cs"/>
          <w:rtl/>
        </w:rPr>
        <w:t>توحید و کافرون اشاره کردند که در این جلسه به ادامه و تفصیل این بحث می پردازند و سپس وارد مسئله بعدی مبنی بر حکم عدول از</w:t>
      </w:r>
      <w:r w:rsidR="005209DA">
        <w:rPr>
          <w:rFonts w:hint="cs"/>
          <w:rtl/>
        </w:rPr>
        <w:t xml:space="preserve"> سوره </w:t>
      </w:r>
      <w:r>
        <w:rPr>
          <w:rFonts w:hint="cs"/>
          <w:rtl/>
        </w:rPr>
        <w:t xml:space="preserve">های جمعه و منافقین می شوند. </w:t>
      </w:r>
    </w:p>
    <w:p w14:paraId="5B509E48" w14:textId="31FAAE80" w:rsidR="00FF69A1" w:rsidRDefault="00FF69A1" w:rsidP="00FF69A1">
      <w:pPr>
        <w:pStyle w:val="Heading1"/>
        <w:rPr>
          <w:rtl/>
        </w:rPr>
      </w:pPr>
      <w:bookmarkStart w:id="4" w:name="_Toc116138943"/>
      <w:r>
        <w:rPr>
          <w:rFonts w:hint="cs"/>
          <w:rtl/>
        </w:rPr>
        <w:t>انحصار یا عدم انحصار حکم جواز عدول در فرض شروع نسیانی توحید و کافرون</w:t>
      </w:r>
      <w:bookmarkEnd w:id="4"/>
    </w:p>
    <w:p w14:paraId="3ED50786" w14:textId="634D30B3" w:rsidR="00FF69A1" w:rsidRDefault="00FF69A1" w:rsidP="00FF69A1">
      <w:pPr>
        <w:jc w:val="both"/>
        <w:rPr>
          <w:rtl/>
        </w:rPr>
      </w:pPr>
      <w:r>
        <w:rPr>
          <w:rFonts w:hint="cs"/>
          <w:rtl/>
        </w:rPr>
        <w:t>آخرین بحثی که از مسئله 16 باقی می ماند</w:t>
      </w:r>
      <w:r w:rsidR="00FC56E1">
        <w:rPr>
          <w:rFonts w:hint="cs"/>
          <w:rtl/>
        </w:rPr>
        <w:t xml:space="preserve"> مسئله انحصار یا عدم انحصار حکم جواز عدول (از</w:t>
      </w:r>
      <w:r w:rsidR="005209DA">
        <w:rPr>
          <w:rFonts w:hint="cs"/>
          <w:rtl/>
        </w:rPr>
        <w:t xml:space="preserve"> سوره </w:t>
      </w:r>
      <w:r w:rsidR="00FC56E1">
        <w:rPr>
          <w:rFonts w:hint="cs"/>
          <w:rtl/>
        </w:rPr>
        <w:t>های توحید و کافرون به جمعه و منافقون) در فرض شروع نسیانی توحید و کافرون است. عده ای معتقدند جواز عدول صرفا در جایی که قصد خوندن جمعه و منافقون را داشته و نسیانا یا سهوا وارد توحید و کافرون شده است، می باشد، عده ای در مقابل حکم جواز را عام می دانند، به صورتی که اگر شخص عمدا نیز</w:t>
      </w:r>
      <w:r w:rsidR="005209DA">
        <w:rPr>
          <w:rFonts w:hint="cs"/>
          <w:rtl/>
        </w:rPr>
        <w:t xml:space="preserve"> سوره </w:t>
      </w:r>
      <w:r w:rsidR="00FC56E1">
        <w:rPr>
          <w:rFonts w:hint="cs"/>
          <w:rtl/>
        </w:rPr>
        <w:t xml:space="preserve">توحید را شروع کرد ولی در اواسط آن پیشمان شد، می تواند به جمعه عدول کند. </w:t>
      </w:r>
    </w:p>
    <w:p w14:paraId="22B146B8" w14:textId="21E7CE47" w:rsidR="00CC0E60" w:rsidRDefault="00FF69A1" w:rsidP="00FF69A1">
      <w:pPr>
        <w:jc w:val="both"/>
        <w:rPr>
          <w:rtl/>
        </w:rPr>
      </w:pPr>
      <w:r>
        <w:rPr>
          <w:rFonts w:hint="cs"/>
          <w:rtl/>
        </w:rPr>
        <w:t>محقق کرکی قائل به عدم جواز در صورت عمدی خواندن</w:t>
      </w:r>
      <w:r w:rsidR="005209DA">
        <w:rPr>
          <w:rFonts w:hint="cs"/>
          <w:rtl/>
        </w:rPr>
        <w:t xml:space="preserve"> سوره </w:t>
      </w:r>
      <w:r>
        <w:rPr>
          <w:rFonts w:hint="cs"/>
          <w:rtl/>
        </w:rPr>
        <w:t>توحید و کافرون شده است و مسئله جواز عدول را مختص به ناسی دانسته است</w:t>
      </w:r>
      <w:r w:rsidR="00EA00DE">
        <w:rPr>
          <w:rStyle w:val="FootnoteReference"/>
          <w:rtl/>
        </w:rPr>
        <w:footnoteReference w:id="1"/>
      </w:r>
      <w:r>
        <w:rPr>
          <w:rFonts w:hint="cs"/>
          <w:rtl/>
        </w:rPr>
        <w:t>. صاحب عروۀ نیز احتیاط واجب مطرح کرده است</w:t>
      </w:r>
      <w:r w:rsidR="00CC0E60">
        <w:rPr>
          <w:rFonts w:hint="cs"/>
          <w:rtl/>
        </w:rPr>
        <w:t>:</w:t>
      </w:r>
    </w:p>
    <w:p w14:paraId="4EF051F0" w14:textId="362B7AA0" w:rsidR="00CC0E60" w:rsidRDefault="00CC0E60" w:rsidP="00CC0E60">
      <w:pPr>
        <w:pStyle w:val="ListParagraph"/>
        <w:jc w:val="both"/>
        <w:rPr>
          <w:rtl/>
        </w:rPr>
      </w:pPr>
      <w:r>
        <w:rPr>
          <w:rFonts w:hint="cs"/>
          <w:rtl/>
        </w:rPr>
        <w:t>«</w:t>
      </w:r>
      <w:r w:rsidRPr="008176A7">
        <w:rPr>
          <w:color w:val="0000FF"/>
          <w:rtl/>
        </w:rPr>
        <w:t xml:space="preserve">و أما إذا شرع في </w:t>
      </w:r>
      <w:r w:rsidRPr="008176A7">
        <w:rPr>
          <w:rFonts w:hint="cs"/>
          <w:color w:val="0000FF"/>
          <w:rtl/>
        </w:rPr>
        <w:t xml:space="preserve">الجحد أو </w:t>
      </w:r>
      <w:r w:rsidRPr="008176A7">
        <w:rPr>
          <w:color w:val="0000FF"/>
          <w:rtl/>
        </w:rPr>
        <w:t>التوحيد عمدا فلا يجوز العدول إليهما أيضا على الأحوط‌</w:t>
      </w:r>
      <w:r>
        <w:rPr>
          <w:rFonts w:hint="cs"/>
          <w:rtl/>
        </w:rPr>
        <w:t>»</w:t>
      </w:r>
      <w:r>
        <w:rPr>
          <w:rStyle w:val="FootnoteReference"/>
          <w:rtl/>
        </w:rPr>
        <w:footnoteReference w:id="2"/>
      </w:r>
    </w:p>
    <w:p w14:paraId="0D8E7194" w14:textId="0478D19E" w:rsidR="00FF69A1" w:rsidRDefault="00FF69A1" w:rsidP="00FF69A1">
      <w:pPr>
        <w:jc w:val="both"/>
        <w:rPr>
          <w:rtl/>
        </w:rPr>
      </w:pPr>
      <w:r>
        <w:rPr>
          <w:rFonts w:hint="cs"/>
          <w:rtl/>
        </w:rPr>
        <w:lastRenderedPageBreak/>
        <w:t xml:space="preserve"> لکن برخی مثل محقق خویی</w:t>
      </w:r>
      <w:r w:rsidR="00EA00DE">
        <w:rPr>
          <w:rStyle w:val="FootnoteReference"/>
          <w:rtl/>
        </w:rPr>
        <w:footnoteReference w:id="3"/>
      </w:r>
      <w:r>
        <w:rPr>
          <w:rFonts w:hint="cs"/>
          <w:rtl/>
        </w:rPr>
        <w:t xml:space="preserve"> و آیت الله سیستانی معتقدند که حکم شامل فرض عمد نیز می شود.</w:t>
      </w:r>
    </w:p>
    <w:p w14:paraId="7633C133" w14:textId="3A87BC7C" w:rsidR="00ED119A" w:rsidRDefault="00ED119A" w:rsidP="00ED119A">
      <w:pPr>
        <w:pStyle w:val="Heading2"/>
        <w:rPr>
          <w:rtl/>
        </w:rPr>
      </w:pPr>
      <w:bookmarkStart w:id="5" w:name="_Toc116138944"/>
      <w:r>
        <w:rPr>
          <w:rFonts w:hint="cs"/>
          <w:rtl/>
        </w:rPr>
        <w:t>دلیل قائلین به انحصار جواز در فرض نسیان</w:t>
      </w:r>
      <w:bookmarkEnd w:id="5"/>
      <w:r>
        <w:rPr>
          <w:rFonts w:hint="cs"/>
          <w:rtl/>
        </w:rPr>
        <w:t xml:space="preserve"> </w:t>
      </w:r>
    </w:p>
    <w:p w14:paraId="2CA802B3" w14:textId="5475FCBD" w:rsidR="00FF69A1" w:rsidRDefault="00FF69A1" w:rsidP="00FF69A1">
      <w:pPr>
        <w:jc w:val="both"/>
        <w:rPr>
          <w:rtl/>
        </w:rPr>
      </w:pPr>
      <w:r>
        <w:rPr>
          <w:rFonts w:hint="cs"/>
          <w:rtl/>
        </w:rPr>
        <w:t>منشأ اشکال امثال محقق کرکی این است که عمده روایات که مجوز عدول است، در مورد ناسی مطرح شده است. عمدتا در مورد عالم عامد روایت وجود ندارد. در موثقه عبید نیز آمده است: «</w:t>
      </w:r>
      <w:r w:rsidRPr="002E27BA">
        <w:rPr>
          <w:rFonts w:hint="cs"/>
          <w:color w:val="008000"/>
          <w:rtl/>
        </w:rPr>
        <w:t>فأراد أن یقرأ</w:t>
      </w:r>
      <w:r w:rsidR="005209DA">
        <w:rPr>
          <w:rFonts w:hint="cs"/>
          <w:color w:val="008000"/>
          <w:rtl/>
        </w:rPr>
        <w:t xml:space="preserve"> سوره </w:t>
      </w:r>
      <w:r w:rsidRPr="002E27BA">
        <w:rPr>
          <w:rFonts w:hint="cs"/>
          <w:color w:val="008000"/>
          <w:rtl/>
        </w:rPr>
        <w:t>الجمعۀ فقرأ قل هو الله أحد</w:t>
      </w:r>
      <w:r>
        <w:rPr>
          <w:rFonts w:hint="cs"/>
          <w:rtl/>
        </w:rPr>
        <w:t>»</w:t>
      </w:r>
      <w:r w:rsidR="002E27BA">
        <w:rPr>
          <w:rStyle w:val="FootnoteReference"/>
          <w:rtl/>
        </w:rPr>
        <w:footnoteReference w:id="4"/>
      </w:r>
      <w:r>
        <w:rPr>
          <w:rFonts w:hint="cs"/>
          <w:rtl/>
        </w:rPr>
        <w:t xml:space="preserve">، تنها روایتی که صورت عمد را شامل می شود، روایت علی بن جعفر است که با مشکل سندی مواجه بود: </w:t>
      </w:r>
    </w:p>
    <w:p w14:paraId="447C4EE4" w14:textId="69CB4447" w:rsidR="00FF69A1" w:rsidRDefault="00FF69A1" w:rsidP="004559A1">
      <w:pPr>
        <w:pStyle w:val="ListParagraph"/>
        <w:jc w:val="both"/>
        <w:rPr>
          <w:rtl/>
        </w:rPr>
      </w:pPr>
      <w:r>
        <w:rPr>
          <w:rFonts w:hint="cs"/>
          <w:rtl/>
        </w:rPr>
        <w:t>«</w:t>
      </w:r>
      <w:r w:rsidR="004559A1" w:rsidRPr="004559A1">
        <w:rPr>
          <w:rtl/>
        </w:rPr>
        <w:t xml:space="preserve"> عَبْدُ اللَّهِ بْنُ جَعْفَرٍ الْحِمْيَرِيُّ فِي قُرْبِ الْإِسْنَادِ عَنْ عَبْدِ اللَّهِ بْنِ الْحَسَنِ عَنْ جَدِّهِ عَلِيِّ بْنِ جَعْفَرٍ عَنْ أَخِيهِ مُوسَى بْنِ جَعْفَرٍ قَالَ: </w:t>
      </w:r>
      <w:r w:rsidR="004559A1" w:rsidRPr="004559A1">
        <w:rPr>
          <w:color w:val="008000"/>
          <w:rtl/>
        </w:rPr>
        <w:t>سَأَلْتُهُ عَنِ الْقِرَاءَةِ فِي الْجُمُعَةِ بِمَا يَقْرَأُ قَالَ سُورَةَ الْجُمُعَةِ وَ إِذَا جَاءَكَ الْمُنَافِقُونَ- وَ إِنْ أَخَذْتَ فِي غَيْرِهَا وَ إِنْ كَانَ قُلْ هُوَ اللَّهُ أَحَدٌ- فَاقْطَعْهَا مِنْ أَوَّلِهَا وَ ارْجِعْ إِلَيْهَا</w:t>
      </w:r>
      <w:r w:rsidR="004559A1">
        <w:rPr>
          <w:rFonts w:hint="cs"/>
          <w:rtl/>
        </w:rPr>
        <w:t>»</w:t>
      </w:r>
      <w:r w:rsidR="004559A1">
        <w:rPr>
          <w:rStyle w:val="FootnoteReference"/>
          <w:rtl/>
        </w:rPr>
        <w:footnoteReference w:id="5"/>
      </w:r>
    </w:p>
    <w:p w14:paraId="0EB9A33A" w14:textId="77777777" w:rsidR="00ED119A" w:rsidRDefault="00FF69A1" w:rsidP="00FF69A1">
      <w:pPr>
        <w:jc w:val="both"/>
        <w:rPr>
          <w:rtl/>
        </w:rPr>
      </w:pPr>
      <w:r>
        <w:rPr>
          <w:rFonts w:hint="cs"/>
          <w:rtl/>
        </w:rPr>
        <w:t xml:space="preserve">تعبیر «إن أخذت فی غیرها و إن کان قل هو الله أحد» دارد و فرض نسیان در آن مطرح نشده است، به صورت مطلق است و شامل فرض علم و عمد نیز می شود. </w:t>
      </w:r>
    </w:p>
    <w:p w14:paraId="6FEB4DB4" w14:textId="7170B6F1" w:rsidR="00FF69A1" w:rsidRDefault="00FF69A1" w:rsidP="00FF69A1">
      <w:pPr>
        <w:jc w:val="both"/>
        <w:rPr>
          <w:rtl/>
        </w:rPr>
      </w:pPr>
      <w:r>
        <w:rPr>
          <w:rFonts w:hint="cs"/>
          <w:rtl/>
        </w:rPr>
        <w:t>اشکالی که مطرح می شود، ضعف سند این روایت است؛ چرا که صاحب وسائل این حدیث را از قرب الإسناد از عبدالله بن حسن از علی بن جعفر نقل می کند. عبدالله بن حسن توثیق ندارد، پس دلائل معتبری که در بحث عدول از</w:t>
      </w:r>
      <w:r w:rsidR="005209DA">
        <w:rPr>
          <w:rFonts w:hint="cs"/>
          <w:rtl/>
        </w:rPr>
        <w:t xml:space="preserve"> سوره </w:t>
      </w:r>
      <w:r>
        <w:rPr>
          <w:rFonts w:hint="cs"/>
          <w:rtl/>
        </w:rPr>
        <w:t>جحد و توحید به</w:t>
      </w:r>
      <w:r w:rsidR="005209DA">
        <w:rPr>
          <w:rFonts w:hint="cs"/>
          <w:rtl/>
        </w:rPr>
        <w:t xml:space="preserve"> سوره </w:t>
      </w:r>
      <w:r>
        <w:rPr>
          <w:rFonts w:hint="cs"/>
          <w:rtl/>
        </w:rPr>
        <w:t>جمعه و منافقین در روز جمعه وجود دارد، با این فرض هستند که شخص نسیانا</w:t>
      </w:r>
      <w:r w:rsidR="005209DA">
        <w:rPr>
          <w:rFonts w:hint="cs"/>
          <w:rtl/>
        </w:rPr>
        <w:t xml:space="preserve"> سوره </w:t>
      </w:r>
      <w:r>
        <w:rPr>
          <w:rFonts w:hint="cs"/>
          <w:rtl/>
        </w:rPr>
        <w:t xml:space="preserve">توحید را خوانده است و آن روایتی که مطلق است روایت علی بن جعفر است که از لحاظ سندی ضعیف است. </w:t>
      </w:r>
    </w:p>
    <w:p w14:paraId="3110DA2B" w14:textId="1F6C794C" w:rsidR="00FF69A1" w:rsidRDefault="00FF69A1" w:rsidP="00FF69A1">
      <w:pPr>
        <w:jc w:val="both"/>
        <w:rPr>
          <w:rtl/>
        </w:rPr>
      </w:pPr>
      <w:r>
        <w:rPr>
          <w:rFonts w:hint="cs"/>
          <w:rtl/>
        </w:rPr>
        <w:t>محقق خویی در صدد تصحیح سند روایت علی بن جعفر برآمده و فرموده اند: صاحب حدائق این روایت را از کتاب علی بن جعفر نقل کرده و ایشان سند معتبر به کتاب علی بن جعفر دارد.</w:t>
      </w:r>
      <w:r w:rsidR="00141CE3">
        <w:rPr>
          <w:rStyle w:val="FootnoteReference"/>
          <w:rtl/>
        </w:rPr>
        <w:footnoteReference w:id="6"/>
      </w:r>
      <w:r>
        <w:rPr>
          <w:rFonts w:hint="cs"/>
          <w:rtl/>
        </w:rPr>
        <w:t xml:space="preserve"> ما عرض کردیم که این روایت را ولو در وسائل ذیل را از کتاب علی بن جعفر نقل نکرده ولی صاحب بحار نیز این روایت را با ذیل از کتاب علی بن جعفر نقل می کند</w:t>
      </w:r>
      <w:r w:rsidR="00141CE3">
        <w:rPr>
          <w:rStyle w:val="FootnoteReference"/>
          <w:rtl/>
        </w:rPr>
        <w:footnoteReference w:id="7"/>
      </w:r>
      <w:r>
        <w:rPr>
          <w:rFonts w:hint="cs"/>
          <w:rtl/>
        </w:rPr>
        <w:t xml:space="preserve">؛ لذا مطمئنا این </w:t>
      </w:r>
      <w:r>
        <w:rPr>
          <w:rFonts w:hint="cs"/>
          <w:rtl/>
        </w:rPr>
        <w:lastRenderedPageBreak/>
        <w:t xml:space="preserve">ذیل در کتاب علی بن جعفر وجود دارد. بنابراین بعید نیست وثوق پیدا کنیم که متن در کتاب علی بن جعفر بوده است؛ از این رو فرمایش </w:t>
      </w:r>
      <w:r w:rsidR="00A9123D">
        <w:rPr>
          <w:rFonts w:hint="cs"/>
          <w:rtl/>
        </w:rPr>
        <w:t>آیت الله</w:t>
      </w:r>
      <w:r>
        <w:rPr>
          <w:rFonts w:hint="cs"/>
          <w:rtl/>
        </w:rPr>
        <w:t xml:space="preserve"> </w:t>
      </w:r>
      <w:r w:rsidR="00000F8E">
        <w:rPr>
          <w:rFonts w:hint="cs"/>
          <w:rtl/>
        </w:rPr>
        <w:t>خویی</w:t>
      </w:r>
      <w:r>
        <w:rPr>
          <w:rFonts w:hint="cs"/>
          <w:rtl/>
        </w:rPr>
        <w:t xml:space="preserve"> مورد قبول است. </w:t>
      </w:r>
    </w:p>
    <w:p w14:paraId="56D48283" w14:textId="614E7174" w:rsidR="00A9123D" w:rsidRDefault="00A9123D" w:rsidP="00A9123D">
      <w:pPr>
        <w:pStyle w:val="Heading3"/>
        <w:rPr>
          <w:rtl/>
        </w:rPr>
      </w:pPr>
      <w:bookmarkStart w:id="6" w:name="_Toc116138945"/>
      <w:r>
        <w:rPr>
          <w:rFonts w:hint="cs"/>
          <w:rtl/>
        </w:rPr>
        <w:t>بیان فرمایش آیت الله سیستانی</w:t>
      </w:r>
      <w:bookmarkEnd w:id="6"/>
      <w:r>
        <w:rPr>
          <w:rFonts w:hint="cs"/>
          <w:rtl/>
        </w:rPr>
        <w:t xml:space="preserve"> </w:t>
      </w:r>
    </w:p>
    <w:p w14:paraId="6E8E6D20" w14:textId="1FFC7EAD" w:rsidR="00FF69A1" w:rsidRDefault="00FF69A1" w:rsidP="00FF69A1">
      <w:pPr>
        <w:jc w:val="both"/>
        <w:rPr>
          <w:rtl/>
        </w:rPr>
      </w:pPr>
      <w:r>
        <w:rPr>
          <w:rFonts w:hint="cs"/>
          <w:rtl/>
        </w:rPr>
        <w:t>آیت الله سیستانی وثوق به سند روایت پیدا نکرده اند؛ چه اینکه گرچه کتاب در دست صاحب بحار و صاحب وسائل بوده، ولی کتاب مشهوری نیست و این بزرگان سند حسی به کتاب هایی که از آن نقل می کنند، نداشته اند. سند کلی داشته اند به جمیع کتب و اصحاب که شیخ در فهرست ذکر کرده است، از بازار این کتب را تهیه می کرده اند، کتاب علی بن جعفر نیز گرچه توسط صاحب بحار و صاحب حدائق تهیه شده ولی نسخه غیر معروفه ای بوده و وثوق به صحت این نسخه ها پیدا نمی شود، لکن دلیل بر منع از عدول از توحید و کافرون را باید نظر کرد؛ ما می بینیم که عمده دلیل هایی که بر منع وارد شده، در مورد ناسی هستند؛ به عنوان مثال در بررسی روایات دیده می شود که دلیل بر منع این است که کسی که می خواهد</w:t>
      </w:r>
      <w:r w:rsidR="005209DA">
        <w:rPr>
          <w:rFonts w:hint="cs"/>
          <w:rtl/>
        </w:rPr>
        <w:t xml:space="preserve"> سوره </w:t>
      </w:r>
      <w:r>
        <w:rPr>
          <w:rFonts w:hint="cs"/>
          <w:rtl/>
        </w:rPr>
        <w:t>ای را بخواند، وقتی شروع در</w:t>
      </w:r>
      <w:r w:rsidR="005209DA">
        <w:rPr>
          <w:rFonts w:hint="cs"/>
          <w:rtl/>
        </w:rPr>
        <w:t xml:space="preserve"> سوره </w:t>
      </w:r>
      <w:r>
        <w:rPr>
          <w:rFonts w:hint="cs"/>
          <w:rtl/>
        </w:rPr>
        <w:t>دیگری می کند، حق عدول به آن</w:t>
      </w:r>
      <w:r w:rsidR="005209DA">
        <w:rPr>
          <w:rFonts w:hint="cs"/>
          <w:rtl/>
        </w:rPr>
        <w:t xml:space="preserve"> سوره </w:t>
      </w:r>
      <w:r>
        <w:rPr>
          <w:rFonts w:hint="cs"/>
          <w:rtl/>
        </w:rPr>
        <w:t>ای که می خواسته بخواند دارد، مگر</w:t>
      </w:r>
      <w:r w:rsidR="005209DA">
        <w:rPr>
          <w:rFonts w:hint="cs"/>
          <w:rtl/>
        </w:rPr>
        <w:t xml:space="preserve"> سوره </w:t>
      </w:r>
      <w:r>
        <w:rPr>
          <w:rFonts w:hint="cs"/>
          <w:rtl/>
        </w:rPr>
        <w:t xml:space="preserve">توحید و کافرون که در این ها حق عدول ندارد. متن روایت چنین است: </w:t>
      </w:r>
    </w:p>
    <w:p w14:paraId="68FD45BB" w14:textId="2768E74D" w:rsidR="00FF69A1" w:rsidRDefault="00FF69A1" w:rsidP="00A834F9">
      <w:pPr>
        <w:pStyle w:val="ListParagraph"/>
        <w:jc w:val="both"/>
        <w:rPr>
          <w:rtl/>
        </w:rPr>
      </w:pPr>
      <w:r>
        <w:rPr>
          <w:rFonts w:hint="cs"/>
          <w:rtl/>
        </w:rPr>
        <w:t>«</w:t>
      </w:r>
      <w:r w:rsidR="00A834F9" w:rsidRPr="00A834F9">
        <w:rPr>
          <w:rtl/>
        </w:rPr>
        <w:t xml:space="preserve"> الْحُسَيْنُ بْنُ مُحَمَّدٍ عَنْ عَبْدِ اللَّهِ بْنِ عَامِرٍ عَنْ عَلِيِّ بْنِ مَهْزِيَارَ عَنْ فَضَالَةَ بْنِ أَيُّوبَ عَنِ الْحُسَيْنِ بْنِ عُثْمَانَ عَنْ عَمْرِو بْنِ أَبِي نَصْرٍ </w:t>
      </w:r>
      <w:r w:rsidR="00A834F9" w:rsidRPr="00A834F9">
        <w:rPr>
          <w:color w:val="008000"/>
          <w:rtl/>
        </w:rPr>
        <w:t xml:space="preserve">قَالَ: قُلْتُ لِأَبِي عَبْدِ اللَّهِ ع الرَّجُلُ يَقُومُ فِي الصَّلَاةِ فَيُرِيدُ أَنْ يَقْرَأَ سُورَةً فَيَقْرَأُ قُلْ هُوَ اللَّهُ أَحَدٌ وَ قُلْ يا أَيُّهَا الْكافِرُونَ </w:t>
      </w:r>
      <w:r w:rsidR="00A834F9" w:rsidRPr="00A834F9">
        <w:rPr>
          <w:color w:val="008000"/>
          <w:u w:val="single"/>
          <w:rtl/>
        </w:rPr>
        <w:t>فَقَالَ يَرْجِعُ مِنْ كُلِّ سُورَةٍ إِلَّا مِنْ قُلْ هُوَ اللَّهُ أَحَدٌ وَ مِنْ قُلْ يا أَيُّهَا الْكافِرُونَ</w:t>
      </w:r>
      <w:r w:rsidR="00A834F9">
        <w:rPr>
          <w:rFonts w:hint="cs"/>
          <w:rtl/>
        </w:rPr>
        <w:t>»</w:t>
      </w:r>
      <w:r w:rsidR="00A834F9">
        <w:rPr>
          <w:rStyle w:val="FootnoteReference"/>
          <w:rtl/>
        </w:rPr>
        <w:footnoteReference w:id="8"/>
      </w:r>
    </w:p>
    <w:p w14:paraId="5769005B" w14:textId="0E5D2F8C" w:rsidR="00FF69A1" w:rsidRDefault="00FF69A1" w:rsidP="00FF69A1">
      <w:pPr>
        <w:jc w:val="both"/>
        <w:rPr>
          <w:rtl/>
        </w:rPr>
      </w:pPr>
      <w:r>
        <w:rPr>
          <w:rFonts w:hint="cs"/>
          <w:rtl/>
        </w:rPr>
        <w:t>مورد این روایت صحیحه کسی است که نسیانا</w:t>
      </w:r>
      <w:r w:rsidR="005209DA">
        <w:rPr>
          <w:rFonts w:hint="cs"/>
          <w:rtl/>
        </w:rPr>
        <w:t xml:space="preserve"> سوره </w:t>
      </w:r>
      <w:r>
        <w:rPr>
          <w:rFonts w:hint="cs"/>
          <w:rtl/>
        </w:rPr>
        <w:t>توحید و کافرون را می خواند، با اینکه می خواست</w:t>
      </w:r>
      <w:r w:rsidR="005209DA">
        <w:rPr>
          <w:rFonts w:hint="cs"/>
          <w:rtl/>
        </w:rPr>
        <w:t xml:space="preserve"> سوره </w:t>
      </w:r>
      <w:r>
        <w:rPr>
          <w:rFonts w:hint="cs"/>
          <w:rtl/>
        </w:rPr>
        <w:t>دیگری را بخواند، فراموش کرد و</w:t>
      </w:r>
      <w:r w:rsidR="005209DA">
        <w:rPr>
          <w:rFonts w:hint="cs"/>
          <w:rtl/>
        </w:rPr>
        <w:t xml:space="preserve"> سوره </w:t>
      </w:r>
      <w:r>
        <w:rPr>
          <w:rFonts w:hint="cs"/>
          <w:rtl/>
        </w:rPr>
        <w:t>توحید خواند و ما به اولویت و به فحوی گفته ایم که کسی که می خواست</w:t>
      </w:r>
      <w:r w:rsidR="005209DA">
        <w:rPr>
          <w:rFonts w:hint="cs"/>
          <w:rtl/>
        </w:rPr>
        <w:t xml:space="preserve"> سوره </w:t>
      </w:r>
      <w:r>
        <w:rPr>
          <w:rFonts w:hint="cs"/>
          <w:rtl/>
        </w:rPr>
        <w:t>دیگری را بخواند و فراموش کرد که توحید را بخواند، حق عدول از توحید ندارد، چه برسد به کسی که عمدا</w:t>
      </w:r>
      <w:r w:rsidR="005209DA">
        <w:rPr>
          <w:rFonts w:hint="cs"/>
          <w:rtl/>
        </w:rPr>
        <w:t xml:space="preserve"> سوره </w:t>
      </w:r>
      <w:r>
        <w:rPr>
          <w:rFonts w:hint="cs"/>
          <w:rtl/>
        </w:rPr>
        <w:t xml:space="preserve">توحید را شروع کند به طریق اولی حق عدول ندارد، پس استفاده حکم عمد از این صحیحه به دلالت التزامیه و فحوی بوده است و مدلول مطابقی روایت، فرض نسیان است. </w:t>
      </w:r>
    </w:p>
    <w:p w14:paraId="723F92B3" w14:textId="2E485109" w:rsidR="00FF69A1" w:rsidRDefault="00FF69A1" w:rsidP="00FF69A1">
      <w:pPr>
        <w:jc w:val="both"/>
        <w:rPr>
          <w:rtl/>
        </w:rPr>
      </w:pPr>
      <w:r>
        <w:rPr>
          <w:rFonts w:hint="cs"/>
          <w:rtl/>
        </w:rPr>
        <w:t>صحیحه محمد بن مسلم و امثال آن</w:t>
      </w:r>
      <w:r w:rsidR="005748BA">
        <w:t xml:space="preserve"> </w:t>
      </w:r>
      <w:r w:rsidR="005748BA">
        <w:rPr>
          <w:rFonts w:hint="cs"/>
          <w:rtl/>
        </w:rPr>
        <w:t xml:space="preserve"> مثل روایت عبید بن زرارۀ</w:t>
      </w:r>
      <w:r>
        <w:rPr>
          <w:rFonts w:hint="cs"/>
          <w:rtl/>
        </w:rPr>
        <w:t xml:space="preserve"> در روز جمعه چنین است: </w:t>
      </w:r>
    </w:p>
    <w:p w14:paraId="0BEBCF99" w14:textId="33DA5DDD" w:rsidR="00FF69A1" w:rsidRDefault="00FF69A1" w:rsidP="00C602C0">
      <w:pPr>
        <w:pStyle w:val="ListParagraph"/>
        <w:jc w:val="both"/>
        <w:rPr>
          <w:rtl/>
        </w:rPr>
      </w:pPr>
      <w:r>
        <w:rPr>
          <w:rFonts w:hint="cs"/>
          <w:rtl/>
        </w:rPr>
        <w:t>«</w:t>
      </w:r>
      <w:r w:rsidR="005748BA" w:rsidRPr="005748BA">
        <w:rPr>
          <w:rtl/>
        </w:rPr>
        <w:t xml:space="preserve"> </w:t>
      </w:r>
      <w:r w:rsidR="005748BA">
        <w:rPr>
          <w:rtl/>
        </w:rPr>
        <w:t xml:space="preserve">عَنْهُ عَنْ صَفْوَانَ عَنْ عَبْدِ اللَّهِ بْنِ بُكَيْرٍ عَنْ عُبَيْدِ بْنِ زُرَارَةَ قَالَ: </w:t>
      </w:r>
      <w:r w:rsidR="005748BA" w:rsidRPr="005748BA">
        <w:rPr>
          <w:color w:val="008000"/>
          <w:rtl/>
        </w:rPr>
        <w:t>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sidR="005748BA">
        <w:rPr>
          <w:rFonts w:hint="cs"/>
          <w:rtl/>
        </w:rPr>
        <w:t>»</w:t>
      </w:r>
      <w:r w:rsidR="005748BA">
        <w:rPr>
          <w:rtl/>
        </w:rPr>
        <w:t>.</w:t>
      </w:r>
      <w:r w:rsidR="00C602C0">
        <w:rPr>
          <w:rStyle w:val="FootnoteReference"/>
          <w:rtl/>
        </w:rPr>
        <w:footnoteReference w:id="9"/>
      </w:r>
    </w:p>
    <w:p w14:paraId="7087C9B7" w14:textId="05E29982" w:rsidR="00FF69A1" w:rsidRDefault="0022178B" w:rsidP="00FF69A1">
      <w:pPr>
        <w:jc w:val="both"/>
        <w:rPr>
          <w:rtl/>
        </w:rPr>
      </w:pPr>
      <w:r>
        <w:rPr>
          <w:rFonts w:hint="cs"/>
          <w:rtl/>
        </w:rPr>
        <w:t xml:space="preserve">این روایات </w:t>
      </w:r>
      <w:r w:rsidR="00FF69A1">
        <w:rPr>
          <w:rFonts w:hint="cs"/>
          <w:rtl/>
        </w:rPr>
        <w:t>مدلول مطابقی صحیحه عمرو بن أبی نصر را که عدم جواز عدول از توحید و کافرون بود، تخصیص زده اند و می رسانند که اگر کسی در روز جمعه خواست</w:t>
      </w:r>
      <w:r w:rsidR="005209DA">
        <w:rPr>
          <w:rFonts w:hint="cs"/>
          <w:rtl/>
        </w:rPr>
        <w:t xml:space="preserve"> سوره </w:t>
      </w:r>
      <w:r w:rsidR="00FF69A1">
        <w:rPr>
          <w:rFonts w:hint="cs"/>
          <w:rtl/>
        </w:rPr>
        <w:t>جمعه بخواند ولی اشتباها توحید خواند، حق عدول دارد و</w:t>
      </w:r>
      <w:r w:rsidRPr="0022178B">
        <w:rPr>
          <w:rFonts w:hint="cs"/>
          <w:rtl/>
        </w:rPr>
        <w:t xml:space="preserve"> </w:t>
      </w:r>
      <w:r>
        <w:rPr>
          <w:rFonts w:hint="cs"/>
          <w:rtl/>
        </w:rPr>
        <w:t>بعد از اینکه مدلول مطابقی آن در روز جمعه از کار افتاد،</w:t>
      </w:r>
      <w:r w:rsidR="00FF69A1">
        <w:rPr>
          <w:rFonts w:hint="cs"/>
          <w:rtl/>
        </w:rPr>
        <w:t xml:space="preserve"> </w:t>
      </w:r>
      <w:r>
        <w:rPr>
          <w:rFonts w:hint="cs"/>
          <w:rtl/>
        </w:rPr>
        <w:t xml:space="preserve">نمی توان </w:t>
      </w:r>
      <w:r w:rsidR="00FF69A1">
        <w:rPr>
          <w:rFonts w:hint="cs"/>
          <w:rtl/>
        </w:rPr>
        <w:t>به مدلول التزامی صحیحه ابن ابی نصر تمسک ک</w:t>
      </w:r>
      <w:r>
        <w:rPr>
          <w:rFonts w:hint="cs"/>
          <w:rtl/>
        </w:rPr>
        <w:t>رد</w:t>
      </w:r>
      <w:r w:rsidR="00FF69A1">
        <w:rPr>
          <w:rFonts w:hint="cs"/>
          <w:rtl/>
        </w:rPr>
        <w:t>. مدلول مطابقی ابن ابی نصر این بود که کسی که می خواست</w:t>
      </w:r>
      <w:r w:rsidR="005209DA">
        <w:rPr>
          <w:rFonts w:hint="cs"/>
          <w:rtl/>
        </w:rPr>
        <w:t xml:space="preserve"> سوره </w:t>
      </w:r>
      <w:r w:rsidR="00FF69A1">
        <w:rPr>
          <w:rFonts w:hint="cs"/>
          <w:rtl/>
        </w:rPr>
        <w:t>جمعه بخواند و اشتباها</w:t>
      </w:r>
      <w:r w:rsidR="005209DA">
        <w:rPr>
          <w:rFonts w:hint="cs"/>
          <w:rtl/>
        </w:rPr>
        <w:t xml:space="preserve"> سوره </w:t>
      </w:r>
      <w:r w:rsidR="00FF69A1">
        <w:rPr>
          <w:rFonts w:hint="cs"/>
          <w:rtl/>
        </w:rPr>
        <w:t>توحید خواند، حق عدول ندارد، دیگر نمی توان بعد از تخصیص آن در مورد روز جمعه نماز جمعه به فحوای صحیحه ابن ابی نصر و مدلول التزامی آن تمسک ک</w:t>
      </w:r>
      <w:r>
        <w:rPr>
          <w:rFonts w:hint="cs"/>
          <w:rtl/>
        </w:rPr>
        <w:t>رد</w:t>
      </w:r>
      <w:r w:rsidR="00FF69A1">
        <w:rPr>
          <w:rFonts w:hint="cs"/>
          <w:rtl/>
        </w:rPr>
        <w:t xml:space="preserve"> که می گفت در فرض نسیان که جایز نیست، در فرض عمد به طریق اولی جایز می شود. چون در فرض نسیان مدلول مطابقی از کار افتاده بود و دیگر مدلول التزامی قابل استدلال نیست. </w:t>
      </w:r>
    </w:p>
    <w:p w14:paraId="245266F8" w14:textId="3AE1F096" w:rsidR="00FF69A1" w:rsidRDefault="00FF69A1" w:rsidP="00FF69A1">
      <w:pPr>
        <w:jc w:val="both"/>
        <w:rPr>
          <w:rtl/>
        </w:rPr>
      </w:pPr>
      <w:r>
        <w:rPr>
          <w:rFonts w:hint="cs"/>
          <w:rtl/>
        </w:rPr>
        <w:t>بنابراین آیت الله سیستانی معتقدند که گرچه روایت علی بن جعفر به عنوان دلیل بر اینکه در فرض عمد نیز می توان از توحید به جمعه عدول کرد،</w:t>
      </w:r>
      <w:r w:rsidR="00000F8E">
        <w:rPr>
          <w:rFonts w:hint="cs"/>
          <w:rtl/>
        </w:rPr>
        <w:t xml:space="preserve"> مورد قبول نیست،</w:t>
      </w:r>
      <w:r>
        <w:rPr>
          <w:rFonts w:hint="cs"/>
          <w:rtl/>
        </w:rPr>
        <w:t xml:space="preserve"> اما مشکلی نداریم؛ زیرا ما</w:t>
      </w:r>
      <w:r w:rsidR="00000F8E">
        <w:rPr>
          <w:rFonts w:hint="cs"/>
          <w:rtl/>
        </w:rPr>
        <w:t xml:space="preserve"> نسبت به</w:t>
      </w:r>
      <w:r>
        <w:rPr>
          <w:rFonts w:hint="cs"/>
          <w:rtl/>
        </w:rPr>
        <w:t xml:space="preserve"> دلیل بر تحریم عدول از</w:t>
      </w:r>
      <w:r w:rsidR="005209DA">
        <w:rPr>
          <w:rFonts w:hint="cs"/>
          <w:rtl/>
        </w:rPr>
        <w:t xml:space="preserve"> سوره </w:t>
      </w:r>
      <w:r>
        <w:rPr>
          <w:rFonts w:hint="cs"/>
          <w:rtl/>
        </w:rPr>
        <w:t xml:space="preserve">کافرون و توحید به سایر سور نیز می گوییم مختص به فرض نسیان است و ما با دلالت التزامی عمد را می فهمیم وقتی دلالت تطابقی </w:t>
      </w:r>
      <w:r w:rsidR="00000F8E">
        <w:rPr>
          <w:rFonts w:hint="cs"/>
          <w:rtl/>
        </w:rPr>
        <w:t xml:space="preserve">از حجبت </w:t>
      </w:r>
      <w:r>
        <w:rPr>
          <w:rFonts w:hint="cs"/>
          <w:rtl/>
        </w:rPr>
        <w:t>افتاد، دیگر به</w:t>
      </w:r>
      <w:r w:rsidR="00000F8E">
        <w:rPr>
          <w:rFonts w:hint="cs"/>
          <w:rtl/>
        </w:rPr>
        <w:t xml:space="preserve"> دلالت</w:t>
      </w:r>
      <w:r>
        <w:rPr>
          <w:rFonts w:hint="cs"/>
          <w:rtl/>
        </w:rPr>
        <w:t xml:space="preserve"> التزامی نمی توان تمسک کرد، لذا رجوع به قاعده اولیه می شود که جواز عدول را می رساند. بنابراین ولو عمدا کسی</w:t>
      </w:r>
      <w:r w:rsidR="005209DA">
        <w:rPr>
          <w:rFonts w:hint="cs"/>
          <w:rtl/>
        </w:rPr>
        <w:t xml:space="preserve"> سوره </w:t>
      </w:r>
      <w:r>
        <w:rPr>
          <w:rFonts w:hint="cs"/>
          <w:rtl/>
        </w:rPr>
        <w:t xml:space="preserve">توحید یا کافرون را شروع کرده باشد، می تواند عدول کند. </w:t>
      </w:r>
    </w:p>
    <w:p w14:paraId="08450ABE" w14:textId="20A44AA0" w:rsidR="00FF69A1" w:rsidRDefault="000C3394" w:rsidP="00FF69A1">
      <w:pPr>
        <w:jc w:val="both"/>
        <w:rPr>
          <w:rtl/>
        </w:rPr>
      </w:pPr>
      <w:r>
        <w:rPr>
          <w:rFonts w:hint="cs"/>
          <w:rtl/>
        </w:rPr>
        <w:t xml:space="preserve">سپس </w:t>
      </w:r>
      <w:r w:rsidR="00FF69A1">
        <w:rPr>
          <w:rFonts w:hint="cs"/>
          <w:rtl/>
        </w:rPr>
        <w:t xml:space="preserve">ایشان فرموده اند: این بیان ما مبتنی بر مطلبی است که سابق گفته ایم که یک روایتی از حلبی نقل شده است که گرچه متن آن شامل عمد نیز به دلالت تطابقی می شود، ولی از نظر سندی مورد پذیرش نبود. روایت حلبی چنین است: </w:t>
      </w:r>
    </w:p>
    <w:p w14:paraId="5BB9DBE9" w14:textId="6EE4755B" w:rsidR="00FF69A1" w:rsidRDefault="00FF69A1" w:rsidP="00970BDA">
      <w:pPr>
        <w:pStyle w:val="ListParagraph"/>
        <w:jc w:val="both"/>
        <w:rPr>
          <w:rtl/>
        </w:rPr>
      </w:pPr>
      <w:r>
        <w:rPr>
          <w:rFonts w:hint="cs"/>
          <w:rtl/>
        </w:rPr>
        <w:t>«</w:t>
      </w:r>
      <w:r w:rsidR="00970BDA" w:rsidRPr="00970BDA">
        <w:rPr>
          <w:rtl/>
        </w:rPr>
        <w:t xml:space="preserve"> أَحْمَدُ بْنُ مُحَمَّدِ بْنِ عِيسَى عَنِ ابْنِ مُسْكَانَ عَنِ الْحَلَبِيِّ قَالَ: قُلْتُ </w:t>
      </w:r>
      <w:r w:rsidR="00970BDA" w:rsidRPr="00970BDA">
        <w:rPr>
          <w:color w:val="008000"/>
          <w:rtl/>
        </w:rPr>
        <w:t>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00970BDA" w:rsidRPr="00970BDA">
        <w:rPr>
          <w:rFonts w:hint="cs"/>
          <w:color w:val="008000"/>
          <w:rtl/>
        </w:rPr>
        <w:t>»</w:t>
      </w:r>
      <w:r w:rsidR="00970BDA">
        <w:rPr>
          <w:rStyle w:val="FootnoteReference"/>
          <w:color w:val="008000"/>
          <w:rtl/>
        </w:rPr>
        <w:footnoteReference w:id="10"/>
      </w:r>
    </w:p>
    <w:p w14:paraId="45B543EF" w14:textId="1E009C1A" w:rsidR="00013828" w:rsidRDefault="00FF69A1" w:rsidP="00FF69A1">
      <w:pPr>
        <w:jc w:val="both"/>
        <w:rPr>
          <w:rtl/>
        </w:rPr>
      </w:pPr>
      <w:r>
        <w:rPr>
          <w:rFonts w:hint="cs"/>
          <w:rtl/>
        </w:rPr>
        <w:t xml:space="preserve">  ایشان فرموده اند: اگر سند این روایت تصحیح بشود، اختصاص به ناسی ندارد و به دلالت تطابقی شامل فرض عمد نیز می شود که عدول از توحید و کافرون جایز نباشد؛ زیرا عدم جواز را مطلق می رساند، أعم از اینکه این دو</w:t>
      </w:r>
      <w:r w:rsidR="005209DA">
        <w:rPr>
          <w:rFonts w:hint="cs"/>
          <w:rtl/>
        </w:rPr>
        <w:t xml:space="preserve"> سوره </w:t>
      </w:r>
      <w:r>
        <w:rPr>
          <w:rFonts w:hint="cs"/>
          <w:rtl/>
        </w:rPr>
        <w:t>سهوا یا عمدا اختیار شده باشد. قدر متیقن روایت صورت عمد است ولی ناسی را نیز می گیرد، حال ممکن است کسی بگوید اصلا فرض ناسی را نمی گیرد، باز به مطلوب رسیده اند؛ زیرا مهم این است که یک دلالت تطابقی پیدا کرده اند که عدول در فرض عمد را جایز نمی داند؛ از این رو اگر کسی مثل محقق خویی این روایت را قبول کند، تنها راه حل مشکل ایشان این است که سند روایت علی بن جعفر را درست کند تا روایت علی بن جعفر مخصص این روایت شود. اما آیت الله سیستانی با اینکه روایت علی بن جعفر را قبول ندارند ولی مشکلی ندارند؛ زیرا روایت حلبی را دارای مشکل سندی می دانند؛ زیرا احمد بن محمد بن عیسی نمی تواند بلافاصله از ابن مسکان نقل کند؛ زیرا ابن مسکان در طبقه رابعه و ابن عیسی در طبقه سادسه است و نمی تواند از وی نقل کند. اشکال دیگری نیز که ایشان داشت این بود که «من افتتح سورۀ</w:t>
      </w:r>
      <w:r w:rsidR="00970BDA">
        <w:rPr>
          <w:rFonts w:hint="cs"/>
          <w:rtl/>
        </w:rPr>
        <w:t>»</w:t>
      </w:r>
      <w:r>
        <w:rPr>
          <w:rFonts w:hint="cs"/>
          <w:rtl/>
        </w:rPr>
        <w:t xml:space="preserve"> که در ذیل آمده، با توجه به اینکه در یک روایت دیگری از حلبی نیز مشابه دارد، احتمال می رود که اصحاب کتب حدیث آن روایت حلبی را ذیل این روایت گذاشته باشند و این روایت مستقله ای نیست و آن روایت دیگر حلبی را می بینیم که در فرض نسیان است که شخص اراده</w:t>
      </w:r>
      <w:r w:rsidR="005209DA">
        <w:rPr>
          <w:rFonts w:hint="cs"/>
          <w:rtl/>
        </w:rPr>
        <w:t xml:space="preserve"> سوره </w:t>
      </w:r>
      <w:r>
        <w:rPr>
          <w:rFonts w:hint="cs"/>
          <w:rtl/>
        </w:rPr>
        <w:t>دیگری را داشت، ولی توحید خوانده شد. متن آن روایت حلبی چنین است:</w:t>
      </w:r>
    </w:p>
    <w:p w14:paraId="04365F07" w14:textId="5D29535E" w:rsidR="00FF69A1" w:rsidRDefault="00FF69A1" w:rsidP="00C60A55">
      <w:pPr>
        <w:pStyle w:val="ListParagraph"/>
        <w:jc w:val="both"/>
        <w:rPr>
          <w:rtl/>
        </w:rPr>
      </w:pPr>
      <w:r>
        <w:rPr>
          <w:rFonts w:hint="cs"/>
          <w:rtl/>
        </w:rPr>
        <w:t xml:space="preserve"> «</w:t>
      </w:r>
      <w:r w:rsidR="00013828" w:rsidRPr="00013828">
        <w:rPr>
          <w:rtl/>
        </w:rPr>
        <w:t xml:space="preserve">الْحُسَيْنُ بْنُ سَعِيدٍ عَنْ فَضَالَةَ عَنْ حُسَيْنٍ عَنِ ابْنِ مُسْكَانَ وَ مُحَمَّدِ بْنِ سِنَانٍ عَنِ ابْنِ مُسْكَانَ عَنِ الْحَلَبِيِّ </w:t>
      </w:r>
      <w:r w:rsidR="00013828" w:rsidRPr="00013828">
        <w:rPr>
          <w:color w:val="008000"/>
          <w:rtl/>
        </w:rPr>
        <w:t>عَنْ أَبِي عَبْدِ اللَّهِ ع قَالَ: إِذَا افْتَتَحْتَ صَلَاتَكَ بِ قُلْ هُوَ اللَّهُ أَحَدٌ وَ أَنْتَ تُرِيدُ أَنْ تَقْرَأَ بِغَيْرِهَا فَامْضِ فِيهَا وَ لَا تَرْجِعْ إِلَّا أَنْ تَكُونَ فِي يَوْمِ جُمُعَةٍ فَإِنَّكَ تَرْجِعُ إِلَى الْجُمُعَةِ وَ الْمُنَافِقِينَ مِنْهَا</w:t>
      </w:r>
      <w:r w:rsidR="00013828">
        <w:rPr>
          <w:rFonts w:hint="cs"/>
          <w:rtl/>
        </w:rPr>
        <w:t>»</w:t>
      </w:r>
      <w:r w:rsidR="00013828">
        <w:rPr>
          <w:rStyle w:val="FootnoteReference"/>
          <w:rtl/>
        </w:rPr>
        <w:footnoteReference w:id="11"/>
      </w:r>
    </w:p>
    <w:p w14:paraId="34E839CE" w14:textId="77777777" w:rsidR="00FF69A1" w:rsidRDefault="00FF69A1" w:rsidP="00FF69A1">
      <w:pPr>
        <w:jc w:val="both"/>
        <w:rPr>
          <w:rtl/>
        </w:rPr>
      </w:pPr>
      <w:r>
        <w:rPr>
          <w:rFonts w:hint="cs"/>
          <w:rtl/>
        </w:rPr>
        <w:t xml:space="preserve">بنابراین آیت الله سیستانی می فرماید شاید اصحاب کتب حدیث این روایت را در ادامه قبلی گذاشته اند نه اینکه دو روایت از امام علیه السلام باشد، پس متن معتبری دال بر تحریم عدول از توحید و کافرون به صورت مطلق که شامل فرض عمد نیز بشود، یافت نشد. بنابراین مشکلی از منظر آیت الله سیستانی وجود ندارد و مسئله قابل حل است. </w:t>
      </w:r>
    </w:p>
    <w:p w14:paraId="65878465" w14:textId="0A5C66C7" w:rsidR="00E2740A" w:rsidRDefault="00FF69A1" w:rsidP="00FF69A1">
      <w:pPr>
        <w:jc w:val="both"/>
        <w:rPr>
          <w:rtl/>
        </w:rPr>
      </w:pPr>
      <w:r>
        <w:rPr>
          <w:rFonts w:hint="cs"/>
          <w:rtl/>
        </w:rPr>
        <w:t>ما نیازی به این بحث نداریم؛ زیرا گفتیم بعید نیست وثوق پیدا کنیم که روایت علی بن جعفر در کتاب علی بن جعفر بوده است</w:t>
      </w:r>
      <w:r w:rsidR="00E2740A">
        <w:rPr>
          <w:rFonts w:hint="cs"/>
          <w:rtl/>
        </w:rPr>
        <w:t>.</w:t>
      </w:r>
    </w:p>
    <w:p w14:paraId="15DFA23C" w14:textId="29A940D7" w:rsidR="00C60A55" w:rsidRDefault="00C60A55" w:rsidP="00C60A55">
      <w:pPr>
        <w:pStyle w:val="Heading4"/>
        <w:rPr>
          <w:rtl/>
        </w:rPr>
      </w:pPr>
      <w:r>
        <w:rPr>
          <w:rFonts w:hint="cs"/>
          <w:rtl/>
        </w:rPr>
        <w:t>دفع اشکال در باب لزوم نسبت سنجی بین روایت علی بن جعفر و حلبی</w:t>
      </w:r>
    </w:p>
    <w:p w14:paraId="4BFE5865" w14:textId="485898E9" w:rsidR="00FF69A1" w:rsidRDefault="00FF69A1" w:rsidP="00FF69A1">
      <w:pPr>
        <w:jc w:val="both"/>
        <w:rPr>
          <w:rtl/>
        </w:rPr>
      </w:pPr>
      <w:r>
        <w:rPr>
          <w:rFonts w:hint="cs"/>
          <w:rtl/>
        </w:rPr>
        <w:t xml:space="preserve"> ممکن است </w:t>
      </w:r>
      <w:r w:rsidR="000053C7">
        <w:rPr>
          <w:rFonts w:hint="cs"/>
          <w:rtl/>
        </w:rPr>
        <w:t xml:space="preserve">در مقام اشکال گفته شود </w:t>
      </w:r>
      <w:r>
        <w:rPr>
          <w:rFonts w:hint="cs"/>
          <w:rtl/>
        </w:rPr>
        <w:t>که روایت علی بن جعفر</w:t>
      </w:r>
      <w:r w:rsidR="000053C7">
        <w:rPr>
          <w:rFonts w:hint="cs"/>
          <w:rtl/>
        </w:rPr>
        <w:t xml:space="preserve"> و حلبی</w:t>
      </w:r>
      <w:r>
        <w:rPr>
          <w:rFonts w:hint="cs"/>
          <w:rtl/>
        </w:rPr>
        <w:t xml:space="preserve"> وقتی از نظر سندی مورد پذیرش باش</w:t>
      </w:r>
      <w:r w:rsidR="000053C7">
        <w:rPr>
          <w:rFonts w:hint="cs"/>
          <w:rtl/>
        </w:rPr>
        <w:t>ن</w:t>
      </w:r>
      <w:r>
        <w:rPr>
          <w:rFonts w:hint="cs"/>
          <w:rtl/>
        </w:rPr>
        <w:t>د، باید نسبت بین این ها دیده شود</w:t>
      </w:r>
      <w:r w:rsidR="000053C7">
        <w:rPr>
          <w:rFonts w:hint="cs"/>
          <w:rtl/>
        </w:rPr>
        <w:t>؛</w:t>
      </w:r>
      <w:r>
        <w:rPr>
          <w:rFonts w:hint="cs"/>
          <w:rtl/>
        </w:rPr>
        <w:t xml:space="preserve"> مثلا محقق خویی هر دو روایت را از نظر سندی قبول دارند، باید نسبت آن ها سنجیده شود، روایت حلبی مختص به فرض عمد است که </w:t>
      </w:r>
      <w:r w:rsidRPr="007D6FA9">
        <w:rPr>
          <w:rFonts w:hint="cs"/>
          <w:rtl/>
        </w:rPr>
        <w:t>تعبیر آن «</w:t>
      </w:r>
      <w:r w:rsidR="00E4119C" w:rsidRPr="00970BDA">
        <w:rPr>
          <w:color w:val="008000"/>
          <w:rtl/>
        </w:rPr>
        <w:t>وَ مَنِ افْتَتَحَ بِسُورَةٍ ثُمَّ بَدَا لَهُ أَنْ يَرْجِعَ فِي سُورَةٍ غَيْرِهَا</w:t>
      </w:r>
      <w:r w:rsidRPr="007D6FA9">
        <w:rPr>
          <w:rFonts w:hint="cs"/>
          <w:rtl/>
        </w:rPr>
        <w:t>» است</w:t>
      </w:r>
      <w:r>
        <w:rPr>
          <w:rFonts w:hint="cs"/>
          <w:rtl/>
        </w:rPr>
        <w:t>،</w:t>
      </w:r>
      <w:r w:rsidR="00EE17C1">
        <w:rPr>
          <w:rFonts w:hint="cs"/>
          <w:rtl/>
        </w:rPr>
        <w:t xml:space="preserve"> </w:t>
      </w:r>
      <w:r>
        <w:rPr>
          <w:rFonts w:hint="cs"/>
          <w:rtl/>
        </w:rPr>
        <w:t>ولی اینکه می گوید از</w:t>
      </w:r>
      <w:r w:rsidR="005209DA">
        <w:rPr>
          <w:rFonts w:hint="cs"/>
          <w:rtl/>
        </w:rPr>
        <w:t xml:space="preserve"> سوره </w:t>
      </w:r>
      <w:r>
        <w:rPr>
          <w:rFonts w:hint="cs"/>
          <w:rtl/>
        </w:rPr>
        <w:t xml:space="preserve">توحید و کافرون نمی تواند عدول به غیر کند، از حیث اینکه شامل روز جمعه می شود بالإطلاق است، پس از یک حیث اخص است، از یک حیث اعم است و مورد آن مختص به روز جمعه نیست. صحیحه علی بن جعفر در خصوص روز جمعه است و از این حیث اخص است، ولی از </w:t>
      </w:r>
      <w:r w:rsidR="009B13DF">
        <w:rPr>
          <w:rFonts w:hint="cs"/>
          <w:rtl/>
        </w:rPr>
        <w:t>حیث عمد و نسیان</w:t>
      </w:r>
      <w:r>
        <w:rPr>
          <w:rFonts w:hint="cs"/>
          <w:rtl/>
        </w:rPr>
        <w:t>، أعم است</w:t>
      </w:r>
      <w:r w:rsidR="00D56BA2">
        <w:rPr>
          <w:rFonts w:hint="cs"/>
          <w:rtl/>
        </w:rPr>
        <w:t xml:space="preserve"> و اطلاق دارد</w:t>
      </w:r>
      <w:r>
        <w:rPr>
          <w:rFonts w:hint="cs"/>
          <w:rtl/>
        </w:rPr>
        <w:t>. پس در مورد متعمد در روز جمعه با هم تعارض می کنند. روایت علی بن جعفر اطلاق دارد و می گوید عدول جایز است، حتی اگر عمدا</w:t>
      </w:r>
      <w:r w:rsidR="005209DA">
        <w:rPr>
          <w:rFonts w:hint="cs"/>
          <w:rtl/>
        </w:rPr>
        <w:t xml:space="preserve"> سوره </w:t>
      </w:r>
      <w:r>
        <w:rPr>
          <w:rFonts w:hint="cs"/>
          <w:rtl/>
        </w:rPr>
        <w:t>توحید شروع شده باشد، ولی اطلاق روایت حلبی که محقق خویی سند آن را صحیح می داند، دال بر عدم جواز عدول است و فرض آن نیز در صورت عمد است، از حیث روز جمعه بودن نیز اطلاق دارد. بعد از تعارض باید رجوع به عام فوقانی شود. اگر عام فوقانی دال بر حرمت عدول از</w:t>
      </w:r>
      <w:r w:rsidR="005209DA">
        <w:rPr>
          <w:rFonts w:hint="cs"/>
          <w:rtl/>
        </w:rPr>
        <w:t xml:space="preserve"> سوره </w:t>
      </w:r>
      <w:r>
        <w:rPr>
          <w:rFonts w:hint="cs"/>
          <w:rtl/>
        </w:rPr>
        <w:t>توحید و کافرون مطلقا</w:t>
      </w:r>
      <w:r w:rsidR="00D56BA2">
        <w:rPr>
          <w:rFonts w:hint="cs"/>
          <w:rtl/>
        </w:rPr>
        <w:t xml:space="preserve"> موجود باشد</w:t>
      </w:r>
      <w:r>
        <w:rPr>
          <w:rFonts w:hint="cs"/>
          <w:rtl/>
        </w:rPr>
        <w:t>، أخذ می شود. ظاهر این است که در مقام</w:t>
      </w:r>
      <w:r w:rsidR="00D56BA2">
        <w:rPr>
          <w:rFonts w:hint="cs"/>
          <w:rtl/>
        </w:rPr>
        <w:t>،</w:t>
      </w:r>
      <w:r>
        <w:rPr>
          <w:rFonts w:hint="cs"/>
          <w:rtl/>
        </w:rPr>
        <w:t xml:space="preserve"> عام فوقانی وجود ندارد، و چون عام فوقانی وجود ندارد که به طور مطلق حرمت عدول را برساند، رجوع به اصل عملی می شود. ما که اصل عملی را جواز عدول می دانیم مشکلی نداریم، ولی کسانی که مقتضای اصل عملی را حرمت می دانند، دچار مشکل می شوند. </w:t>
      </w:r>
    </w:p>
    <w:p w14:paraId="4D08F24E" w14:textId="7B581C39" w:rsidR="00492637" w:rsidRDefault="00492637" w:rsidP="00492637">
      <w:pPr>
        <w:pStyle w:val="Heading3"/>
        <w:rPr>
          <w:rtl/>
        </w:rPr>
      </w:pPr>
      <w:bookmarkStart w:id="7" w:name="_Toc116138946"/>
      <w:r>
        <w:rPr>
          <w:rFonts w:hint="cs"/>
          <w:rtl/>
        </w:rPr>
        <w:t>خلاصه نظریه مختار</w:t>
      </w:r>
      <w:bookmarkEnd w:id="7"/>
      <w:r>
        <w:rPr>
          <w:rFonts w:hint="cs"/>
          <w:rtl/>
        </w:rPr>
        <w:t xml:space="preserve"> </w:t>
      </w:r>
    </w:p>
    <w:p w14:paraId="7791FC3F" w14:textId="30AF2ED7" w:rsidR="00FF69A1" w:rsidRDefault="00FF69A1" w:rsidP="00672289">
      <w:pPr>
        <w:jc w:val="both"/>
        <w:rPr>
          <w:rtl/>
        </w:rPr>
      </w:pPr>
      <w:r>
        <w:rPr>
          <w:rFonts w:hint="cs"/>
          <w:rtl/>
        </w:rPr>
        <w:t>خلاصه عرض ما در این مسئله 16 چنین شد که برخلاف آنچه محقق خویی در این بحث ادعا کردند که بعد از تعارض روایات، بلافاصله به اصل عملی جواز عدول مراجعه می شود</w:t>
      </w:r>
      <w:r w:rsidR="000011EF">
        <w:rPr>
          <w:rStyle w:val="FootnoteReference"/>
          <w:rtl/>
        </w:rPr>
        <w:footnoteReference w:id="12"/>
      </w:r>
      <w:r>
        <w:rPr>
          <w:rFonts w:hint="cs"/>
          <w:rtl/>
        </w:rPr>
        <w:t>، در صدد یافتن عام فوقانی بودیم که در عمده این بحث عام فوقانی دال بر حرمت عدول وجود داشت، لکن در خصوص این مورد اخیر، عدول از</w:t>
      </w:r>
      <w:r w:rsidR="005209DA">
        <w:rPr>
          <w:rFonts w:hint="cs"/>
          <w:rtl/>
        </w:rPr>
        <w:t xml:space="preserve"> سوره </w:t>
      </w:r>
      <w:r>
        <w:rPr>
          <w:rFonts w:hint="cs"/>
          <w:rtl/>
        </w:rPr>
        <w:t>جحد و توحید در نماز جمعه به سور</w:t>
      </w:r>
      <w:r w:rsidR="00000F8E">
        <w:rPr>
          <w:rFonts w:hint="cs"/>
          <w:rtl/>
        </w:rPr>
        <w:t>ه</w:t>
      </w:r>
      <w:r>
        <w:rPr>
          <w:rFonts w:hint="cs"/>
          <w:rtl/>
        </w:rPr>
        <w:t xml:space="preserve"> جمعه و منافقین، بعد از تعارض عام فوقانی وجود ندارد؛ زیرا عام فوقانی نوعا همان صحیحه ابن ابی نصر بود که در اینجا کارآمد نیست؛ زیرا در مورد ناسی است و نمی توان از آن </w:t>
      </w:r>
      <w:r w:rsidR="00AB57E4">
        <w:rPr>
          <w:rFonts w:hint="cs"/>
          <w:rtl/>
        </w:rPr>
        <w:t>حکم</w:t>
      </w:r>
      <w:r>
        <w:rPr>
          <w:rFonts w:hint="cs"/>
          <w:rtl/>
        </w:rPr>
        <w:t xml:space="preserve"> عامد را فهمید، مگر اینکه به طریق اولویت استفاده شود که</w:t>
      </w:r>
      <w:r w:rsidR="00AB57E4">
        <w:rPr>
          <w:rFonts w:hint="cs"/>
          <w:rtl/>
        </w:rPr>
        <w:t xml:space="preserve"> </w:t>
      </w:r>
      <w:r w:rsidR="00672289" w:rsidRPr="00672289">
        <w:rPr>
          <w:rtl/>
        </w:rPr>
        <w:t>ا</w:t>
      </w:r>
      <w:r w:rsidR="00672289" w:rsidRPr="00672289">
        <w:rPr>
          <w:rFonts w:hint="cs"/>
          <w:rtl/>
        </w:rPr>
        <w:t>ی</w:t>
      </w:r>
      <w:r w:rsidR="00672289" w:rsidRPr="00672289">
        <w:rPr>
          <w:rFonts w:hint="eastAsia"/>
          <w:rtl/>
        </w:rPr>
        <w:t>ن‌جا</w:t>
      </w:r>
      <w:r w:rsidR="00672289" w:rsidRPr="00672289">
        <w:rPr>
          <w:rtl/>
        </w:rPr>
        <w:t xml:space="preserve"> بعد از ا</w:t>
      </w:r>
      <w:r w:rsidR="00672289" w:rsidRPr="00672289">
        <w:rPr>
          <w:rFonts w:hint="cs"/>
          <w:rtl/>
        </w:rPr>
        <w:t>ی</w:t>
      </w:r>
      <w:r w:rsidR="00672289" w:rsidRPr="00672289">
        <w:rPr>
          <w:rFonts w:hint="eastAsia"/>
          <w:rtl/>
        </w:rPr>
        <w:t>ن‌که</w:t>
      </w:r>
      <w:r w:rsidR="00672289" w:rsidRPr="00672289">
        <w:rPr>
          <w:rtl/>
        </w:rPr>
        <w:t xml:space="preserve"> مورد روا</w:t>
      </w:r>
      <w:r w:rsidR="00672289" w:rsidRPr="00672289">
        <w:rPr>
          <w:rFonts w:hint="cs"/>
          <w:rtl/>
        </w:rPr>
        <w:t>ی</w:t>
      </w:r>
      <w:r w:rsidR="00672289" w:rsidRPr="00672289">
        <w:rPr>
          <w:rFonts w:hint="eastAsia"/>
          <w:rtl/>
        </w:rPr>
        <w:t>ت</w:t>
      </w:r>
      <w:r w:rsidR="00672289" w:rsidRPr="00672289">
        <w:rPr>
          <w:rtl/>
        </w:rPr>
        <w:t xml:space="preserve"> عمرو بن اب</w:t>
      </w:r>
      <w:r w:rsidR="00672289" w:rsidRPr="00672289">
        <w:rPr>
          <w:rFonts w:hint="cs"/>
          <w:rtl/>
        </w:rPr>
        <w:t>ی‌</w:t>
      </w:r>
      <w:r w:rsidR="00672289" w:rsidRPr="00672289">
        <w:rPr>
          <w:rFonts w:hint="eastAsia"/>
          <w:rtl/>
        </w:rPr>
        <w:t>نصر</w:t>
      </w:r>
      <w:r w:rsidR="00672289" w:rsidRPr="00672289">
        <w:rPr>
          <w:rtl/>
        </w:rPr>
        <w:t xml:space="preserve"> در مورد ناس</w:t>
      </w:r>
      <w:r w:rsidR="00672289" w:rsidRPr="00672289">
        <w:rPr>
          <w:rFonts w:hint="cs"/>
          <w:rtl/>
        </w:rPr>
        <w:t>ی</w:t>
      </w:r>
      <w:r w:rsidR="00672289" w:rsidRPr="00672289">
        <w:rPr>
          <w:rtl/>
        </w:rPr>
        <w:t xml:space="preserve"> تخص</w:t>
      </w:r>
      <w:r w:rsidR="00672289" w:rsidRPr="00672289">
        <w:rPr>
          <w:rFonts w:hint="cs"/>
          <w:rtl/>
        </w:rPr>
        <w:t>ی</w:t>
      </w:r>
      <w:r w:rsidR="00672289" w:rsidRPr="00672289">
        <w:rPr>
          <w:rFonts w:hint="eastAsia"/>
          <w:rtl/>
        </w:rPr>
        <w:t>ص</w:t>
      </w:r>
      <w:r w:rsidR="00672289" w:rsidRPr="00672289">
        <w:rPr>
          <w:rtl/>
        </w:rPr>
        <w:t xml:space="preserve"> خورده و در روز جمعه تجو</w:t>
      </w:r>
      <w:r w:rsidR="00672289" w:rsidRPr="00672289">
        <w:rPr>
          <w:rFonts w:hint="cs"/>
          <w:rtl/>
        </w:rPr>
        <w:t>ی</w:t>
      </w:r>
      <w:r w:rsidR="00672289" w:rsidRPr="00672289">
        <w:rPr>
          <w:rFonts w:hint="eastAsia"/>
          <w:rtl/>
        </w:rPr>
        <w:t>ز</w:t>
      </w:r>
      <w:r w:rsidR="00672289" w:rsidRPr="00672289">
        <w:rPr>
          <w:rtl/>
        </w:rPr>
        <w:t xml:space="preserve"> شده عدول از سوره جحد و توح</w:t>
      </w:r>
      <w:r w:rsidR="00672289" w:rsidRPr="00672289">
        <w:rPr>
          <w:rFonts w:hint="cs"/>
          <w:rtl/>
        </w:rPr>
        <w:t>ی</w:t>
      </w:r>
      <w:r w:rsidR="00672289" w:rsidRPr="00672289">
        <w:rPr>
          <w:rFonts w:hint="eastAsia"/>
          <w:rtl/>
        </w:rPr>
        <w:t>د</w:t>
      </w:r>
      <w:r w:rsidR="00672289" w:rsidRPr="00672289">
        <w:rPr>
          <w:rtl/>
        </w:rPr>
        <w:t xml:space="preserve"> به سوره جمعه و منافق</w:t>
      </w:r>
      <w:r w:rsidR="00672289" w:rsidRPr="00672289">
        <w:rPr>
          <w:rFonts w:hint="cs"/>
          <w:rtl/>
        </w:rPr>
        <w:t>ی</w:t>
      </w:r>
      <w:r w:rsidR="00672289" w:rsidRPr="00672289">
        <w:rPr>
          <w:rFonts w:hint="eastAsia"/>
          <w:rtl/>
        </w:rPr>
        <w:t>ن،</w:t>
      </w:r>
      <w:r w:rsidR="00672289" w:rsidRPr="00672289">
        <w:rPr>
          <w:rtl/>
        </w:rPr>
        <w:t xml:space="preserve"> در مورد عامد د</w:t>
      </w:r>
      <w:r w:rsidR="00672289" w:rsidRPr="00672289">
        <w:rPr>
          <w:rFonts w:hint="cs"/>
          <w:rtl/>
        </w:rPr>
        <w:t>ی</w:t>
      </w:r>
      <w:r w:rsidR="00672289" w:rsidRPr="00672289">
        <w:rPr>
          <w:rFonts w:hint="eastAsia"/>
          <w:rtl/>
        </w:rPr>
        <w:t>گر</w:t>
      </w:r>
      <w:r w:rsidR="00672289" w:rsidRPr="00672289">
        <w:rPr>
          <w:rtl/>
        </w:rPr>
        <w:t xml:space="preserve"> ه</w:t>
      </w:r>
      <w:r w:rsidR="00672289" w:rsidRPr="00672289">
        <w:rPr>
          <w:rFonts w:hint="cs"/>
          <w:rtl/>
        </w:rPr>
        <w:t>ی</w:t>
      </w:r>
      <w:r w:rsidR="00672289" w:rsidRPr="00672289">
        <w:rPr>
          <w:rFonts w:hint="eastAsia"/>
          <w:rtl/>
        </w:rPr>
        <w:t>چ</w:t>
      </w:r>
      <w:r w:rsidR="00672289" w:rsidRPr="00672289">
        <w:rPr>
          <w:rtl/>
        </w:rPr>
        <w:t xml:space="preserve"> دل</w:t>
      </w:r>
      <w:r w:rsidR="00672289" w:rsidRPr="00672289">
        <w:rPr>
          <w:rFonts w:hint="cs"/>
          <w:rtl/>
        </w:rPr>
        <w:t>ی</w:t>
      </w:r>
      <w:r w:rsidR="00672289" w:rsidRPr="00672289">
        <w:rPr>
          <w:rFonts w:hint="eastAsia"/>
          <w:rtl/>
        </w:rPr>
        <w:t>ل</w:t>
      </w:r>
      <w:r w:rsidR="00672289" w:rsidRPr="00672289">
        <w:rPr>
          <w:rtl/>
        </w:rPr>
        <w:t xml:space="preserve"> لفظ</w:t>
      </w:r>
      <w:r w:rsidR="00672289" w:rsidRPr="00672289">
        <w:rPr>
          <w:rFonts w:hint="cs"/>
          <w:rtl/>
        </w:rPr>
        <w:t>ی</w:t>
      </w:r>
      <w:r w:rsidR="00672289" w:rsidRPr="00672289">
        <w:rPr>
          <w:rtl/>
        </w:rPr>
        <w:t xml:space="preserve"> ندار</w:t>
      </w:r>
      <w:r w:rsidR="00672289" w:rsidRPr="00672289">
        <w:rPr>
          <w:rFonts w:hint="cs"/>
          <w:rtl/>
        </w:rPr>
        <w:t>ی</w:t>
      </w:r>
      <w:r w:rsidR="00672289" w:rsidRPr="00672289">
        <w:rPr>
          <w:rFonts w:hint="eastAsia"/>
          <w:rtl/>
        </w:rPr>
        <w:t>م</w:t>
      </w:r>
      <w:r w:rsidR="00672289" w:rsidRPr="00672289">
        <w:rPr>
          <w:rtl/>
        </w:rPr>
        <w:t xml:space="preserve"> رجوع م</w:t>
      </w:r>
      <w:r w:rsidR="00672289" w:rsidRPr="00672289">
        <w:rPr>
          <w:rFonts w:hint="cs"/>
          <w:rtl/>
        </w:rPr>
        <w:t>ی‌</w:t>
      </w:r>
      <w:r w:rsidR="00672289" w:rsidRPr="00672289">
        <w:rPr>
          <w:rFonts w:hint="eastAsia"/>
          <w:rtl/>
        </w:rPr>
        <w:t>کن</w:t>
      </w:r>
      <w:r w:rsidR="00672289" w:rsidRPr="00672289">
        <w:rPr>
          <w:rFonts w:hint="cs"/>
          <w:rtl/>
        </w:rPr>
        <w:t>ی</w:t>
      </w:r>
      <w:r w:rsidR="00672289" w:rsidRPr="00672289">
        <w:rPr>
          <w:rFonts w:hint="eastAsia"/>
          <w:rtl/>
        </w:rPr>
        <w:t>م</w:t>
      </w:r>
      <w:r w:rsidR="00672289" w:rsidRPr="00672289">
        <w:rPr>
          <w:rtl/>
        </w:rPr>
        <w:t xml:space="preserve"> به ا</w:t>
      </w:r>
      <w:r w:rsidR="00672289" w:rsidRPr="00672289">
        <w:rPr>
          <w:rFonts w:hint="eastAsia"/>
          <w:rtl/>
        </w:rPr>
        <w:t>صل</w:t>
      </w:r>
      <w:r w:rsidR="00672289" w:rsidRPr="00672289">
        <w:rPr>
          <w:rtl/>
        </w:rPr>
        <w:t xml:space="preserve"> برائت از حرمت عدول و </w:t>
      </w:r>
      <w:r w:rsidR="00672289" w:rsidRPr="00672289">
        <w:rPr>
          <w:rFonts w:hint="cs"/>
          <w:rtl/>
        </w:rPr>
        <w:t>ی</w:t>
      </w:r>
      <w:r w:rsidR="00672289" w:rsidRPr="00672289">
        <w:rPr>
          <w:rFonts w:hint="eastAsia"/>
          <w:rtl/>
        </w:rPr>
        <w:t>ا</w:t>
      </w:r>
      <w:r w:rsidR="00672289" w:rsidRPr="00672289">
        <w:rPr>
          <w:rtl/>
        </w:rPr>
        <w:t xml:space="preserve"> اطلاقات اقرأ سورة کاملة که قبلا بحث شده</w:t>
      </w:r>
      <w:r w:rsidR="00672289">
        <w:rPr>
          <w:rFonts w:hint="cs"/>
          <w:rtl/>
        </w:rPr>
        <w:t xml:space="preserve"> است</w:t>
      </w:r>
      <w:r w:rsidR="00672289" w:rsidRPr="00672289">
        <w:rPr>
          <w:rtl/>
        </w:rPr>
        <w:t>.</w:t>
      </w:r>
      <w:r>
        <w:rPr>
          <w:rFonts w:hint="cs"/>
          <w:rtl/>
        </w:rPr>
        <w:t xml:space="preserve"> </w:t>
      </w:r>
    </w:p>
    <w:p w14:paraId="3686E9C2" w14:textId="6ACB5FD0" w:rsidR="00FF69A1" w:rsidRDefault="00FF69A1" w:rsidP="00FF69A1">
      <w:pPr>
        <w:jc w:val="both"/>
        <w:rPr>
          <w:rtl/>
        </w:rPr>
      </w:pPr>
      <w:r>
        <w:rPr>
          <w:rFonts w:hint="cs"/>
          <w:rtl/>
        </w:rPr>
        <w:t>این خلاصه ای که عرض شد،</w:t>
      </w:r>
      <w:r w:rsidR="00F93614">
        <w:rPr>
          <w:rFonts w:hint="cs"/>
          <w:rtl/>
        </w:rPr>
        <w:t xml:space="preserve"> تأمل بفرمایید،</w:t>
      </w:r>
      <w:r>
        <w:rPr>
          <w:rFonts w:hint="cs"/>
          <w:rtl/>
        </w:rPr>
        <w:t xml:space="preserve"> حاکم بر تمام مطالبی است که در این مسئله 16 بیان شد. </w:t>
      </w:r>
    </w:p>
    <w:p w14:paraId="70C28E77" w14:textId="7E01E6B6" w:rsidR="00FF69A1" w:rsidRDefault="00FF69A1" w:rsidP="00175CF3">
      <w:pPr>
        <w:pStyle w:val="Heading1"/>
        <w:rPr>
          <w:rtl/>
        </w:rPr>
      </w:pPr>
      <w:bookmarkStart w:id="8" w:name="_Toc116138947"/>
      <w:r>
        <w:rPr>
          <w:rFonts w:hint="cs"/>
          <w:rtl/>
        </w:rPr>
        <w:t>مسئله 17</w:t>
      </w:r>
      <w:r w:rsidR="00175CF3">
        <w:rPr>
          <w:rFonts w:hint="cs"/>
          <w:rtl/>
        </w:rPr>
        <w:t>: حکم عدول از جمعه و منافقین به سور دیگر در روز جمعه</w:t>
      </w:r>
      <w:bookmarkEnd w:id="8"/>
    </w:p>
    <w:p w14:paraId="72E06702" w14:textId="77777777" w:rsidR="00FF69A1" w:rsidRDefault="00FF69A1" w:rsidP="00FF69A1">
      <w:pPr>
        <w:jc w:val="both"/>
        <w:rPr>
          <w:rtl/>
        </w:rPr>
      </w:pPr>
      <w:r>
        <w:rPr>
          <w:rFonts w:hint="cs"/>
          <w:rtl/>
        </w:rPr>
        <w:t xml:space="preserve">سید یزدی می فرمایند: </w:t>
      </w:r>
    </w:p>
    <w:p w14:paraId="25DCBAA1" w14:textId="15DB796B" w:rsidR="00FF69A1" w:rsidRPr="00175CF3" w:rsidRDefault="00FF69A1" w:rsidP="00175CF3">
      <w:pPr>
        <w:pStyle w:val="ListParagraph"/>
        <w:jc w:val="both"/>
        <w:rPr>
          <w:color w:val="0000FF"/>
          <w:rtl/>
        </w:rPr>
      </w:pPr>
      <w:r w:rsidRPr="00175CF3">
        <w:rPr>
          <w:rFonts w:hint="cs"/>
          <w:color w:val="0000FF"/>
          <w:rtl/>
        </w:rPr>
        <w:t>«</w:t>
      </w:r>
      <w:r w:rsidR="00175CF3" w:rsidRPr="00175CF3">
        <w:rPr>
          <w:color w:val="0000FF"/>
          <w:rtl/>
        </w:rPr>
        <w:t xml:space="preserve"> الأحوط عدم العدول من الجمعة و المنافقين إلى غيرهما في يوم الجمعة</w:t>
      </w:r>
      <w:r w:rsidR="00A95AC6">
        <w:rPr>
          <w:rFonts w:hint="cs"/>
          <w:color w:val="0000FF"/>
          <w:rtl/>
        </w:rPr>
        <w:t xml:space="preserve"> </w:t>
      </w:r>
      <w:r w:rsidR="00175CF3" w:rsidRPr="00175CF3">
        <w:rPr>
          <w:color w:val="0000FF"/>
          <w:rtl/>
        </w:rPr>
        <w:t>‌و إن لم يبلغ النصف</w:t>
      </w:r>
      <w:r w:rsidR="00175CF3" w:rsidRPr="00175CF3">
        <w:rPr>
          <w:rFonts w:hint="cs"/>
          <w:color w:val="0000FF"/>
          <w:rtl/>
        </w:rPr>
        <w:t>»</w:t>
      </w:r>
      <w:r w:rsidR="00175CF3">
        <w:rPr>
          <w:rStyle w:val="FootnoteReference"/>
          <w:color w:val="0000FF"/>
          <w:rtl/>
        </w:rPr>
        <w:footnoteReference w:id="13"/>
      </w:r>
    </w:p>
    <w:p w14:paraId="1FF0728E" w14:textId="254A9AFF" w:rsidR="00FF69A1" w:rsidRDefault="00FF69A1" w:rsidP="00FF69A1">
      <w:pPr>
        <w:jc w:val="both"/>
        <w:rPr>
          <w:rtl/>
        </w:rPr>
      </w:pPr>
      <w:r>
        <w:rPr>
          <w:rFonts w:hint="cs"/>
          <w:rtl/>
        </w:rPr>
        <w:t>در نظر ایشان، احتیاط واجب این است که دیگر به</w:t>
      </w:r>
      <w:r w:rsidR="005209DA">
        <w:rPr>
          <w:rFonts w:hint="cs"/>
          <w:rtl/>
        </w:rPr>
        <w:t xml:space="preserve"> سوره </w:t>
      </w:r>
      <w:r>
        <w:rPr>
          <w:rFonts w:hint="cs"/>
          <w:rtl/>
        </w:rPr>
        <w:t>های دیگر عدول نشود؛ ولو اینکه به نصف</w:t>
      </w:r>
      <w:r w:rsidR="005209DA">
        <w:rPr>
          <w:rFonts w:hint="cs"/>
          <w:rtl/>
        </w:rPr>
        <w:t xml:space="preserve"> سوره </w:t>
      </w:r>
      <w:r>
        <w:rPr>
          <w:rFonts w:hint="cs"/>
          <w:rtl/>
        </w:rPr>
        <w:t xml:space="preserve">نرسیده باشد. این مطلب هیچ دلیلی غیر از روایت دعائم الإسلام ندارد که متن آن چنین است: </w:t>
      </w:r>
    </w:p>
    <w:p w14:paraId="666770AC" w14:textId="316E65CC" w:rsidR="00FF69A1" w:rsidRDefault="00FF69A1" w:rsidP="00793A7E">
      <w:pPr>
        <w:pStyle w:val="ListParagraph"/>
        <w:jc w:val="both"/>
        <w:rPr>
          <w:rtl/>
        </w:rPr>
      </w:pPr>
      <w:r>
        <w:rPr>
          <w:rFonts w:hint="cs"/>
          <w:rtl/>
        </w:rPr>
        <w:t>«</w:t>
      </w:r>
      <w:r w:rsidR="00793A7E">
        <w:rPr>
          <w:rtl/>
        </w:rPr>
        <w:t xml:space="preserve"> دَعَائِمُ الْإِسْلَامِ، رُوِّينَا عَنْ </w:t>
      </w:r>
      <w:r w:rsidR="00793A7E" w:rsidRPr="00793A7E">
        <w:rPr>
          <w:color w:val="008000"/>
          <w:rtl/>
        </w:rPr>
        <w:t>جَعْفَرِ بْنِ مُحَمَّدٍ ص أَنَّهُ قَالَ: مَنْ بَدَأَ بِالْقِرَاءَةِ فِي الصَّلَاةِ بَسُورَةٍ ثُمَّ رَأَى أَنْ يَتْرُكَهَا وَ يَأْخُذَ فِي غَيْرِهَا فَلَهُ ذَلِكَ مَا لَمْ يَأْخُذْ فِي نِصْفِ السُّورَةِ إِلَّا أَنْ يَكُونَ بَدَأَ بِقُلْ هُوَ اللَّهُ أَحَدٌ فَإِنَّهُ لَا يَقْطَعُهَا- وَ كَذَلِكَ سُورَةُ الْجُمُعَةِ أَوْ سُورَةُ الْمُنَافِقُونَ لَا يَقْطَعُهُمَا إِلَى غَيْرِهِمَا وَ إِنْ بَدَأَ بِقُلْ هُوَ اللَّهُ أَحَدٌ فَقَطَعَهَا وَ رَجَعَ إِلَى سُورَةِ الْجُمُعَةِ أَوْ سُورَةِ الْمُنَافِقُونَ فِي صَلَاةِ الْجُمُعَةِ يُجْزِئُهُ خَاصَّة</w:t>
      </w:r>
      <w:r w:rsidR="00793A7E">
        <w:rPr>
          <w:rFonts w:hint="cs"/>
          <w:rtl/>
        </w:rPr>
        <w:t>»</w:t>
      </w:r>
      <w:r w:rsidR="00793A7E">
        <w:rPr>
          <w:rStyle w:val="FootnoteReference"/>
          <w:rtl/>
        </w:rPr>
        <w:footnoteReference w:id="14"/>
      </w:r>
    </w:p>
    <w:p w14:paraId="12543DE2" w14:textId="504B6B45" w:rsidR="00B10332" w:rsidRDefault="00FF69A1" w:rsidP="00FF69A1">
      <w:pPr>
        <w:jc w:val="both"/>
        <w:rPr>
          <w:rtl/>
        </w:rPr>
      </w:pPr>
      <w:r>
        <w:rPr>
          <w:rFonts w:hint="cs"/>
          <w:rtl/>
        </w:rPr>
        <w:t>گویا چنین است که این دو</w:t>
      </w:r>
      <w:r w:rsidR="005209DA">
        <w:rPr>
          <w:rFonts w:hint="cs"/>
          <w:rtl/>
        </w:rPr>
        <w:t xml:space="preserve"> سوره </w:t>
      </w:r>
      <w:r>
        <w:rPr>
          <w:rFonts w:hint="cs"/>
          <w:rtl/>
        </w:rPr>
        <w:t>در روز جمعه مثل توحید و کافرون در سایر ایام می شوند. مشکل این است که این روایت سندی ندارد.</w:t>
      </w:r>
    </w:p>
    <w:p w14:paraId="7CAF5236" w14:textId="426A3AEF" w:rsidR="00B10332" w:rsidRDefault="00B10332" w:rsidP="00B10332">
      <w:pPr>
        <w:pStyle w:val="Heading2"/>
        <w:rPr>
          <w:rtl/>
        </w:rPr>
      </w:pPr>
      <w:bookmarkStart w:id="9" w:name="_Toc116138948"/>
      <w:r>
        <w:rPr>
          <w:rFonts w:hint="cs"/>
          <w:rtl/>
        </w:rPr>
        <w:t>بیان دلیل استحسانی بر مسئله</w:t>
      </w:r>
      <w:bookmarkEnd w:id="9"/>
    </w:p>
    <w:p w14:paraId="295A7471" w14:textId="0F0321E4" w:rsidR="00FF69A1" w:rsidRDefault="00FF69A1" w:rsidP="00FF69A1">
      <w:pPr>
        <w:jc w:val="both"/>
        <w:rPr>
          <w:rtl/>
        </w:rPr>
      </w:pPr>
      <w:r>
        <w:rPr>
          <w:rFonts w:hint="cs"/>
          <w:rtl/>
        </w:rPr>
        <w:t xml:space="preserve"> بلی، یک وجه استحسانی وجود دارد که به درد کسانی که تابع استحسان هستند، می خورد. وجه این است که گفته شود عدول از</w:t>
      </w:r>
      <w:r w:rsidR="005209DA">
        <w:rPr>
          <w:rFonts w:hint="cs"/>
          <w:rtl/>
        </w:rPr>
        <w:t xml:space="preserve"> سوره </w:t>
      </w:r>
      <w:r>
        <w:rPr>
          <w:rFonts w:hint="cs"/>
          <w:rtl/>
        </w:rPr>
        <w:t>کافرون و توحید در سایر ایام حرام بود، به خاطر اهمیت</w:t>
      </w:r>
      <w:r w:rsidR="005209DA">
        <w:rPr>
          <w:rFonts w:hint="cs"/>
          <w:rtl/>
        </w:rPr>
        <w:t xml:space="preserve"> سوره </w:t>
      </w:r>
      <w:r>
        <w:rPr>
          <w:rFonts w:hint="cs"/>
          <w:rtl/>
        </w:rPr>
        <w:t>جمعه و منافقین در روز جمعه، شارع دست از حرمت عدول از</w:t>
      </w:r>
      <w:r w:rsidR="005209DA">
        <w:rPr>
          <w:rFonts w:hint="cs"/>
          <w:rtl/>
        </w:rPr>
        <w:t xml:space="preserve"> سوره </w:t>
      </w:r>
      <w:r>
        <w:rPr>
          <w:rFonts w:hint="cs"/>
          <w:rtl/>
        </w:rPr>
        <w:t>توحید و کافرون برداشت، معلوم می شود که</w:t>
      </w:r>
      <w:r w:rsidR="005209DA">
        <w:rPr>
          <w:rFonts w:hint="cs"/>
          <w:rtl/>
        </w:rPr>
        <w:t xml:space="preserve"> سوره </w:t>
      </w:r>
      <w:r>
        <w:rPr>
          <w:rFonts w:hint="cs"/>
          <w:rtl/>
        </w:rPr>
        <w:t>جمعه و منافقین در روز جمعه، از</w:t>
      </w:r>
      <w:r w:rsidR="005209DA">
        <w:rPr>
          <w:rFonts w:hint="cs"/>
          <w:rtl/>
        </w:rPr>
        <w:t xml:space="preserve"> سوره </w:t>
      </w:r>
      <w:r>
        <w:rPr>
          <w:rFonts w:hint="cs"/>
          <w:rtl/>
        </w:rPr>
        <w:t>توحید و کافرون مهم تر است که حرمت عدول از توحید و کافرون را شارع فدای اهمیت</w:t>
      </w:r>
      <w:r w:rsidR="005209DA">
        <w:rPr>
          <w:rFonts w:hint="cs"/>
          <w:rtl/>
        </w:rPr>
        <w:t xml:space="preserve"> سوره </w:t>
      </w:r>
      <w:r>
        <w:rPr>
          <w:rFonts w:hint="cs"/>
          <w:rtl/>
        </w:rPr>
        <w:t>جمعه و منافقین کرده است. با این بیان می خواهند کشف کنند که</w:t>
      </w:r>
      <w:r w:rsidR="005209DA">
        <w:rPr>
          <w:rFonts w:hint="cs"/>
          <w:rtl/>
        </w:rPr>
        <w:t xml:space="preserve"> سوره </w:t>
      </w:r>
      <w:r>
        <w:rPr>
          <w:rFonts w:hint="cs"/>
          <w:rtl/>
        </w:rPr>
        <w:t>جمعه و منافقین در روز جمعه، أهم از</w:t>
      </w:r>
      <w:r w:rsidR="005209DA">
        <w:rPr>
          <w:rFonts w:hint="cs"/>
          <w:rtl/>
        </w:rPr>
        <w:t xml:space="preserve"> سوره </w:t>
      </w:r>
      <w:r>
        <w:rPr>
          <w:rFonts w:hint="cs"/>
          <w:rtl/>
        </w:rPr>
        <w:t xml:space="preserve">توحید و کافرون در سایر ایام است. </w:t>
      </w:r>
    </w:p>
    <w:p w14:paraId="0E31D37E" w14:textId="287A8A49" w:rsidR="00FF69A1" w:rsidRDefault="00FF69A1" w:rsidP="00FF69A1">
      <w:pPr>
        <w:jc w:val="both"/>
        <w:rPr>
          <w:rtl/>
        </w:rPr>
      </w:pPr>
      <w:r>
        <w:rPr>
          <w:rFonts w:hint="cs"/>
          <w:rtl/>
        </w:rPr>
        <w:t>این بیانات نکات استحسانی است؛ چه اینکه ما دلیل حکم حرمت عدول را در سوره های توحید و کافرون نمی دانیم، ما فقط این مقدار می دانیم که شارع در روز جمعه اینقدر اهمیت به توحید  و کافرون نداده است؛ لذا جایز دانسته است که در روز جمعه به جمعه و منافقین عدول شود، ولی اینکه کشف شود که</w:t>
      </w:r>
      <w:r w:rsidR="005209DA">
        <w:rPr>
          <w:rFonts w:hint="cs"/>
          <w:rtl/>
        </w:rPr>
        <w:t xml:space="preserve"> سوره </w:t>
      </w:r>
      <w:r>
        <w:rPr>
          <w:rFonts w:hint="cs"/>
          <w:rtl/>
        </w:rPr>
        <w:t>های جمعه و منافقین مهم تر از توحید و کافرون است، حتی در احکام دیگر، صحیح نیست. این بیانات غیر از استحسان چیز دیگری نیست. لذا این احتیاط در حد یک احتیاط مستحب است.</w:t>
      </w:r>
      <w:r w:rsidR="00AF0B83">
        <w:rPr>
          <w:rStyle w:val="FootnoteReference"/>
          <w:rtl/>
        </w:rPr>
        <w:footnoteReference w:id="15"/>
      </w:r>
    </w:p>
    <w:p w14:paraId="288B4458" w14:textId="33020706" w:rsidR="00FF69A1" w:rsidRDefault="00FF69A1" w:rsidP="00302F4D">
      <w:pPr>
        <w:pStyle w:val="Heading1"/>
        <w:rPr>
          <w:rtl/>
        </w:rPr>
      </w:pPr>
      <w:bookmarkStart w:id="10" w:name="_Toc116138949"/>
      <w:r>
        <w:rPr>
          <w:rFonts w:hint="cs"/>
          <w:rtl/>
        </w:rPr>
        <w:t>مسئله 18</w:t>
      </w:r>
      <w:r w:rsidR="00302F4D">
        <w:rPr>
          <w:rFonts w:hint="cs"/>
          <w:rtl/>
        </w:rPr>
        <w:t>: حکم عدول نسبت به نوافل</w:t>
      </w:r>
      <w:bookmarkEnd w:id="10"/>
      <w:r w:rsidR="00302F4D">
        <w:rPr>
          <w:rFonts w:hint="cs"/>
          <w:rtl/>
        </w:rPr>
        <w:t xml:space="preserve"> </w:t>
      </w:r>
    </w:p>
    <w:p w14:paraId="01C9A6F5" w14:textId="77777777" w:rsidR="00FF69A1" w:rsidRDefault="00FF69A1" w:rsidP="00FF69A1">
      <w:pPr>
        <w:jc w:val="both"/>
        <w:rPr>
          <w:rtl/>
        </w:rPr>
      </w:pPr>
      <w:r>
        <w:rPr>
          <w:rFonts w:hint="cs"/>
          <w:rtl/>
        </w:rPr>
        <w:t xml:space="preserve">مرحوم سید می فرمایند: </w:t>
      </w:r>
    </w:p>
    <w:p w14:paraId="3016C751" w14:textId="4BC2742D" w:rsidR="00FF69A1" w:rsidRPr="00302F4D" w:rsidRDefault="00FF69A1" w:rsidP="00302F4D">
      <w:pPr>
        <w:pStyle w:val="ListParagraph"/>
        <w:jc w:val="both"/>
        <w:rPr>
          <w:color w:val="0000FF"/>
          <w:rtl/>
        </w:rPr>
      </w:pPr>
      <w:r w:rsidRPr="00302F4D">
        <w:rPr>
          <w:rFonts w:hint="cs"/>
          <w:color w:val="0000FF"/>
          <w:rtl/>
        </w:rPr>
        <w:t>«</w:t>
      </w:r>
      <w:r w:rsidR="00302F4D" w:rsidRPr="00302F4D">
        <w:rPr>
          <w:color w:val="0000FF"/>
          <w:rtl/>
        </w:rPr>
        <w:t xml:space="preserve"> يجوز</w:t>
      </w:r>
      <w:r w:rsidR="00302F4D" w:rsidRPr="00302F4D">
        <w:rPr>
          <w:rFonts w:hint="cs"/>
          <w:color w:val="0000FF"/>
          <w:rtl/>
        </w:rPr>
        <w:t xml:space="preserve"> </w:t>
      </w:r>
      <w:r w:rsidR="00302F4D" w:rsidRPr="00302F4D">
        <w:rPr>
          <w:color w:val="0000FF"/>
          <w:rtl/>
        </w:rPr>
        <w:t>العدول من سورة إلى أخرى في النوافل مطلقا‌</w:t>
      </w:r>
      <w:r w:rsidR="00302F4D">
        <w:rPr>
          <w:rFonts w:hint="cs"/>
          <w:color w:val="0000FF"/>
          <w:rtl/>
        </w:rPr>
        <w:t xml:space="preserve"> </w:t>
      </w:r>
      <w:r w:rsidR="00302F4D" w:rsidRPr="00302F4D">
        <w:rPr>
          <w:color w:val="0000FF"/>
          <w:rtl/>
        </w:rPr>
        <w:t>و إن بلغ النص</w:t>
      </w:r>
      <w:r w:rsidR="00302F4D" w:rsidRPr="00302F4D">
        <w:rPr>
          <w:rFonts w:hint="cs"/>
          <w:color w:val="0000FF"/>
          <w:rtl/>
        </w:rPr>
        <w:t>ف»</w:t>
      </w:r>
      <w:r w:rsidR="00302F4D">
        <w:rPr>
          <w:rStyle w:val="FootnoteReference"/>
          <w:color w:val="0000FF"/>
          <w:rtl/>
        </w:rPr>
        <w:footnoteReference w:id="16"/>
      </w:r>
    </w:p>
    <w:p w14:paraId="74E93EC0" w14:textId="695B9257" w:rsidR="00FF69A1" w:rsidRDefault="00FF69A1" w:rsidP="00FF69A1">
      <w:pPr>
        <w:jc w:val="both"/>
        <w:rPr>
          <w:rtl/>
        </w:rPr>
      </w:pPr>
      <w:r>
        <w:rPr>
          <w:rFonts w:hint="cs"/>
          <w:rtl/>
        </w:rPr>
        <w:t>ایشان حرمت عدول را مختص به فرائض می دانند</w:t>
      </w:r>
      <w:r w:rsidR="00302F4D">
        <w:rPr>
          <w:rFonts w:hint="cs"/>
          <w:rtl/>
        </w:rPr>
        <w:t xml:space="preserve"> </w:t>
      </w:r>
      <w:r>
        <w:rPr>
          <w:rFonts w:hint="cs"/>
          <w:rtl/>
        </w:rPr>
        <w:t xml:space="preserve">و این مطلب خلاف مشهور است. مشهور معتقدند که ادله حرمت عدول مختص به صلاۀ فریضه نیست. مانند صحیحه ابن ابی نصر که متن آن چنین است:  </w:t>
      </w:r>
    </w:p>
    <w:p w14:paraId="331931CE" w14:textId="65DFCA7C" w:rsidR="00FF69A1" w:rsidRDefault="00BB414E" w:rsidP="00BB414E">
      <w:pPr>
        <w:pStyle w:val="ListParagraph"/>
        <w:jc w:val="both"/>
        <w:rPr>
          <w:rtl/>
        </w:rPr>
      </w:pPr>
      <w:r>
        <w:rPr>
          <w:rFonts w:hint="cs"/>
          <w:rtl/>
        </w:rPr>
        <w:t>«</w:t>
      </w:r>
      <w:r w:rsidRPr="00A834F9">
        <w:rPr>
          <w:rtl/>
        </w:rPr>
        <w:t xml:space="preserve"> الْحُسَيْنُ بْنُ مُحَمَّدٍ عَنْ عَبْدِ اللَّهِ بْنِ عَامِرٍ عَنْ عَلِيِّ بْنِ مَهْزِيَارَ عَنْ فَضَالَةَ بْنِ أَيُّوبَ عَنِ الْحُسَيْنِ بْنِ عُثْمَانَ عَنْ عَمْرِو بْنِ أَبِي نَصْرٍ </w:t>
      </w:r>
      <w:r w:rsidRPr="00A834F9">
        <w:rPr>
          <w:color w:val="008000"/>
          <w:rtl/>
        </w:rPr>
        <w:t xml:space="preserve">قَالَ: قُلْتُ لِأَبِي عَبْدِ اللَّهِ ع الرَّجُلُ يَقُومُ فِي الصَّلَاةِ فَيُرِيدُ أَنْ يَقْرَأَ سُورَةً فَيَقْرَأُ قُلْ هُوَ اللَّهُ أَحَدٌ وَ قُلْ يا أَيُّهَا الْكافِرُونَ </w:t>
      </w:r>
      <w:r w:rsidRPr="00A834F9">
        <w:rPr>
          <w:color w:val="008000"/>
          <w:u w:val="single"/>
          <w:rtl/>
        </w:rPr>
        <w:t>فَقَالَ يَرْجِعُ مِنْ كُلِّ سُورَةٍ إِلَّا مِنْ قُلْ هُوَ اللَّهُ أَحَدٌ وَ مِنْ قُلْ يا أَيُّهَا الْكافِرُونَ</w:t>
      </w:r>
      <w:r>
        <w:rPr>
          <w:rFonts w:hint="cs"/>
          <w:rtl/>
        </w:rPr>
        <w:t>»</w:t>
      </w:r>
      <w:r>
        <w:rPr>
          <w:rStyle w:val="FootnoteReference"/>
          <w:rtl/>
        </w:rPr>
        <w:footnoteReference w:id="17"/>
      </w:r>
    </w:p>
    <w:p w14:paraId="68986E98" w14:textId="4011A82B" w:rsidR="00FF69A1" w:rsidRDefault="00FF69A1" w:rsidP="00FF69A1">
      <w:pPr>
        <w:jc w:val="both"/>
        <w:rPr>
          <w:rtl/>
        </w:rPr>
      </w:pPr>
      <w:r>
        <w:rPr>
          <w:rFonts w:hint="cs"/>
          <w:rtl/>
        </w:rPr>
        <w:t xml:space="preserve">در این روایت نهی مطلق از رجوع از توحید و کافرون شده است و شامل نماز های نافله نیز می شود. </w:t>
      </w:r>
      <w:r w:rsidR="005960C0">
        <w:rPr>
          <w:rFonts w:hint="cs"/>
          <w:rtl/>
        </w:rPr>
        <w:t>یا موثقه عبید بن زرارۀ که متن آن چنین است:</w:t>
      </w:r>
    </w:p>
    <w:p w14:paraId="2E53D2CE" w14:textId="12ECEA4F" w:rsidR="005960C0" w:rsidRDefault="005960C0" w:rsidP="0025624F">
      <w:pPr>
        <w:pStyle w:val="ListParagraph"/>
        <w:jc w:val="both"/>
        <w:rPr>
          <w:rtl/>
        </w:rPr>
      </w:pPr>
      <w:r>
        <w:rPr>
          <w:rFonts w:hint="cs"/>
          <w:rtl/>
        </w:rPr>
        <w:t>«</w:t>
      </w:r>
      <w:r w:rsidR="0025624F" w:rsidRPr="0025624F">
        <w:rPr>
          <w:rtl/>
        </w:rPr>
        <w:t xml:space="preserve">الْحُسَيْنُ بْنُ سَعِيدٍ عَنْ مُحَمَّدِ بْنِ أَبِي عُمَيْرٍ عَنْ عَبْدِ اللَّهِ بْنِ بُكَيْرٍ عَنْ عُبَيْدِ بْنِ زُرَارَةَ عَنْ </w:t>
      </w:r>
      <w:r w:rsidR="0025624F" w:rsidRPr="0025624F">
        <w:rPr>
          <w:color w:val="008000"/>
          <w:rtl/>
        </w:rPr>
        <w:t>أَبِي عَبْدِ اللَّهِ ع فِي الرَّجُلِ يُرِيدُ أَنْ يَقْرَأَ السُّورَةَ فَيَقْرَأُ غَيْرَهَا فَقَالَ لَهُ أَنْ يَرْجِعَ مَا بَيْنَهُ وَ بَيْنَ أَنْ يَقْرَأَ ثُلُثَيْهَا</w:t>
      </w:r>
      <w:r w:rsidR="0025624F">
        <w:rPr>
          <w:rFonts w:hint="cs"/>
          <w:rtl/>
        </w:rPr>
        <w:t>»</w:t>
      </w:r>
      <w:r w:rsidR="0025624F">
        <w:rPr>
          <w:rStyle w:val="FootnoteReference"/>
          <w:rtl/>
        </w:rPr>
        <w:footnoteReference w:id="18"/>
      </w:r>
    </w:p>
    <w:p w14:paraId="6681AC93" w14:textId="2D63BEAB" w:rsidR="005960C0" w:rsidRDefault="005960C0" w:rsidP="005960C0">
      <w:pPr>
        <w:jc w:val="both"/>
        <w:rPr>
          <w:rtl/>
        </w:rPr>
      </w:pPr>
      <w:r>
        <w:rPr>
          <w:rFonts w:hint="cs"/>
          <w:rtl/>
        </w:rPr>
        <w:t xml:space="preserve">مفهوم این روایت این است که </w:t>
      </w:r>
      <w:r w:rsidR="0025624F">
        <w:rPr>
          <w:rFonts w:hint="cs"/>
          <w:rtl/>
        </w:rPr>
        <w:t>«</w:t>
      </w:r>
      <w:r>
        <w:rPr>
          <w:rFonts w:hint="cs"/>
          <w:rtl/>
        </w:rPr>
        <w:t>إذا بلغت ثلثی السورۀ فلیس لک أن تعدل</w:t>
      </w:r>
      <w:r w:rsidR="0025624F">
        <w:rPr>
          <w:rFonts w:hint="cs"/>
          <w:rtl/>
        </w:rPr>
        <w:t>»</w:t>
      </w:r>
      <w:r>
        <w:rPr>
          <w:rFonts w:hint="cs"/>
          <w:rtl/>
        </w:rPr>
        <w:t>، مطلق است و شامل نماز های نوافل نیز می شود. گفته نشود که غایت مفهوم ندارد؛ زیرا در جواب گفته می شود در مقام تحدید است. می فرماید شما همین که به دو سوم</w:t>
      </w:r>
      <w:r w:rsidR="005209DA">
        <w:rPr>
          <w:rFonts w:hint="cs"/>
          <w:rtl/>
        </w:rPr>
        <w:t xml:space="preserve"> سوره </w:t>
      </w:r>
      <w:r>
        <w:rPr>
          <w:rFonts w:hint="cs"/>
          <w:rtl/>
        </w:rPr>
        <w:t xml:space="preserve">رسیدید، ولو اینکه اشتباها باشد دیگر حق عدول ندارید و اطلاق دارد؛ لذا آیت الله سیستانی به درستی فرموده اند که اختصاص حرمت عدول به فرائض وجهی ندارد. </w:t>
      </w:r>
    </w:p>
    <w:p w14:paraId="25106B0C" w14:textId="569DCBBC" w:rsidR="0025624F" w:rsidRDefault="004345BE" w:rsidP="0025624F">
      <w:pPr>
        <w:pStyle w:val="Heading2"/>
      </w:pPr>
      <w:r>
        <w:rPr>
          <w:rFonts w:hint="cs"/>
          <w:rtl/>
        </w:rPr>
        <w:t xml:space="preserve">بررسی </w:t>
      </w:r>
      <w:r w:rsidR="0025624F">
        <w:rPr>
          <w:rFonts w:hint="cs"/>
          <w:rtl/>
        </w:rPr>
        <w:t xml:space="preserve">فرمایش محقق خویی در توجیه اختصاص حرمت عدول به فرائض </w:t>
      </w:r>
    </w:p>
    <w:p w14:paraId="13D0CB92" w14:textId="656280DD" w:rsidR="00F154D5" w:rsidRDefault="004345BE" w:rsidP="00F154D5">
      <w:pPr>
        <w:jc w:val="both"/>
        <w:rPr>
          <w:rtl/>
        </w:rPr>
      </w:pPr>
      <w:r>
        <w:rPr>
          <w:rFonts w:hint="cs"/>
          <w:rtl/>
        </w:rPr>
        <w:t xml:space="preserve">محقق </w:t>
      </w:r>
      <w:r w:rsidR="00A40D34">
        <w:rPr>
          <w:rFonts w:hint="cs"/>
          <w:rtl/>
        </w:rPr>
        <w:t>خویی در توجیه نکته حرمت عدول فرموده اند: نکته حرمت این است که شارع اجازه تبدیل الإمتثال بالإمتثال را نداده است. مکلف در نماز فریضه موظف است</w:t>
      </w:r>
      <w:r w:rsidR="005209DA">
        <w:rPr>
          <w:rFonts w:hint="cs"/>
          <w:rtl/>
        </w:rPr>
        <w:t xml:space="preserve"> سوره </w:t>
      </w:r>
      <w:r w:rsidR="00A40D34">
        <w:rPr>
          <w:rFonts w:hint="cs"/>
          <w:rtl/>
        </w:rPr>
        <w:t>کامله بخواند و در نماز نافله مختار در انجام یا ترک</w:t>
      </w:r>
      <w:r w:rsidR="005209DA">
        <w:rPr>
          <w:rFonts w:hint="cs"/>
          <w:rtl/>
        </w:rPr>
        <w:t xml:space="preserve"> سوره </w:t>
      </w:r>
      <w:r w:rsidR="00A40D34">
        <w:rPr>
          <w:rFonts w:hint="cs"/>
          <w:rtl/>
        </w:rPr>
        <w:t>است. شارع وقتی گفته است در فریضه</w:t>
      </w:r>
      <w:r w:rsidR="005209DA">
        <w:rPr>
          <w:rFonts w:hint="cs"/>
          <w:rtl/>
        </w:rPr>
        <w:t xml:space="preserve"> سوره </w:t>
      </w:r>
      <w:r w:rsidR="00A40D34">
        <w:rPr>
          <w:rFonts w:hint="cs"/>
          <w:rtl/>
        </w:rPr>
        <w:t>کامله بخوانید، شما می خواهید این</w:t>
      </w:r>
      <w:r w:rsidR="005209DA">
        <w:rPr>
          <w:rFonts w:hint="cs"/>
          <w:rtl/>
        </w:rPr>
        <w:t xml:space="preserve"> سوره </w:t>
      </w:r>
      <w:r w:rsidR="00A40D34">
        <w:rPr>
          <w:rFonts w:hint="cs"/>
          <w:rtl/>
        </w:rPr>
        <w:t>را به یک</w:t>
      </w:r>
      <w:r w:rsidR="005209DA">
        <w:rPr>
          <w:rFonts w:hint="cs"/>
          <w:rtl/>
        </w:rPr>
        <w:t xml:space="preserve"> سوره </w:t>
      </w:r>
      <w:r w:rsidR="00A40D34">
        <w:rPr>
          <w:rFonts w:hint="cs"/>
          <w:rtl/>
        </w:rPr>
        <w:t>دیگری تبدیل کنید که امتثال امر به</w:t>
      </w:r>
      <w:r w:rsidR="005209DA">
        <w:rPr>
          <w:rFonts w:hint="cs"/>
          <w:rtl/>
        </w:rPr>
        <w:t xml:space="preserve"> سوره </w:t>
      </w:r>
      <w:r w:rsidR="00A40D34">
        <w:rPr>
          <w:rFonts w:hint="cs"/>
          <w:rtl/>
        </w:rPr>
        <w:t>کامله به امتثال</w:t>
      </w:r>
      <w:r w:rsidR="005209DA">
        <w:rPr>
          <w:rFonts w:hint="cs"/>
          <w:rtl/>
        </w:rPr>
        <w:t xml:space="preserve"> سوره </w:t>
      </w:r>
      <w:r w:rsidR="00A40D34">
        <w:rPr>
          <w:rFonts w:hint="cs"/>
          <w:rtl/>
        </w:rPr>
        <w:t xml:space="preserve">کامله دیگری است. </w:t>
      </w:r>
      <w:r w:rsidR="006F46D6">
        <w:rPr>
          <w:rFonts w:hint="cs"/>
          <w:rtl/>
        </w:rPr>
        <w:t>در بحث تبدیل امتثال امر به</w:t>
      </w:r>
      <w:r w:rsidR="005209DA">
        <w:rPr>
          <w:rFonts w:hint="cs"/>
          <w:rtl/>
        </w:rPr>
        <w:t xml:space="preserve"> سوره </w:t>
      </w:r>
      <w:r w:rsidR="006F46D6">
        <w:rPr>
          <w:rFonts w:hint="cs"/>
          <w:rtl/>
        </w:rPr>
        <w:t>کامله به خواندن</w:t>
      </w:r>
      <w:r w:rsidR="005209DA">
        <w:rPr>
          <w:rFonts w:hint="cs"/>
          <w:rtl/>
        </w:rPr>
        <w:t xml:space="preserve"> سوره </w:t>
      </w:r>
      <w:r w:rsidR="006F46D6">
        <w:rPr>
          <w:rFonts w:hint="cs"/>
          <w:rtl/>
        </w:rPr>
        <w:t>کامله دیگر، قبل از اینکه</w:t>
      </w:r>
      <w:r w:rsidR="005209DA">
        <w:rPr>
          <w:rFonts w:hint="cs"/>
          <w:rtl/>
        </w:rPr>
        <w:t xml:space="preserve"> سوره </w:t>
      </w:r>
      <w:r w:rsidR="006F46D6">
        <w:rPr>
          <w:rFonts w:hint="cs"/>
          <w:rtl/>
        </w:rPr>
        <w:t>اول تمام شود، شارع دخالت کرده و فرموده است: اگر</w:t>
      </w:r>
      <w:r w:rsidR="005209DA">
        <w:rPr>
          <w:rFonts w:hint="cs"/>
          <w:rtl/>
        </w:rPr>
        <w:t xml:space="preserve"> سوره </w:t>
      </w:r>
      <w:r w:rsidR="006F46D6">
        <w:rPr>
          <w:rFonts w:hint="cs"/>
          <w:rtl/>
        </w:rPr>
        <w:t>توحید و کافرون را انتخاب کرده بودید، حق عدول ندارید مگر در روز جمعه، اگر</w:t>
      </w:r>
      <w:r w:rsidR="005209DA">
        <w:rPr>
          <w:rFonts w:hint="cs"/>
          <w:rtl/>
        </w:rPr>
        <w:t xml:space="preserve"> سوره </w:t>
      </w:r>
      <w:r w:rsidR="006F46D6">
        <w:rPr>
          <w:rFonts w:hint="cs"/>
          <w:rtl/>
        </w:rPr>
        <w:t>دیگری را شروع کرده اید، تا دو سوم آن نرسیدید حق عدول و تبدیل امتثال دارید ولی بعد از دو سوم دیگر حق تبدیل امتثال ندارید. پس محور بحث، تبدیل امتثال یک</w:t>
      </w:r>
      <w:r w:rsidR="005209DA">
        <w:rPr>
          <w:rFonts w:hint="cs"/>
          <w:rtl/>
        </w:rPr>
        <w:t xml:space="preserve"> سوره </w:t>
      </w:r>
      <w:r w:rsidR="006F46D6">
        <w:rPr>
          <w:rFonts w:hint="cs"/>
          <w:rtl/>
        </w:rPr>
        <w:t>به امتثال</w:t>
      </w:r>
      <w:r w:rsidR="005209DA">
        <w:rPr>
          <w:rFonts w:hint="cs"/>
          <w:rtl/>
        </w:rPr>
        <w:t xml:space="preserve"> سوره </w:t>
      </w:r>
      <w:r w:rsidR="006F46D6">
        <w:rPr>
          <w:rFonts w:hint="cs"/>
          <w:rtl/>
        </w:rPr>
        <w:t>دیگری است، تبدیل امتثال در نماز فریضه است و در نماز نافله اصلا</w:t>
      </w:r>
      <w:r w:rsidR="005209DA">
        <w:rPr>
          <w:rFonts w:hint="cs"/>
          <w:rtl/>
        </w:rPr>
        <w:t xml:space="preserve"> سوره </w:t>
      </w:r>
      <w:r w:rsidR="006F46D6">
        <w:rPr>
          <w:rFonts w:hint="cs"/>
          <w:rtl/>
        </w:rPr>
        <w:t>کامله را امر نکرده است، خود شارع فرموده می توانید اصلا</w:t>
      </w:r>
      <w:r w:rsidR="005209DA">
        <w:rPr>
          <w:rFonts w:hint="cs"/>
          <w:rtl/>
        </w:rPr>
        <w:t xml:space="preserve"> سوره </w:t>
      </w:r>
      <w:r w:rsidR="006F46D6">
        <w:rPr>
          <w:rFonts w:hint="cs"/>
          <w:rtl/>
        </w:rPr>
        <w:t>نخوانید یا اگر می خوانید می توانید بیست</w:t>
      </w:r>
      <w:r w:rsidR="005209DA">
        <w:rPr>
          <w:rFonts w:hint="cs"/>
          <w:rtl/>
        </w:rPr>
        <w:t xml:space="preserve"> سوره </w:t>
      </w:r>
      <w:r w:rsidR="006F46D6">
        <w:rPr>
          <w:rFonts w:hint="cs"/>
          <w:rtl/>
        </w:rPr>
        <w:t>بخوانید؛ بنابراین اصلا بحث</w:t>
      </w:r>
      <w:r w:rsidR="005209DA">
        <w:rPr>
          <w:rFonts w:hint="cs"/>
          <w:rtl/>
        </w:rPr>
        <w:t xml:space="preserve"> سوره </w:t>
      </w:r>
      <w:r w:rsidR="006F46D6">
        <w:rPr>
          <w:rFonts w:hint="cs"/>
          <w:rtl/>
        </w:rPr>
        <w:t xml:space="preserve">کامله در نماز نافله مطرح نیست. </w:t>
      </w:r>
      <w:r w:rsidR="00031CA9">
        <w:rPr>
          <w:rFonts w:hint="cs"/>
          <w:rtl/>
        </w:rPr>
        <w:t>قران بین السورتین نیز در نماز نافله مکروه نیست. پس نه</w:t>
      </w:r>
      <w:r w:rsidR="005209DA">
        <w:rPr>
          <w:rFonts w:hint="cs"/>
          <w:rtl/>
        </w:rPr>
        <w:t xml:space="preserve"> سوره </w:t>
      </w:r>
      <w:r w:rsidR="00031CA9">
        <w:rPr>
          <w:rFonts w:hint="cs"/>
          <w:rtl/>
        </w:rPr>
        <w:t xml:space="preserve">کامله در نماز نافله واجب است، نه قران بین السور در نماز نافله حرام یا مکروه است. </w:t>
      </w:r>
      <w:r w:rsidR="006B2065">
        <w:rPr>
          <w:rFonts w:hint="cs"/>
          <w:rtl/>
        </w:rPr>
        <w:t>روایت نهی از قران بین السورتین در فریضه را مطرح کرده است، یا تحریمی و یا کراهتی، ولی در نمازهای نافله اصلا مستحب است که انسان چند</w:t>
      </w:r>
      <w:r w:rsidR="005209DA">
        <w:rPr>
          <w:rFonts w:hint="cs"/>
          <w:rtl/>
        </w:rPr>
        <w:t xml:space="preserve"> سوره </w:t>
      </w:r>
      <w:r w:rsidR="006B2065">
        <w:rPr>
          <w:rFonts w:hint="cs"/>
          <w:rtl/>
        </w:rPr>
        <w:t>را بخواند</w:t>
      </w:r>
      <w:r w:rsidR="00392DEE">
        <w:rPr>
          <w:rStyle w:val="FootnoteReference"/>
          <w:rtl/>
        </w:rPr>
        <w:footnoteReference w:id="19"/>
      </w:r>
      <w:r w:rsidR="006B2065">
        <w:rPr>
          <w:rFonts w:hint="cs"/>
          <w:rtl/>
        </w:rPr>
        <w:t xml:space="preserve">. </w:t>
      </w:r>
    </w:p>
    <w:p w14:paraId="1A2C6943" w14:textId="7558FAEC" w:rsidR="006B2065" w:rsidRDefault="006B2065" w:rsidP="006B2065">
      <w:pPr>
        <w:jc w:val="both"/>
        <w:rPr>
          <w:rtl/>
        </w:rPr>
      </w:pPr>
      <w:r>
        <w:rPr>
          <w:rFonts w:hint="cs"/>
          <w:rtl/>
        </w:rPr>
        <w:t xml:space="preserve">اشکال ما به محقق خویی این است که این ملاکات الأحکام از کجا آمده است؟ این روایتی که می گوید: </w:t>
      </w:r>
      <w:r w:rsidR="00392DEE">
        <w:rPr>
          <w:rFonts w:hint="cs"/>
          <w:rtl/>
        </w:rPr>
        <w:t>«</w:t>
      </w:r>
      <w:r>
        <w:rPr>
          <w:rFonts w:hint="cs"/>
          <w:rtl/>
        </w:rPr>
        <w:t>فلیس لک أن ترجع</w:t>
      </w:r>
      <w:r w:rsidR="00392DEE">
        <w:rPr>
          <w:rFonts w:hint="cs"/>
          <w:rtl/>
        </w:rPr>
        <w:t xml:space="preserve"> من کل سورۀ» </w:t>
      </w:r>
      <w:r>
        <w:rPr>
          <w:rFonts w:hint="cs"/>
          <w:rtl/>
        </w:rPr>
        <w:t>که مضمون صحیحه عمروبن أبی نصر است و مضمون موثقه عبید است که «لک أن ترجع عنها ما بینک و بین أن تقرأ ثلثیها</w:t>
      </w:r>
      <w:r w:rsidR="00392DEE">
        <w:rPr>
          <w:rFonts w:hint="cs"/>
          <w:rtl/>
        </w:rPr>
        <w:t>»</w:t>
      </w:r>
      <w:r>
        <w:rPr>
          <w:rFonts w:hint="cs"/>
          <w:rtl/>
        </w:rPr>
        <w:t xml:space="preserve">، این روایات ملاک را بیان نکرده اند؛ ما از کجا می دانیم که ملاک نهی از عدول، تبدیل امتثال به امتثال است؟ </w:t>
      </w:r>
    </w:p>
    <w:p w14:paraId="73C1A6B4" w14:textId="595B3B5E" w:rsidR="00457B3E" w:rsidRDefault="006B2065" w:rsidP="00457B3E">
      <w:pPr>
        <w:jc w:val="both"/>
        <w:rPr>
          <w:rtl/>
        </w:rPr>
      </w:pPr>
      <w:r>
        <w:rPr>
          <w:rFonts w:hint="cs"/>
          <w:rtl/>
        </w:rPr>
        <w:t>شارع از عدول از</w:t>
      </w:r>
      <w:r w:rsidR="005209DA">
        <w:rPr>
          <w:rFonts w:hint="cs"/>
          <w:rtl/>
        </w:rPr>
        <w:t xml:space="preserve"> سوره </w:t>
      </w:r>
      <w:r>
        <w:rPr>
          <w:rFonts w:hint="cs"/>
          <w:rtl/>
        </w:rPr>
        <w:t>توحید و کافرون در نماز به سایر سور منع کرده است، دلیل او نیز اطلاق دارد و نماز نافله و فریضه را شامل می شود. حال اینکه نکته اش در نماز فریضه چیست، مهم نیست. مهم این است که اطلاق آن نمازنافله را نیز شامل شود. ادعای ارتکاز به جواز عدول از</w:t>
      </w:r>
      <w:r w:rsidR="005209DA">
        <w:rPr>
          <w:rFonts w:hint="cs"/>
          <w:rtl/>
        </w:rPr>
        <w:t xml:space="preserve"> سوره </w:t>
      </w:r>
      <w:r>
        <w:rPr>
          <w:rFonts w:hint="cs"/>
          <w:rtl/>
        </w:rPr>
        <w:t>توحید و کافرون در نافله، مردود است؛ چرا که ثابت نیست، هنوز هم این مطالب روشن نیست، چطور می توان ادعای ارتکاز در آن زمان را کرد؟! شاید احترام</w:t>
      </w:r>
      <w:r w:rsidR="005209DA">
        <w:rPr>
          <w:rFonts w:hint="cs"/>
          <w:rtl/>
        </w:rPr>
        <w:t xml:space="preserve"> سوره </w:t>
      </w:r>
      <w:r>
        <w:rPr>
          <w:rFonts w:hint="cs"/>
          <w:rtl/>
        </w:rPr>
        <w:t xml:space="preserve">کافرون و توحید آنقدر لازم باشد که اگر نافله نیز شروع شد، رهایی از آن به معنای بی اعتنایی از آن باشد و جایز نباشد. </w:t>
      </w:r>
      <w:r w:rsidR="00C77249">
        <w:rPr>
          <w:rFonts w:hint="cs"/>
          <w:rtl/>
        </w:rPr>
        <w:t xml:space="preserve">بی اعتنایی از مظاهر توحید و برائت می شود و این جایز نیست. </w:t>
      </w:r>
    </w:p>
    <w:p w14:paraId="08D8FB35" w14:textId="7DC24944" w:rsidR="00457B3E" w:rsidRPr="001256E9" w:rsidRDefault="00457B3E" w:rsidP="00457B3E">
      <w:pPr>
        <w:jc w:val="both"/>
        <w:rPr>
          <w:rtl/>
        </w:rPr>
      </w:pPr>
      <w:r>
        <w:rPr>
          <w:rFonts w:hint="cs"/>
          <w:rtl/>
        </w:rPr>
        <w:t>دقت شود که رها کردن آن غیر از عدول است. گاهی شما از آقایی می خواهید پذیرایی کنید، چایی را می گذارید و قرار است قند ببرید، قند را نمی برید و به جای دیگری می روید، می گویند شاید همسرش عجله داشته و از ترس همسرش رفته است، ولی گاهی چای و قند را برای رفیق وی می برید، یعنی جلوی چشم او چای و قند را برای دوستش می گذارید و مخلفات دیگر و شیرینی نیز می گذارید، در بحث ما نیز شارع نمی خواهد در</w:t>
      </w:r>
      <w:r w:rsidR="005209DA">
        <w:rPr>
          <w:rFonts w:hint="cs"/>
          <w:rtl/>
        </w:rPr>
        <w:t xml:space="preserve"> سوره </w:t>
      </w:r>
      <w:r>
        <w:rPr>
          <w:rFonts w:hint="cs"/>
          <w:rtl/>
        </w:rPr>
        <w:t xml:space="preserve">توحید و کافرون این کار ها بشود. اطلاق دلیل نیز شامل آن است. اصلا قید نماز فریضه بودن ندارد، ما تابع نص هستیم؛ از این رو نظر آیت الله سیستانی را حق می دانیم و استدلال محقق خویی رحمه الله در مقام ناتمام است. فتوای آیت الله سیستانی نیز موافق مشهور است، ولو اینکه برخلاف صاحب عروۀ، محقق خویی صحبت فرموده اند ولی به نظر ما فرمایش آیت الله سیستانی صحیح است. </w:t>
      </w:r>
    </w:p>
    <w:p w14:paraId="2A67A9FD" w14:textId="31B610C5" w:rsidR="00F35CAE" w:rsidRDefault="00F35CAE" w:rsidP="00F35CAE">
      <w:pPr>
        <w:jc w:val="both"/>
        <w:rPr>
          <w:rtl/>
        </w:rPr>
      </w:pPr>
    </w:p>
    <w:p w14:paraId="30AE1302" w14:textId="211C0B78" w:rsidR="006F46D6" w:rsidRDefault="006F46D6" w:rsidP="00F35CAE">
      <w:pPr>
        <w:jc w:val="both"/>
        <w:rPr>
          <w:rtl/>
        </w:rPr>
      </w:pPr>
    </w:p>
    <w:p w14:paraId="4BF0C8F8" w14:textId="6F5AABC8" w:rsidR="006F46D6" w:rsidRDefault="006F46D6" w:rsidP="00F35CAE">
      <w:pPr>
        <w:jc w:val="both"/>
        <w:rPr>
          <w:rtl/>
        </w:rPr>
      </w:pPr>
    </w:p>
    <w:p w14:paraId="047D01C2" w14:textId="77777777" w:rsidR="006F46D6" w:rsidRDefault="006F46D6" w:rsidP="00F35CAE">
      <w:pPr>
        <w:jc w:val="both"/>
        <w:rPr>
          <w:rtl/>
        </w:rPr>
      </w:pPr>
    </w:p>
    <w:sectPr w:rsidR="006F46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4EFD7" w14:textId="77777777" w:rsidR="00377ED4" w:rsidRDefault="00377ED4" w:rsidP="008B750B">
      <w:pPr>
        <w:spacing w:line="240" w:lineRule="auto"/>
      </w:pPr>
      <w:r>
        <w:separator/>
      </w:r>
    </w:p>
  </w:endnote>
  <w:endnote w:type="continuationSeparator" w:id="0">
    <w:p w14:paraId="24FDF70A" w14:textId="77777777" w:rsidR="00377ED4" w:rsidRDefault="00377E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157CE5E7-E7DC-4789-80D1-63DC57DE3CFA}"/>
  </w:font>
  <w:font w:name="B Badr">
    <w:panose1 w:val="00000400000000000000"/>
    <w:charset w:val="B2"/>
    <w:family w:val="auto"/>
    <w:pitch w:val="variable"/>
    <w:sig w:usb0="00002001" w:usb1="80000000" w:usb2="00000008" w:usb3="00000000" w:csb0="00000040" w:csb1="00000000"/>
    <w:embedRegular r:id="rId2" w:fontKey="{593A9AC1-8E8B-43E7-A90E-9CC233123763}"/>
    <w:embedBold r:id="rId3" w:fontKey="{468FE503-132B-45FA-AFAC-B210D131CE62}"/>
    <w:embedBoldItalic r:id="rId4" w:fontKey="{125DB5EC-024C-4045-B467-346C041A24A5}"/>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D91FEDC5-ECA0-4F51-9252-7C9A4D7533F7}"/>
    <w:embedBold r:id="rId6" w:fontKey="{601AE59E-D09D-472D-AF8C-F795A10B8C3C}"/>
  </w:font>
  <w:font w:name="B Lotus">
    <w:panose1 w:val="00000400000000000000"/>
    <w:charset w:val="B2"/>
    <w:family w:val="auto"/>
    <w:pitch w:val="variable"/>
    <w:sig w:usb0="00002001" w:usb1="80000000" w:usb2="00000008" w:usb3="00000000" w:csb0="00000040" w:csb1="00000000"/>
    <w:embedRegular r:id="rId7" w:fontKey="{F96427B1-CDB6-4559-BB89-D20F1868680F}"/>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15BCD" w:rsidRPr="00C15BCD">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8" w:name="BokAdres"/>
          <w:bookmarkEnd w:id="18"/>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823FE" w14:textId="77777777" w:rsidR="00377ED4" w:rsidRDefault="00377ED4" w:rsidP="008B750B">
      <w:pPr>
        <w:spacing w:line="240" w:lineRule="auto"/>
      </w:pPr>
      <w:r>
        <w:separator/>
      </w:r>
    </w:p>
  </w:footnote>
  <w:footnote w:type="continuationSeparator" w:id="0">
    <w:p w14:paraId="5AFE8E60" w14:textId="77777777" w:rsidR="00377ED4" w:rsidRDefault="00377ED4" w:rsidP="008B750B">
      <w:pPr>
        <w:spacing w:line="240" w:lineRule="auto"/>
      </w:pPr>
      <w:r>
        <w:continuationSeparator/>
      </w:r>
    </w:p>
  </w:footnote>
  <w:footnote w:id="1">
    <w:p w14:paraId="47485CCF" w14:textId="1C2B6BC0" w:rsidR="00EA00DE" w:rsidRPr="00EA00DE" w:rsidRDefault="00EA00DE" w:rsidP="00392DEE">
      <w:pPr>
        <w:pStyle w:val="FootnoteText"/>
        <w:jc w:val="both"/>
      </w:pPr>
      <w:r w:rsidRPr="00EA00DE">
        <w:footnoteRef/>
      </w:r>
      <w:r w:rsidRPr="00EA00DE">
        <w:rPr>
          <w:rtl/>
        </w:rPr>
        <w:t xml:space="preserve"> </w:t>
      </w:r>
      <w:hyperlink r:id="rId1" w:history="1">
        <w:r w:rsidRPr="00EA00DE">
          <w:rPr>
            <w:rStyle w:val="Hyperlink"/>
            <w:rFonts w:hint="eastAsia"/>
            <w:rtl/>
          </w:rPr>
          <w:t>جامع</w:t>
        </w:r>
        <w:r w:rsidRPr="00EA00DE">
          <w:rPr>
            <w:rStyle w:val="Hyperlink"/>
            <w:rtl/>
          </w:rPr>
          <w:t xml:space="preserve"> المقاصد ف</w:t>
        </w:r>
        <w:r w:rsidRPr="00EA00DE">
          <w:rPr>
            <w:rStyle w:val="Hyperlink"/>
            <w:rFonts w:hint="cs"/>
            <w:rtl/>
          </w:rPr>
          <w:t>ی</w:t>
        </w:r>
        <w:r w:rsidRPr="00EA00DE">
          <w:rPr>
            <w:rStyle w:val="Hyperlink"/>
            <w:rtl/>
          </w:rPr>
          <w:t xml:space="preserve"> شرح القواعد، عل</w:t>
        </w:r>
        <w:r w:rsidRPr="00EA00DE">
          <w:rPr>
            <w:rStyle w:val="Hyperlink"/>
            <w:rFonts w:hint="cs"/>
            <w:rtl/>
          </w:rPr>
          <w:t>ی</w:t>
        </w:r>
        <w:r w:rsidRPr="00EA00DE">
          <w:rPr>
            <w:rStyle w:val="Hyperlink"/>
            <w:rtl/>
          </w:rPr>
          <w:t xml:space="preserve"> بن حس</w:t>
        </w:r>
        <w:r w:rsidRPr="00EA00DE">
          <w:rPr>
            <w:rStyle w:val="Hyperlink"/>
            <w:rFonts w:hint="cs"/>
            <w:rtl/>
          </w:rPr>
          <w:t>ی</w:t>
        </w:r>
        <w:r w:rsidRPr="00EA00DE">
          <w:rPr>
            <w:rStyle w:val="Hyperlink"/>
            <w:rFonts w:hint="eastAsia"/>
            <w:rtl/>
          </w:rPr>
          <w:t>ن</w:t>
        </w:r>
        <w:r w:rsidRPr="00EA00DE">
          <w:rPr>
            <w:rStyle w:val="Hyperlink"/>
            <w:rtl/>
          </w:rPr>
          <w:t xml:space="preserve"> کرک</w:t>
        </w:r>
        <w:r w:rsidRPr="00EA00DE">
          <w:rPr>
            <w:rStyle w:val="Hyperlink"/>
            <w:rFonts w:hint="cs"/>
            <w:rtl/>
          </w:rPr>
          <w:t>ی</w:t>
        </w:r>
        <w:r w:rsidRPr="00EA00DE">
          <w:rPr>
            <w:rStyle w:val="Hyperlink"/>
            <w:rtl/>
          </w:rPr>
          <w:t xml:space="preserve"> (المحقق الثان</w:t>
        </w:r>
        <w:r w:rsidRPr="00EA00DE">
          <w:rPr>
            <w:rStyle w:val="Hyperlink"/>
            <w:rFonts w:hint="cs"/>
            <w:rtl/>
          </w:rPr>
          <w:t>ی</w:t>
        </w:r>
        <w:r w:rsidRPr="00EA00DE">
          <w:rPr>
            <w:rStyle w:val="Hyperlink"/>
            <w:rtl/>
          </w:rPr>
          <w:t>)، ج2، ص280.</w:t>
        </w:r>
      </w:hyperlink>
    </w:p>
  </w:footnote>
  <w:footnote w:id="2">
    <w:p w14:paraId="114F1894" w14:textId="77777777" w:rsidR="00CC0E60" w:rsidRPr="008F72D1" w:rsidRDefault="00CC0E60" w:rsidP="00392DEE">
      <w:pPr>
        <w:pStyle w:val="FootnoteText"/>
        <w:jc w:val="both"/>
      </w:pPr>
      <w:r w:rsidRPr="008F72D1">
        <w:footnoteRef/>
      </w:r>
      <w:r w:rsidRPr="008F72D1">
        <w:rPr>
          <w:rtl/>
        </w:rPr>
        <w:t xml:space="preserve"> </w:t>
      </w:r>
      <w:hyperlink r:id="rId2" w:history="1">
        <w:r w:rsidRPr="008F72D1">
          <w:rPr>
            <w:rStyle w:val="Hyperlink"/>
            <w:rtl/>
          </w:rPr>
          <w:t>العروة الوثق</w:t>
        </w:r>
        <w:r w:rsidRPr="008F72D1">
          <w:rPr>
            <w:rStyle w:val="Hyperlink"/>
            <w:rFonts w:hint="cs"/>
            <w:rtl/>
          </w:rPr>
          <w:t>ی</w:t>
        </w:r>
        <w:r w:rsidRPr="008F72D1">
          <w:rPr>
            <w:rStyle w:val="Hyperlink"/>
            <w:rFonts w:hint="eastAsia"/>
            <w:rtl/>
          </w:rPr>
          <w:t>،</w:t>
        </w:r>
        <w:r w:rsidRPr="008F72D1">
          <w:rPr>
            <w:rStyle w:val="Hyperlink"/>
            <w:rtl/>
          </w:rPr>
          <w:t xml:space="preserve"> الس</w:t>
        </w:r>
        <w:r w:rsidRPr="008F72D1">
          <w:rPr>
            <w:rStyle w:val="Hyperlink"/>
            <w:rFonts w:hint="cs"/>
            <w:rtl/>
          </w:rPr>
          <w:t>ی</w:t>
        </w:r>
        <w:r w:rsidRPr="008F72D1">
          <w:rPr>
            <w:rStyle w:val="Hyperlink"/>
            <w:rFonts w:hint="eastAsia"/>
            <w:rtl/>
          </w:rPr>
          <w:t>د</w:t>
        </w:r>
        <w:r w:rsidRPr="008F72D1">
          <w:rPr>
            <w:rStyle w:val="Hyperlink"/>
            <w:rtl/>
          </w:rPr>
          <w:t xml:space="preserve"> محمد کاظم الطباطبائ</w:t>
        </w:r>
        <w:r w:rsidRPr="008F72D1">
          <w:rPr>
            <w:rStyle w:val="Hyperlink"/>
            <w:rFonts w:hint="cs"/>
            <w:rtl/>
          </w:rPr>
          <w:t>ی</w:t>
        </w:r>
        <w:r w:rsidRPr="008F72D1">
          <w:rPr>
            <w:rStyle w:val="Hyperlink"/>
            <w:rtl/>
          </w:rPr>
          <w:t xml:space="preserve"> ال</w:t>
        </w:r>
        <w:r w:rsidRPr="008F72D1">
          <w:rPr>
            <w:rStyle w:val="Hyperlink"/>
            <w:rFonts w:hint="cs"/>
            <w:rtl/>
          </w:rPr>
          <w:t>ی</w:t>
        </w:r>
        <w:r w:rsidRPr="008F72D1">
          <w:rPr>
            <w:rStyle w:val="Hyperlink"/>
            <w:rFonts w:hint="eastAsia"/>
            <w:rtl/>
          </w:rPr>
          <w:t>زد</w:t>
        </w:r>
        <w:r w:rsidRPr="008F72D1">
          <w:rPr>
            <w:rStyle w:val="Hyperlink"/>
            <w:rFonts w:hint="cs"/>
            <w:rtl/>
          </w:rPr>
          <w:t>ی</w:t>
        </w:r>
        <w:r w:rsidRPr="008F72D1">
          <w:rPr>
            <w:rStyle w:val="Hyperlink"/>
            <w:rFonts w:hint="eastAsia"/>
            <w:rtl/>
          </w:rPr>
          <w:t>،</w:t>
        </w:r>
        <w:r w:rsidRPr="008F72D1">
          <w:rPr>
            <w:rStyle w:val="Hyperlink"/>
            <w:rtl/>
          </w:rPr>
          <w:t xml:space="preserve"> ج1، ص648.</w:t>
        </w:r>
      </w:hyperlink>
    </w:p>
  </w:footnote>
  <w:footnote w:id="3">
    <w:p w14:paraId="0E075705" w14:textId="2B27FF24" w:rsidR="00EA00DE" w:rsidRPr="00EA00DE" w:rsidRDefault="00EA00DE" w:rsidP="00392DEE">
      <w:pPr>
        <w:pStyle w:val="FootnoteText"/>
        <w:jc w:val="both"/>
      </w:pPr>
      <w:r w:rsidRPr="00EA00DE">
        <w:footnoteRef/>
      </w:r>
      <w:r w:rsidRPr="00EA00DE">
        <w:rPr>
          <w:rtl/>
        </w:rPr>
        <w:t xml:space="preserve"> </w:t>
      </w:r>
      <w:hyperlink r:id="rId3" w:history="1">
        <w:r w:rsidRPr="00EA00DE">
          <w:rPr>
            <w:rStyle w:val="Hyperlink"/>
            <w:rFonts w:hint="eastAsia"/>
            <w:rtl/>
          </w:rPr>
          <w:t>موسوعة</w:t>
        </w:r>
        <w:r w:rsidRPr="00EA00DE">
          <w:rPr>
            <w:rStyle w:val="Hyperlink"/>
            <w:rtl/>
          </w:rPr>
          <w:t xml:space="preserve"> الامام الخوئ</w:t>
        </w:r>
        <w:r w:rsidRPr="00EA00DE">
          <w:rPr>
            <w:rStyle w:val="Hyperlink"/>
            <w:rFonts w:hint="cs"/>
            <w:rtl/>
          </w:rPr>
          <w:t>ی</w:t>
        </w:r>
        <w:r w:rsidRPr="00EA00DE">
          <w:rPr>
            <w:rStyle w:val="Hyperlink"/>
            <w:rFonts w:hint="eastAsia"/>
            <w:rtl/>
          </w:rPr>
          <w:t>،</w:t>
        </w:r>
        <w:r w:rsidRPr="00EA00DE">
          <w:rPr>
            <w:rStyle w:val="Hyperlink"/>
            <w:rtl/>
          </w:rPr>
          <w:t xml:space="preserve"> الس</w:t>
        </w:r>
        <w:r w:rsidRPr="00EA00DE">
          <w:rPr>
            <w:rStyle w:val="Hyperlink"/>
            <w:rFonts w:hint="cs"/>
            <w:rtl/>
          </w:rPr>
          <w:t>ی</w:t>
        </w:r>
        <w:r w:rsidRPr="00EA00DE">
          <w:rPr>
            <w:rStyle w:val="Hyperlink"/>
            <w:rFonts w:hint="eastAsia"/>
            <w:rtl/>
          </w:rPr>
          <w:t>د</w:t>
        </w:r>
        <w:r w:rsidRPr="00EA00DE">
          <w:rPr>
            <w:rStyle w:val="Hyperlink"/>
            <w:rtl/>
          </w:rPr>
          <w:t xml:space="preserve"> أبوالقاسم الخوئ</w:t>
        </w:r>
        <w:r w:rsidRPr="00EA00DE">
          <w:rPr>
            <w:rStyle w:val="Hyperlink"/>
            <w:rFonts w:hint="cs"/>
            <w:rtl/>
          </w:rPr>
          <w:t>ی</w:t>
        </w:r>
        <w:r w:rsidRPr="00EA00DE">
          <w:rPr>
            <w:rStyle w:val="Hyperlink"/>
            <w:rFonts w:hint="eastAsia"/>
            <w:rtl/>
          </w:rPr>
          <w:t>،</w:t>
        </w:r>
        <w:r w:rsidRPr="00EA00DE">
          <w:rPr>
            <w:rStyle w:val="Hyperlink"/>
            <w:rtl/>
          </w:rPr>
          <w:t xml:space="preserve"> ج14، ص362.</w:t>
        </w:r>
      </w:hyperlink>
    </w:p>
  </w:footnote>
  <w:footnote w:id="4">
    <w:p w14:paraId="25F46E18" w14:textId="77777777" w:rsidR="002E27BA" w:rsidRPr="002E27BA" w:rsidRDefault="002E27BA" w:rsidP="00392DEE">
      <w:pPr>
        <w:pStyle w:val="FootnoteText"/>
        <w:jc w:val="both"/>
      </w:pPr>
      <w:r w:rsidRPr="002E27BA">
        <w:footnoteRef/>
      </w:r>
      <w:r w:rsidRPr="002E27BA">
        <w:rPr>
          <w:rtl/>
        </w:rPr>
        <w:t xml:space="preserve"> </w:t>
      </w:r>
      <w:hyperlink r:id="rId4" w:history="1">
        <w:r w:rsidRPr="002E27BA">
          <w:rPr>
            <w:rStyle w:val="Hyperlink"/>
            <w:rFonts w:hint="eastAsia"/>
            <w:rtl/>
          </w:rPr>
          <w:t>تهذ</w:t>
        </w:r>
        <w:r w:rsidRPr="002E27BA">
          <w:rPr>
            <w:rStyle w:val="Hyperlink"/>
            <w:rFonts w:hint="cs"/>
            <w:rtl/>
          </w:rPr>
          <w:t>ی</w:t>
        </w:r>
        <w:r w:rsidRPr="002E27BA">
          <w:rPr>
            <w:rStyle w:val="Hyperlink"/>
            <w:rFonts w:hint="eastAsia"/>
            <w:rtl/>
          </w:rPr>
          <w:t>ب</w:t>
        </w:r>
        <w:r w:rsidRPr="002E27BA">
          <w:rPr>
            <w:rStyle w:val="Hyperlink"/>
            <w:rtl/>
          </w:rPr>
          <w:t xml:space="preserve"> الاحکام، ش</w:t>
        </w:r>
        <w:r w:rsidRPr="002E27BA">
          <w:rPr>
            <w:rStyle w:val="Hyperlink"/>
            <w:rFonts w:hint="cs"/>
            <w:rtl/>
          </w:rPr>
          <w:t>ی</w:t>
        </w:r>
        <w:r w:rsidRPr="002E27BA">
          <w:rPr>
            <w:rStyle w:val="Hyperlink"/>
            <w:rFonts w:hint="eastAsia"/>
            <w:rtl/>
          </w:rPr>
          <w:t>خ</w:t>
        </w:r>
        <w:r w:rsidRPr="002E27BA">
          <w:rPr>
            <w:rStyle w:val="Hyperlink"/>
            <w:rtl/>
          </w:rPr>
          <w:t xml:space="preserve"> طوس</w:t>
        </w:r>
        <w:r w:rsidRPr="002E27BA">
          <w:rPr>
            <w:rStyle w:val="Hyperlink"/>
            <w:rFonts w:hint="cs"/>
            <w:rtl/>
          </w:rPr>
          <w:t>ی</w:t>
        </w:r>
        <w:r w:rsidRPr="002E27BA">
          <w:rPr>
            <w:rStyle w:val="Hyperlink"/>
            <w:rFonts w:hint="eastAsia"/>
            <w:rtl/>
          </w:rPr>
          <w:t>،</w:t>
        </w:r>
        <w:r w:rsidRPr="002E27BA">
          <w:rPr>
            <w:rStyle w:val="Hyperlink"/>
            <w:rtl/>
          </w:rPr>
          <w:t xml:space="preserve"> ج3، ص342.</w:t>
        </w:r>
      </w:hyperlink>
    </w:p>
  </w:footnote>
  <w:footnote w:id="5">
    <w:p w14:paraId="36075A52" w14:textId="3CBD2C27" w:rsidR="004559A1" w:rsidRPr="004559A1" w:rsidRDefault="004559A1" w:rsidP="00392DEE">
      <w:pPr>
        <w:pStyle w:val="FootnoteText"/>
        <w:jc w:val="both"/>
      </w:pPr>
      <w:r w:rsidRPr="004559A1">
        <w:footnoteRef/>
      </w:r>
      <w:r w:rsidRPr="004559A1">
        <w:rPr>
          <w:rtl/>
        </w:rPr>
        <w:t xml:space="preserve"> </w:t>
      </w:r>
      <w:hyperlink r:id="rId5" w:history="1">
        <w:r w:rsidRPr="004559A1">
          <w:rPr>
            <w:rStyle w:val="Hyperlink"/>
            <w:rtl/>
          </w:rPr>
          <w:t>وسائل الش</w:t>
        </w:r>
        <w:r w:rsidRPr="004559A1">
          <w:rPr>
            <w:rStyle w:val="Hyperlink"/>
            <w:rFonts w:hint="cs"/>
            <w:rtl/>
          </w:rPr>
          <w:t>ی</w:t>
        </w:r>
        <w:r w:rsidRPr="004559A1">
          <w:rPr>
            <w:rStyle w:val="Hyperlink"/>
            <w:rFonts w:hint="eastAsia"/>
            <w:rtl/>
          </w:rPr>
          <w:t>عة،</w:t>
        </w:r>
        <w:r w:rsidRPr="004559A1">
          <w:rPr>
            <w:rStyle w:val="Hyperlink"/>
            <w:rtl/>
          </w:rPr>
          <w:t xml:space="preserve"> الش</w:t>
        </w:r>
        <w:r w:rsidRPr="004559A1">
          <w:rPr>
            <w:rStyle w:val="Hyperlink"/>
            <w:rFonts w:hint="cs"/>
            <w:rtl/>
          </w:rPr>
          <w:t>ی</w:t>
        </w:r>
        <w:r w:rsidRPr="004559A1">
          <w:rPr>
            <w:rStyle w:val="Hyperlink"/>
            <w:rFonts w:hint="eastAsia"/>
            <w:rtl/>
          </w:rPr>
          <w:t>خ</w:t>
        </w:r>
        <w:r w:rsidRPr="004559A1">
          <w:rPr>
            <w:rStyle w:val="Hyperlink"/>
            <w:rtl/>
          </w:rPr>
          <w:t xml:space="preserve"> الحر العاملي، ج6، ص153، أبواب ، باب، ح، ط آل البيت.</w:t>
        </w:r>
      </w:hyperlink>
    </w:p>
  </w:footnote>
  <w:footnote w:id="6">
    <w:p w14:paraId="138EFCE6" w14:textId="1F80A4B0" w:rsidR="00141CE3" w:rsidRPr="00141CE3" w:rsidRDefault="00141CE3" w:rsidP="00392DEE">
      <w:pPr>
        <w:pStyle w:val="FootnoteText"/>
        <w:jc w:val="both"/>
      </w:pPr>
      <w:r w:rsidRPr="00141CE3">
        <w:footnoteRef/>
      </w:r>
      <w:r w:rsidRPr="00141CE3">
        <w:rPr>
          <w:rtl/>
        </w:rPr>
        <w:t xml:space="preserve"> </w:t>
      </w:r>
      <w:hyperlink r:id="rId6" w:history="1">
        <w:r w:rsidRPr="00141CE3">
          <w:rPr>
            <w:rStyle w:val="Hyperlink"/>
            <w:rtl/>
          </w:rPr>
          <w:t>موسوعة الامام الخوئ</w:t>
        </w:r>
        <w:r w:rsidRPr="00141CE3">
          <w:rPr>
            <w:rStyle w:val="Hyperlink"/>
            <w:rFonts w:hint="cs"/>
            <w:rtl/>
          </w:rPr>
          <w:t>ی</w:t>
        </w:r>
        <w:r w:rsidRPr="00141CE3">
          <w:rPr>
            <w:rStyle w:val="Hyperlink"/>
            <w:rFonts w:hint="eastAsia"/>
            <w:rtl/>
          </w:rPr>
          <w:t>،</w:t>
        </w:r>
        <w:r w:rsidRPr="00141CE3">
          <w:rPr>
            <w:rStyle w:val="Hyperlink"/>
            <w:rtl/>
          </w:rPr>
          <w:t xml:space="preserve"> الس</w:t>
        </w:r>
        <w:r w:rsidRPr="00141CE3">
          <w:rPr>
            <w:rStyle w:val="Hyperlink"/>
            <w:rFonts w:hint="cs"/>
            <w:rtl/>
          </w:rPr>
          <w:t>ی</w:t>
        </w:r>
        <w:r w:rsidRPr="00141CE3">
          <w:rPr>
            <w:rStyle w:val="Hyperlink"/>
            <w:rFonts w:hint="eastAsia"/>
            <w:rtl/>
          </w:rPr>
          <w:t>د</w:t>
        </w:r>
        <w:r w:rsidRPr="00141CE3">
          <w:rPr>
            <w:rStyle w:val="Hyperlink"/>
            <w:rtl/>
          </w:rPr>
          <w:t xml:space="preserve"> أبوالقاسم الخوئ</w:t>
        </w:r>
        <w:r w:rsidRPr="00141CE3">
          <w:rPr>
            <w:rStyle w:val="Hyperlink"/>
            <w:rFonts w:hint="cs"/>
            <w:rtl/>
          </w:rPr>
          <w:t>ی</w:t>
        </w:r>
        <w:r w:rsidRPr="00141CE3">
          <w:rPr>
            <w:rStyle w:val="Hyperlink"/>
            <w:rFonts w:hint="eastAsia"/>
            <w:rtl/>
          </w:rPr>
          <w:t>،</w:t>
        </w:r>
        <w:r w:rsidRPr="00141CE3">
          <w:rPr>
            <w:rStyle w:val="Hyperlink"/>
            <w:rtl/>
          </w:rPr>
          <w:t xml:space="preserve"> ج14، ص356.</w:t>
        </w:r>
      </w:hyperlink>
    </w:p>
  </w:footnote>
  <w:footnote w:id="7">
    <w:p w14:paraId="44B28CB7" w14:textId="537315FE" w:rsidR="00141CE3" w:rsidRPr="00141CE3" w:rsidRDefault="00141CE3" w:rsidP="00392DEE">
      <w:pPr>
        <w:pStyle w:val="FootnoteText"/>
        <w:jc w:val="both"/>
      </w:pPr>
      <w:r w:rsidRPr="00141CE3">
        <w:footnoteRef/>
      </w:r>
      <w:r w:rsidRPr="00141CE3">
        <w:rPr>
          <w:rtl/>
        </w:rPr>
        <w:t xml:space="preserve"> </w:t>
      </w:r>
      <w:hyperlink r:id="rId7" w:history="1">
        <w:r w:rsidRPr="00141CE3">
          <w:rPr>
            <w:rStyle w:val="Hyperlink"/>
            <w:rtl/>
          </w:rPr>
          <w:t>بحار الانوار، محمّد باقر المجلس</w:t>
        </w:r>
        <w:r w:rsidRPr="00141CE3">
          <w:rPr>
            <w:rStyle w:val="Hyperlink"/>
            <w:rFonts w:hint="cs"/>
            <w:rtl/>
          </w:rPr>
          <w:t>ی</w:t>
        </w:r>
        <w:r w:rsidRPr="00141CE3">
          <w:rPr>
            <w:rStyle w:val="Hyperlink"/>
            <w:rtl/>
          </w:rPr>
          <w:t xml:space="preserve"> (العلامة المجلس</w:t>
        </w:r>
        <w:r w:rsidRPr="00141CE3">
          <w:rPr>
            <w:rStyle w:val="Hyperlink"/>
            <w:rFonts w:hint="cs"/>
            <w:rtl/>
          </w:rPr>
          <w:t>ی</w:t>
        </w:r>
        <w:r w:rsidRPr="00141CE3">
          <w:rPr>
            <w:rStyle w:val="Hyperlink"/>
            <w:rtl/>
          </w:rPr>
          <w:t>)، ج82، ص16.</w:t>
        </w:r>
      </w:hyperlink>
      <w:r>
        <w:rPr>
          <w:rFonts w:hint="cs"/>
          <w:rtl/>
        </w:rPr>
        <w:t xml:space="preserve"> «</w:t>
      </w:r>
      <w:r w:rsidRPr="00141CE3">
        <w:rPr>
          <w:rtl/>
        </w:rPr>
        <w:t xml:space="preserve"> قُرْبُ الْإِسْنَادِ، وَ كِتَابُ الْمَسَائِلِ، بِسَنَدَيْهِمَا عَنْ عَلِيِّ بْنِ جَعْفَرٍ عَنْ أَخِيهِ مُوسَى ع </w:t>
      </w:r>
      <w:r w:rsidRPr="00A95AC6">
        <w:rPr>
          <w:color w:val="008000"/>
          <w:rtl/>
        </w:rPr>
        <w:t>قَالَ: سَأَلْتُهُ عَنْ رَجُلٍ أَرَادَ سُورَةً فَقَرَأَ غَيْرَهَا هَلْ يَصْلُحُ لَهُ أَنْ يَقْرَأَ نِصْفَهَا ثُمَّ يَرْجِعُ إِلَى السُّورَةِ الَّتِي أَرَادَ قَالَ نَعَمْ مَا لَمْ يَكُنْ قُلْ هُوَ اللَّهُ أَحَدٌ وَ قُلْ يَا أَيُّهَا الْكَافِرُونَ- «1» وَ سَأَلْتُهُ عَنِ الْقِرَاءَةِ فِي الْجُمُعَةِ بِمَا يَقْرَأُ قَالَ بِسُورَةِ الْجُمُعَةِ وَ إِذَا جَاءَكَ الْمُنَافِقُونَ وَ إِنْ أَخَذْتَ فِي غَيْرِهَا وَ إِنْ كَانَ قُلْ هُوَ اللَّهُ أَحَدٌ فَاقْطَعْهَا مِنْ أَوَّلِهَا وَ ارْجِعْ إِلَيْهَ</w:t>
      </w:r>
      <w:r w:rsidRPr="00A95AC6">
        <w:rPr>
          <w:rFonts w:hint="cs"/>
          <w:color w:val="008000"/>
          <w:rtl/>
        </w:rPr>
        <w:t>ا</w:t>
      </w:r>
      <w:r>
        <w:rPr>
          <w:rFonts w:hint="cs"/>
          <w:rtl/>
        </w:rPr>
        <w:t>»</w:t>
      </w:r>
    </w:p>
  </w:footnote>
  <w:footnote w:id="8">
    <w:p w14:paraId="7E7E4451" w14:textId="5B599ED1" w:rsidR="00A834F9" w:rsidRPr="00A834F9" w:rsidRDefault="00A834F9" w:rsidP="00392DEE">
      <w:pPr>
        <w:pStyle w:val="FootnoteText"/>
        <w:jc w:val="both"/>
      </w:pPr>
      <w:r w:rsidRPr="00A834F9">
        <w:footnoteRef/>
      </w:r>
      <w:r w:rsidRPr="00A834F9">
        <w:rPr>
          <w:rtl/>
        </w:rPr>
        <w:t xml:space="preserve"> </w:t>
      </w:r>
      <w:hyperlink r:id="rId8" w:history="1">
        <w:r w:rsidRPr="00A834F9">
          <w:rPr>
            <w:rStyle w:val="Hyperlink"/>
            <w:rtl/>
          </w:rPr>
          <w:t>الکاف</w:t>
        </w:r>
        <w:r w:rsidRPr="00A834F9">
          <w:rPr>
            <w:rStyle w:val="Hyperlink"/>
            <w:rFonts w:hint="cs"/>
            <w:rtl/>
          </w:rPr>
          <w:t>ی</w:t>
        </w:r>
        <w:r w:rsidRPr="00A834F9">
          <w:rPr>
            <w:rStyle w:val="Hyperlink"/>
            <w:rFonts w:hint="eastAsia"/>
            <w:rtl/>
          </w:rPr>
          <w:t>،</w:t>
        </w:r>
        <w:r w:rsidRPr="00A834F9">
          <w:rPr>
            <w:rStyle w:val="Hyperlink"/>
            <w:rtl/>
          </w:rPr>
          <w:t xml:space="preserve"> محمد بن </w:t>
        </w:r>
        <w:r w:rsidRPr="00A834F9">
          <w:rPr>
            <w:rStyle w:val="Hyperlink"/>
            <w:rFonts w:hint="cs"/>
            <w:rtl/>
          </w:rPr>
          <w:t>ی</w:t>
        </w:r>
        <w:r w:rsidRPr="00A834F9">
          <w:rPr>
            <w:rStyle w:val="Hyperlink"/>
            <w:rFonts w:hint="eastAsia"/>
            <w:rtl/>
          </w:rPr>
          <w:t>عقوب</w:t>
        </w:r>
        <w:r w:rsidRPr="00A834F9">
          <w:rPr>
            <w:rStyle w:val="Hyperlink"/>
            <w:rtl/>
          </w:rPr>
          <w:t xml:space="preserve"> کل</w:t>
        </w:r>
        <w:r w:rsidRPr="00A834F9">
          <w:rPr>
            <w:rStyle w:val="Hyperlink"/>
            <w:rFonts w:hint="cs"/>
            <w:rtl/>
          </w:rPr>
          <w:t>ی</w:t>
        </w:r>
        <w:r w:rsidRPr="00A834F9">
          <w:rPr>
            <w:rStyle w:val="Hyperlink"/>
            <w:rFonts w:hint="eastAsia"/>
            <w:rtl/>
          </w:rPr>
          <w:t>ن</w:t>
        </w:r>
        <w:r w:rsidRPr="00A834F9">
          <w:rPr>
            <w:rStyle w:val="Hyperlink"/>
            <w:rFonts w:hint="cs"/>
            <w:rtl/>
          </w:rPr>
          <w:t>ی</w:t>
        </w:r>
        <w:r w:rsidRPr="00A834F9">
          <w:rPr>
            <w:rStyle w:val="Hyperlink"/>
            <w:rFonts w:hint="eastAsia"/>
            <w:rtl/>
          </w:rPr>
          <w:t>،</w:t>
        </w:r>
        <w:r w:rsidRPr="00A834F9">
          <w:rPr>
            <w:rStyle w:val="Hyperlink"/>
            <w:rtl/>
          </w:rPr>
          <w:t xml:space="preserve"> ج3، ص317.</w:t>
        </w:r>
      </w:hyperlink>
    </w:p>
  </w:footnote>
  <w:footnote w:id="9">
    <w:p w14:paraId="5B4FAC12" w14:textId="2E707E7E" w:rsidR="00C602C0" w:rsidRPr="00C602C0" w:rsidRDefault="00C602C0" w:rsidP="00392DEE">
      <w:pPr>
        <w:pStyle w:val="FootnoteText"/>
        <w:jc w:val="both"/>
      </w:pPr>
      <w:r w:rsidRPr="00C602C0">
        <w:footnoteRef/>
      </w:r>
      <w:r w:rsidRPr="00C602C0">
        <w:rPr>
          <w:rtl/>
        </w:rPr>
        <w:t xml:space="preserve"> </w:t>
      </w:r>
      <w:hyperlink r:id="rId9" w:history="1">
        <w:r w:rsidRPr="00C602C0">
          <w:rPr>
            <w:rStyle w:val="Hyperlink"/>
            <w:rFonts w:hint="eastAsia"/>
            <w:rtl/>
          </w:rPr>
          <w:t>تهذ</w:t>
        </w:r>
        <w:r w:rsidRPr="00C602C0">
          <w:rPr>
            <w:rStyle w:val="Hyperlink"/>
            <w:rFonts w:hint="cs"/>
            <w:rtl/>
          </w:rPr>
          <w:t>ی</w:t>
        </w:r>
        <w:r w:rsidRPr="00C602C0">
          <w:rPr>
            <w:rStyle w:val="Hyperlink"/>
            <w:rFonts w:hint="eastAsia"/>
            <w:rtl/>
          </w:rPr>
          <w:t>ب</w:t>
        </w:r>
        <w:r w:rsidRPr="00C602C0">
          <w:rPr>
            <w:rStyle w:val="Hyperlink"/>
            <w:rtl/>
          </w:rPr>
          <w:t xml:space="preserve"> الاحکام، ش</w:t>
        </w:r>
        <w:r w:rsidRPr="00C602C0">
          <w:rPr>
            <w:rStyle w:val="Hyperlink"/>
            <w:rFonts w:hint="cs"/>
            <w:rtl/>
          </w:rPr>
          <w:t>ی</w:t>
        </w:r>
        <w:r w:rsidRPr="00C602C0">
          <w:rPr>
            <w:rStyle w:val="Hyperlink"/>
            <w:rFonts w:hint="eastAsia"/>
            <w:rtl/>
          </w:rPr>
          <w:t>خ</w:t>
        </w:r>
        <w:r w:rsidRPr="00C602C0">
          <w:rPr>
            <w:rStyle w:val="Hyperlink"/>
            <w:rtl/>
          </w:rPr>
          <w:t xml:space="preserve"> طوس</w:t>
        </w:r>
        <w:r w:rsidRPr="00C602C0">
          <w:rPr>
            <w:rStyle w:val="Hyperlink"/>
            <w:rFonts w:hint="cs"/>
            <w:rtl/>
          </w:rPr>
          <w:t>ی</w:t>
        </w:r>
        <w:r w:rsidRPr="00C602C0">
          <w:rPr>
            <w:rStyle w:val="Hyperlink"/>
            <w:rFonts w:hint="eastAsia"/>
            <w:rtl/>
          </w:rPr>
          <w:t>،</w:t>
        </w:r>
        <w:r w:rsidRPr="00C602C0">
          <w:rPr>
            <w:rStyle w:val="Hyperlink"/>
            <w:rtl/>
          </w:rPr>
          <w:t xml:space="preserve"> ج3، ص242.</w:t>
        </w:r>
      </w:hyperlink>
    </w:p>
  </w:footnote>
  <w:footnote w:id="10">
    <w:p w14:paraId="4D772024" w14:textId="33CFDE0B" w:rsidR="00970BDA" w:rsidRPr="00970BDA" w:rsidRDefault="00970BDA" w:rsidP="00392DEE">
      <w:pPr>
        <w:pStyle w:val="FootnoteText"/>
        <w:jc w:val="both"/>
      </w:pPr>
      <w:r w:rsidRPr="00970BDA">
        <w:footnoteRef/>
      </w:r>
      <w:r w:rsidRPr="00970BDA">
        <w:rPr>
          <w:rtl/>
        </w:rPr>
        <w:t xml:space="preserve"> </w:t>
      </w:r>
      <w:hyperlink r:id="rId10" w:history="1">
        <w:r w:rsidRPr="00970BDA">
          <w:rPr>
            <w:rStyle w:val="Hyperlink"/>
            <w:rFonts w:hint="eastAsia"/>
            <w:rtl/>
          </w:rPr>
          <w:t>تهذ</w:t>
        </w:r>
        <w:r w:rsidRPr="00970BDA">
          <w:rPr>
            <w:rStyle w:val="Hyperlink"/>
            <w:rFonts w:hint="cs"/>
            <w:rtl/>
          </w:rPr>
          <w:t>ی</w:t>
        </w:r>
        <w:r w:rsidRPr="00970BDA">
          <w:rPr>
            <w:rStyle w:val="Hyperlink"/>
            <w:rFonts w:hint="eastAsia"/>
            <w:rtl/>
          </w:rPr>
          <w:t>ب</w:t>
        </w:r>
        <w:r w:rsidRPr="00970BDA">
          <w:rPr>
            <w:rStyle w:val="Hyperlink"/>
            <w:rtl/>
          </w:rPr>
          <w:t xml:space="preserve"> الاحکام، ش</w:t>
        </w:r>
        <w:r w:rsidRPr="00970BDA">
          <w:rPr>
            <w:rStyle w:val="Hyperlink"/>
            <w:rFonts w:hint="cs"/>
            <w:rtl/>
          </w:rPr>
          <w:t>ی</w:t>
        </w:r>
        <w:r w:rsidRPr="00970BDA">
          <w:rPr>
            <w:rStyle w:val="Hyperlink"/>
            <w:rFonts w:hint="eastAsia"/>
            <w:rtl/>
          </w:rPr>
          <w:t>خ</w:t>
        </w:r>
        <w:r w:rsidRPr="00970BDA">
          <w:rPr>
            <w:rStyle w:val="Hyperlink"/>
            <w:rtl/>
          </w:rPr>
          <w:t xml:space="preserve"> طوس</w:t>
        </w:r>
        <w:r w:rsidRPr="00970BDA">
          <w:rPr>
            <w:rStyle w:val="Hyperlink"/>
            <w:rFonts w:hint="cs"/>
            <w:rtl/>
          </w:rPr>
          <w:t>ی</w:t>
        </w:r>
        <w:r w:rsidRPr="00970BDA">
          <w:rPr>
            <w:rStyle w:val="Hyperlink"/>
            <w:rFonts w:hint="eastAsia"/>
            <w:rtl/>
          </w:rPr>
          <w:t>،</w:t>
        </w:r>
        <w:r w:rsidRPr="00970BDA">
          <w:rPr>
            <w:rStyle w:val="Hyperlink"/>
            <w:rtl/>
          </w:rPr>
          <w:t xml:space="preserve"> ج2، ص190.</w:t>
        </w:r>
      </w:hyperlink>
    </w:p>
  </w:footnote>
  <w:footnote w:id="11">
    <w:p w14:paraId="4A08A282" w14:textId="2366C17B" w:rsidR="00013828" w:rsidRPr="00013828" w:rsidRDefault="00013828" w:rsidP="00392DEE">
      <w:pPr>
        <w:pStyle w:val="FootnoteText"/>
        <w:jc w:val="both"/>
      </w:pPr>
      <w:r w:rsidRPr="00013828">
        <w:footnoteRef/>
      </w:r>
      <w:r w:rsidRPr="00013828">
        <w:rPr>
          <w:rtl/>
        </w:rPr>
        <w:t xml:space="preserve"> </w:t>
      </w:r>
      <w:hyperlink r:id="rId11" w:history="1">
        <w:r w:rsidRPr="00013828">
          <w:rPr>
            <w:rStyle w:val="Hyperlink"/>
            <w:rtl/>
          </w:rPr>
          <w:t>تهذ</w:t>
        </w:r>
        <w:r w:rsidRPr="00013828">
          <w:rPr>
            <w:rStyle w:val="Hyperlink"/>
            <w:rFonts w:hint="cs"/>
            <w:rtl/>
          </w:rPr>
          <w:t>ی</w:t>
        </w:r>
        <w:r w:rsidRPr="00013828">
          <w:rPr>
            <w:rStyle w:val="Hyperlink"/>
            <w:rFonts w:hint="eastAsia"/>
            <w:rtl/>
          </w:rPr>
          <w:t>ب</w:t>
        </w:r>
        <w:r w:rsidRPr="00013828">
          <w:rPr>
            <w:rStyle w:val="Hyperlink"/>
            <w:rtl/>
          </w:rPr>
          <w:t xml:space="preserve"> الاحکام، ش</w:t>
        </w:r>
        <w:r w:rsidRPr="00013828">
          <w:rPr>
            <w:rStyle w:val="Hyperlink"/>
            <w:rFonts w:hint="cs"/>
            <w:rtl/>
          </w:rPr>
          <w:t>ی</w:t>
        </w:r>
        <w:r w:rsidRPr="00013828">
          <w:rPr>
            <w:rStyle w:val="Hyperlink"/>
            <w:rFonts w:hint="eastAsia"/>
            <w:rtl/>
          </w:rPr>
          <w:t>خ</w:t>
        </w:r>
        <w:r w:rsidRPr="00013828">
          <w:rPr>
            <w:rStyle w:val="Hyperlink"/>
            <w:rtl/>
          </w:rPr>
          <w:t xml:space="preserve"> طوس</w:t>
        </w:r>
        <w:r w:rsidRPr="00013828">
          <w:rPr>
            <w:rStyle w:val="Hyperlink"/>
            <w:rFonts w:hint="cs"/>
            <w:rtl/>
          </w:rPr>
          <w:t>ی</w:t>
        </w:r>
        <w:r w:rsidRPr="00013828">
          <w:rPr>
            <w:rStyle w:val="Hyperlink"/>
            <w:rFonts w:hint="eastAsia"/>
            <w:rtl/>
          </w:rPr>
          <w:t>،</w:t>
        </w:r>
        <w:r w:rsidRPr="00013828">
          <w:rPr>
            <w:rStyle w:val="Hyperlink"/>
            <w:rtl/>
          </w:rPr>
          <w:t xml:space="preserve"> ج3، ص242.</w:t>
        </w:r>
      </w:hyperlink>
    </w:p>
  </w:footnote>
  <w:footnote w:id="12">
    <w:p w14:paraId="72834670" w14:textId="5A3236FB" w:rsidR="000011EF" w:rsidRPr="000011EF" w:rsidRDefault="000011EF" w:rsidP="00392DEE">
      <w:pPr>
        <w:pStyle w:val="FootnoteText"/>
        <w:jc w:val="both"/>
      </w:pPr>
      <w:r w:rsidRPr="000011EF">
        <w:footnoteRef/>
      </w:r>
      <w:r w:rsidRPr="000011EF">
        <w:rPr>
          <w:rtl/>
        </w:rPr>
        <w:t xml:space="preserve"> </w:t>
      </w:r>
      <w:hyperlink r:id="rId12" w:history="1">
        <w:r w:rsidRPr="000011EF">
          <w:rPr>
            <w:rStyle w:val="Hyperlink"/>
            <w:rFonts w:hint="eastAsia"/>
            <w:rtl/>
          </w:rPr>
          <w:t>موسوعة</w:t>
        </w:r>
        <w:r w:rsidRPr="000011EF">
          <w:rPr>
            <w:rStyle w:val="Hyperlink"/>
            <w:rtl/>
          </w:rPr>
          <w:t xml:space="preserve"> الامام الخوئ</w:t>
        </w:r>
        <w:r w:rsidRPr="000011EF">
          <w:rPr>
            <w:rStyle w:val="Hyperlink"/>
            <w:rFonts w:hint="cs"/>
            <w:rtl/>
          </w:rPr>
          <w:t>ی</w:t>
        </w:r>
        <w:r w:rsidRPr="000011EF">
          <w:rPr>
            <w:rStyle w:val="Hyperlink"/>
            <w:rFonts w:hint="eastAsia"/>
            <w:rtl/>
          </w:rPr>
          <w:t>،</w:t>
        </w:r>
        <w:r w:rsidRPr="000011EF">
          <w:rPr>
            <w:rStyle w:val="Hyperlink"/>
            <w:rtl/>
          </w:rPr>
          <w:t xml:space="preserve"> الس</w:t>
        </w:r>
        <w:r w:rsidRPr="000011EF">
          <w:rPr>
            <w:rStyle w:val="Hyperlink"/>
            <w:rFonts w:hint="cs"/>
            <w:rtl/>
          </w:rPr>
          <w:t>ی</w:t>
        </w:r>
        <w:r w:rsidRPr="000011EF">
          <w:rPr>
            <w:rStyle w:val="Hyperlink"/>
            <w:rFonts w:hint="eastAsia"/>
            <w:rtl/>
          </w:rPr>
          <w:t>د</w:t>
        </w:r>
        <w:r w:rsidRPr="000011EF">
          <w:rPr>
            <w:rStyle w:val="Hyperlink"/>
            <w:rtl/>
          </w:rPr>
          <w:t xml:space="preserve"> أبوالقاسم الخوئ</w:t>
        </w:r>
        <w:r w:rsidRPr="000011EF">
          <w:rPr>
            <w:rStyle w:val="Hyperlink"/>
            <w:rFonts w:hint="cs"/>
            <w:rtl/>
          </w:rPr>
          <w:t>ی</w:t>
        </w:r>
        <w:r w:rsidRPr="000011EF">
          <w:rPr>
            <w:rStyle w:val="Hyperlink"/>
            <w:rFonts w:hint="eastAsia"/>
            <w:rtl/>
          </w:rPr>
          <w:t>،</w:t>
        </w:r>
        <w:r w:rsidRPr="000011EF">
          <w:rPr>
            <w:rStyle w:val="Hyperlink"/>
            <w:rtl/>
          </w:rPr>
          <w:t xml:space="preserve"> ج14، ص363.</w:t>
        </w:r>
      </w:hyperlink>
    </w:p>
  </w:footnote>
  <w:footnote w:id="13">
    <w:p w14:paraId="7BEAA136" w14:textId="62B9BCCF" w:rsidR="00175CF3" w:rsidRPr="00175CF3" w:rsidRDefault="00175CF3" w:rsidP="00392DEE">
      <w:pPr>
        <w:pStyle w:val="FootnoteText"/>
        <w:jc w:val="both"/>
      </w:pPr>
      <w:r w:rsidRPr="00175CF3">
        <w:footnoteRef/>
      </w:r>
      <w:r w:rsidRPr="00175CF3">
        <w:rPr>
          <w:rtl/>
        </w:rPr>
        <w:t xml:space="preserve"> </w:t>
      </w:r>
      <w:hyperlink r:id="rId13" w:history="1">
        <w:r w:rsidRPr="00175CF3">
          <w:rPr>
            <w:rStyle w:val="Hyperlink"/>
            <w:rtl/>
          </w:rPr>
          <w:t>العروة الوثق</w:t>
        </w:r>
        <w:r w:rsidRPr="00175CF3">
          <w:rPr>
            <w:rStyle w:val="Hyperlink"/>
            <w:rFonts w:hint="cs"/>
            <w:rtl/>
          </w:rPr>
          <w:t>ی</w:t>
        </w:r>
        <w:r w:rsidRPr="00175CF3">
          <w:rPr>
            <w:rStyle w:val="Hyperlink"/>
            <w:rFonts w:hint="eastAsia"/>
            <w:rtl/>
          </w:rPr>
          <w:t>،</w:t>
        </w:r>
        <w:r w:rsidRPr="00175CF3">
          <w:rPr>
            <w:rStyle w:val="Hyperlink"/>
            <w:rtl/>
          </w:rPr>
          <w:t xml:space="preserve"> الس</w:t>
        </w:r>
        <w:r w:rsidRPr="00175CF3">
          <w:rPr>
            <w:rStyle w:val="Hyperlink"/>
            <w:rFonts w:hint="cs"/>
            <w:rtl/>
          </w:rPr>
          <w:t>ی</w:t>
        </w:r>
        <w:r w:rsidRPr="00175CF3">
          <w:rPr>
            <w:rStyle w:val="Hyperlink"/>
            <w:rFonts w:hint="eastAsia"/>
            <w:rtl/>
          </w:rPr>
          <w:t>د</w:t>
        </w:r>
        <w:r w:rsidRPr="00175CF3">
          <w:rPr>
            <w:rStyle w:val="Hyperlink"/>
            <w:rtl/>
          </w:rPr>
          <w:t xml:space="preserve"> محمد کاظم الطباطبائ</w:t>
        </w:r>
        <w:r w:rsidRPr="00175CF3">
          <w:rPr>
            <w:rStyle w:val="Hyperlink"/>
            <w:rFonts w:hint="cs"/>
            <w:rtl/>
          </w:rPr>
          <w:t>ی</w:t>
        </w:r>
        <w:r w:rsidRPr="00175CF3">
          <w:rPr>
            <w:rStyle w:val="Hyperlink"/>
            <w:rtl/>
          </w:rPr>
          <w:t xml:space="preserve"> ال</w:t>
        </w:r>
        <w:r w:rsidRPr="00175CF3">
          <w:rPr>
            <w:rStyle w:val="Hyperlink"/>
            <w:rFonts w:hint="cs"/>
            <w:rtl/>
          </w:rPr>
          <w:t>ی</w:t>
        </w:r>
        <w:r w:rsidRPr="00175CF3">
          <w:rPr>
            <w:rStyle w:val="Hyperlink"/>
            <w:rFonts w:hint="eastAsia"/>
            <w:rtl/>
          </w:rPr>
          <w:t>زد</w:t>
        </w:r>
        <w:r w:rsidRPr="00175CF3">
          <w:rPr>
            <w:rStyle w:val="Hyperlink"/>
            <w:rFonts w:hint="cs"/>
            <w:rtl/>
          </w:rPr>
          <w:t>ی</w:t>
        </w:r>
        <w:r w:rsidRPr="00175CF3">
          <w:rPr>
            <w:rStyle w:val="Hyperlink"/>
            <w:rFonts w:hint="eastAsia"/>
            <w:rtl/>
          </w:rPr>
          <w:t>،</w:t>
        </w:r>
        <w:r w:rsidRPr="00175CF3">
          <w:rPr>
            <w:rStyle w:val="Hyperlink"/>
            <w:rtl/>
          </w:rPr>
          <w:t xml:space="preserve"> ج1، ص649.</w:t>
        </w:r>
      </w:hyperlink>
    </w:p>
  </w:footnote>
  <w:footnote w:id="14">
    <w:p w14:paraId="734401F9" w14:textId="76949C49" w:rsidR="00793A7E" w:rsidRPr="00793A7E" w:rsidRDefault="00793A7E" w:rsidP="00392DEE">
      <w:pPr>
        <w:pStyle w:val="FootnoteText"/>
        <w:jc w:val="both"/>
      </w:pPr>
      <w:r w:rsidRPr="00793A7E">
        <w:footnoteRef/>
      </w:r>
      <w:r w:rsidRPr="00793A7E">
        <w:rPr>
          <w:rtl/>
        </w:rPr>
        <w:t xml:space="preserve"> </w:t>
      </w:r>
      <w:hyperlink r:id="rId14" w:history="1">
        <w:r w:rsidRPr="00793A7E">
          <w:rPr>
            <w:rStyle w:val="Hyperlink"/>
            <w:rFonts w:hint="eastAsia"/>
            <w:rtl/>
          </w:rPr>
          <w:t>مستدرک</w:t>
        </w:r>
        <w:r w:rsidRPr="00793A7E">
          <w:rPr>
            <w:rStyle w:val="Hyperlink"/>
            <w:rtl/>
          </w:rPr>
          <w:t xml:space="preserve"> الوسائل، محدث نور</w:t>
        </w:r>
        <w:r w:rsidRPr="00793A7E">
          <w:rPr>
            <w:rStyle w:val="Hyperlink"/>
            <w:rFonts w:hint="cs"/>
            <w:rtl/>
          </w:rPr>
          <w:t>ی</w:t>
        </w:r>
        <w:r w:rsidRPr="00793A7E">
          <w:rPr>
            <w:rStyle w:val="Hyperlink"/>
            <w:rFonts w:hint="eastAsia"/>
            <w:rtl/>
          </w:rPr>
          <w:t>،</w:t>
        </w:r>
        <w:r w:rsidRPr="00793A7E">
          <w:rPr>
            <w:rStyle w:val="Hyperlink"/>
            <w:rtl/>
          </w:rPr>
          <w:t xml:space="preserve"> ج4، ص222.</w:t>
        </w:r>
      </w:hyperlink>
    </w:p>
  </w:footnote>
  <w:footnote w:id="15">
    <w:p w14:paraId="7C55767B" w14:textId="5D966A1A" w:rsidR="00AF0B83" w:rsidRPr="00AF0B83" w:rsidRDefault="00AF0B83" w:rsidP="00392DEE">
      <w:pPr>
        <w:pStyle w:val="FootnoteText"/>
        <w:jc w:val="both"/>
      </w:pPr>
      <w:r w:rsidRPr="00AF0B83">
        <w:footnoteRef/>
      </w:r>
      <w:r w:rsidRPr="00AF0B83">
        <w:rPr>
          <w:rtl/>
        </w:rPr>
        <w:t xml:space="preserve"> </w:t>
      </w:r>
      <w:hyperlink r:id="rId15" w:history="1">
        <w:r w:rsidRPr="00AF0B83">
          <w:rPr>
            <w:rStyle w:val="Hyperlink"/>
            <w:rtl/>
          </w:rPr>
          <w:t>موسوعة الامام الخوئ</w:t>
        </w:r>
        <w:r w:rsidRPr="00AF0B83">
          <w:rPr>
            <w:rStyle w:val="Hyperlink"/>
            <w:rFonts w:hint="cs"/>
            <w:rtl/>
          </w:rPr>
          <w:t>ی</w:t>
        </w:r>
        <w:r w:rsidRPr="00AF0B83">
          <w:rPr>
            <w:rStyle w:val="Hyperlink"/>
            <w:rFonts w:hint="eastAsia"/>
            <w:rtl/>
          </w:rPr>
          <w:t>،</w:t>
        </w:r>
        <w:r w:rsidRPr="00AF0B83">
          <w:rPr>
            <w:rStyle w:val="Hyperlink"/>
            <w:rtl/>
          </w:rPr>
          <w:t xml:space="preserve"> الس</w:t>
        </w:r>
        <w:r w:rsidRPr="00AF0B83">
          <w:rPr>
            <w:rStyle w:val="Hyperlink"/>
            <w:rFonts w:hint="cs"/>
            <w:rtl/>
          </w:rPr>
          <w:t>ی</w:t>
        </w:r>
        <w:r w:rsidRPr="00AF0B83">
          <w:rPr>
            <w:rStyle w:val="Hyperlink"/>
            <w:rFonts w:hint="eastAsia"/>
            <w:rtl/>
          </w:rPr>
          <w:t>د</w:t>
        </w:r>
        <w:r w:rsidRPr="00AF0B83">
          <w:rPr>
            <w:rStyle w:val="Hyperlink"/>
            <w:rtl/>
          </w:rPr>
          <w:t xml:space="preserve"> أبوالقاسم الخوئ</w:t>
        </w:r>
        <w:r w:rsidRPr="00AF0B83">
          <w:rPr>
            <w:rStyle w:val="Hyperlink"/>
            <w:rFonts w:hint="cs"/>
            <w:rtl/>
          </w:rPr>
          <w:t>ی</w:t>
        </w:r>
        <w:r w:rsidRPr="00AF0B83">
          <w:rPr>
            <w:rStyle w:val="Hyperlink"/>
            <w:rFonts w:hint="eastAsia"/>
            <w:rtl/>
          </w:rPr>
          <w:t>،</w:t>
        </w:r>
        <w:r w:rsidRPr="00AF0B83">
          <w:rPr>
            <w:rStyle w:val="Hyperlink"/>
            <w:rtl/>
          </w:rPr>
          <w:t xml:space="preserve"> ج14، ص364.</w:t>
        </w:r>
      </w:hyperlink>
    </w:p>
  </w:footnote>
  <w:footnote w:id="16">
    <w:p w14:paraId="35C7C8C2" w14:textId="2ACE69ED" w:rsidR="00302F4D" w:rsidRPr="00302F4D" w:rsidRDefault="00302F4D" w:rsidP="00392DEE">
      <w:pPr>
        <w:pStyle w:val="FootnoteText"/>
        <w:jc w:val="both"/>
      </w:pPr>
      <w:r w:rsidRPr="00302F4D">
        <w:footnoteRef/>
      </w:r>
      <w:r w:rsidRPr="00302F4D">
        <w:rPr>
          <w:rtl/>
        </w:rPr>
        <w:t xml:space="preserve"> </w:t>
      </w:r>
      <w:hyperlink r:id="rId16" w:history="1">
        <w:r w:rsidRPr="00302F4D">
          <w:rPr>
            <w:rStyle w:val="Hyperlink"/>
            <w:rtl/>
          </w:rPr>
          <w:t>العروة الوثق</w:t>
        </w:r>
        <w:r w:rsidRPr="00302F4D">
          <w:rPr>
            <w:rStyle w:val="Hyperlink"/>
            <w:rFonts w:hint="cs"/>
            <w:rtl/>
          </w:rPr>
          <w:t>ی</w:t>
        </w:r>
        <w:r w:rsidRPr="00302F4D">
          <w:rPr>
            <w:rStyle w:val="Hyperlink"/>
            <w:rFonts w:hint="eastAsia"/>
            <w:rtl/>
          </w:rPr>
          <w:t>،</w:t>
        </w:r>
        <w:r w:rsidRPr="00302F4D">
          <w:rPr>
            <w:rStyle w:val="Hyperlink"/>
            <w:rtl/>
          </w:rPr>
          <w:t xml:space="preserve"> الس</w:t>
        </w:r>
        <w:r w:rsidRPr="00302F4D">
          <w:rPr>
            <w:rStyle w:val="Hyperlink"/>
            <w:rFonts w:hint="cs"/>
            <w:rtl/>
          </w:rPr>
          <w:t>ی</w:t>
        </w:r>
        <w:r w:rsidRPr="00302F4D">
          <w:rPr>
            <w:rStyle w:val="Hyperlink"/>
            <w:rFonts w:hint="eastAsia"/>
            <w:rtl/>
          </w:rPr>
          <w:t>د</w:t>
        </w:r>
        <w:r w:rsidRPr="00302F4D">
          <w:rPr>
            <w:rStyle w:val="Hyperlink"/>
            <w:rtl/>
          </w:rPr>
          <w:t xml:space="preserve"> محمد کاظم الطباطبائ</w:t>
        </w:r>
        <w:r w:rsidRPr="00302F4D">
          <w:rPr>
            <w:rStyle w:val="Hyperlink"/>
            <w:rFonts w:hint="cs"/>
            <w:rtl/>
          </w:rPr>
          <w:t>ی</w:t>
        </w:r>
        <w:r w:rsidRPr="00302F4D">
          <w:rPr>
            <w:rStyle w:val="Hyperlink"/>
            <w:rtl/>
          </w:rPr>
          <w:t xml:space="preserve"> ال</w:t>
        </w:r>
        <w:r w:rsidRPr="00302F4D">
          <w:rPr>
            <w:rStyle w:val="Hyperlink"/>
            <w:rFonts w:hint="cs"/>
            <w:rtl/>
          </w:rPr>
          <w:t>ی</w:t>
        </w:r>
        <w:r w:rsidRPr="00302F4D">
          <w:rPr>
            <w:rStyle w:val="Hyperlink"/>
            <w:rFonts w:hint="eastAsia"/>
            <w:rtl/>
          </w:rPr>
          <w:t>زد</w:t>
        </w:r>
        <w:r w:rsidRPr="00302F4D">
          <w:rPr>
            <w:rStyle w:val="Hyperlink"/>
            <w:rFonts w:hint="cs"/>
            <w:rtl/>
          </w:rPr>
          <w:t>ی</w:t>
        </w:r>
        <w:r w:rsidRPr="00302F4D">
          <w:rPr>
            <w:rStyle w:val="Hyperlink"/>
            <w:rFonts w:hint="eastAsia"/>
            <w:rtl/>
          </w:rPr>
          <w:t>،</w:t>
        </w:r>
        <w:r w:rsidRPr="00302F4D">
          <w:rPr>
            <w:rStyle w:val="Hyperlink"/>
            <w:rtl/>
          </w:rPr>
          <w:t xml:space="preserve"> ج1، ص649.</w:t>
        </w:r>
      </w:hyperlink>
    </w:p>
  </w:footnote>
  <w:footnote w:id="17">
    <w:p w14:paraId="30D7E7AE" w14:textId="77777777" w:rsidR="00BB414E" w:rsidRPr="00A834F9" w:rsidRDefault="00BB414E" w:rsidP="00392DEE">
      <w:pPr>
        <w:pStyle w:val="FootnoteText"/>
        <w:jc w:val="both"/>
      </w:pPr>
      <w:r w:rsidRPr="00A834F9">
        <w:footnoteRef/>
      </w:r>
      <w:r w:rsidRPr="00A834F9">
        <w:rPr>
          <w:rtl/>
        </w:rPr>
        <w:t xml:space="preserve"> </w:t>
      </w:r>
      <w:hyperlink r:id="rId17" w:history="1">
        <w:r w:rsidRPr="00A834F9">
          <w:rPr>
            <w:rStyle w:val="Hyperlink"/>
            <w:rtl/>
          </w:rPr>
          <w:t>الکاف</w:t>
        </w:r>
        <w:r w:rsidRPr="00A834F9">
          <w:rPr>
            <w:rStyle w:val="Hyperlink"/>
            <w:rFonts w:hint="cs"/>
            <w:rtl/>
          </w:rPr>
          <w:t>ی</w:t>
        </w:r>
        <w:r w:rsidRPr="00A834F9">
          <w:rPr>
            <w:rStyle w:val="Hyperlink"/>
            <w:rFonts w:hint="eastAsia"/>
            <w:rtl/>
          </w:rPr>
          <w:t>،</w:t>
        </w:r>
        <w:r w:rsidRPr="00A834F9">
          <w:rPr>
            <w:rStyle w:val="Hyperlink"/>
            <w:rtl/>
          </w:rPr>
          <w:t xml:space="preserve"> محمد بن </w:t>
        </w:r>
        <w:r w:rsidRPr="00A834F9">
          <w:rPr>
            <w:rStyle w:val="Hyperlink"/>
            <w:rFonts w:hint="cs"/>
            <w:rtl/>
          </w:rPr>
          <w:t>ی</w:t>
        </w:r>
        <w:r w:rsidRPr="00A834F9">
          <w:rPr>
            <w:rStyle w:val="Hyperlink"/>
            <w:rFonts w:hint="eastAsia"/>
            <w:rtl/>
          </w:rPr>
          <w:t>عقوب</w:t>
        </w:r>
        <w:r w:rsidRPr="00A834F9">
          <w:rPr>
            <w:rStyle w:val="Hyperlink"/>
            <w:rtl/>
          </w:rPr>
          <w:t xml:space="preserve"> کل</w:t>
        </w:r>
        <w:r w:rsidRPr="00A834F9">
          <w:rPr>
            <w:rStyle w:val="Hyperlink"/>
            <w:rFonts w:hint="cs"/>
            <w:rtl/>
          </w:rPr>
          <w:t>ی</w:t>
        </w:r>
        <w:r w:rsidRPr="00A834F9">
          <w:rPr>
            <w:rStyle w:val="Hyperlink"/>
            <w:rFonts w:hint="eastAsia"/>
            <w:rtl/>
          </w:rPr>
          <w:t>ن</w:t>
        </w:r>
        <w:r w:rsidRPr="00A834F9">
          <w:rPr>
            <w:rStyle w:val="Hyperlink"/>
            <w:rFonts w:hint="cs"/>
            <w:rtl/>
          </w:rPr>
          <w:t>ی</w:t>
        </w:r>
        <w:r w:rsidRPr="00A834F9">
          <w:rPr>
            <w:rStyle w:val="Hyperlink"/>
            <w:rFonts w:hint="eastAsia"/>
            <w:rtl/>
          </w:rPr>
          <w:t>،</w:t>
        </w:r>
        <w:r w:rsidRPr="00A834F9">
          <w:rPr>
            <w:rStyle w:val="Hyperlink"/>
            <w:rtl/>
          </w:rPr>
          <w:t xml:space="preserve"> ج3، ص317.</w:t>
        </w:r>
      </w:hyperlink>
    </w:p>
  </w:footnote>
  <w:footnote w:id="18">
    <w:p w14:paraId="25E59445" w14:textId="6B0633BC" w:rsidR="0025624F" w:rsidRPr="0025624F" w:rsidRDefault="0025624F" w:rsidP="00392DEE">
      <w:pPr>
        <w:pStyle w:val="FootnoteText"/>
        <w:jc w:val="both"/>
      </w:pPr>
      <w:r w:rsidRPr="0025624F">
        <w:footnoteRef/>
      </w:r>
      <w:r w:rsidRPr="0025624F">
        <w:rPr>
          <w:rtl/>
        </w:rPr>
        <w:t xml:space="preserve"> </w:t>
      </w:r>
      <w:hyperlink r:id="rId18" w:history="1">
        <w:r w:rsidRPr="0025624F">
          <w:rPr>
            <w:rStyle w:val="Hyperlink"/>
            <w:rFonts w:hint="eastAsia"/>
            <w:rtl/>
          </w:rPr>
          <w:t>تهذ</w:t>
        </w:r>
        <w:r w:rsidRPr="0025624F">
          <w:rPr>
            <w:rStyle w:val="Hyperlink"/>
            <w:rFonts w:hint="cs"/>
            <w:rtl/>
          </w:rPr>
          <w:t>ی</w:t>
        </w:r>
        <w:r w:rsidRPr="0025624F">
          <w:rPr>
            <w:rStyle w:val="Hyperlink"/>
            <w:rFonts w:hint="eastAsia"/>
            <w:rtl/>
          </w:rPr>
          <w:t>ب</w:t>
        </w:r>
        <w:r w:rsidRPr="0025624F">
          <w:rPr>
            <w:rStyle w:val="Hyperlink"/>
            <w:rtl/>
          </w:rPr>
          <w:t xml:space="preserve"> الاحکام، ش</w:t>
        </w:r>
        <w:r w:rsidRPr="0025624F">
          <w:rPr>
            <w:rStyle w:val="Hyperlink"/>
            <w:rFonts w:hint="cs"/>
            <w:rtl/>
          </w:rPr>
          <w:t>ی</w:t>
        </w:r>
        <w:r w:rsidRPr="0025624F">
          <w:rPr>
            <w:rStyle w:val="Hyperlink"/>
            <w:rFonts w:hint="eastAsia"/>
            <w:rtl/>
          </w:rPr>
          <w:t>خ</w:t>
        </w:r>
        <w:r w:rsidRPr="0025624F">
          <w:rPr>
            <w:rStyle w:val="Hyperlink"/>
            <w:rtl/>
          </w:rPr>
          <w:t xml:space="preserve"> طوس</w:t>
        </w:r>
        <w:r w:rsidRPr="0025624F">
          <w:rPr>
            <w:rStyle w:val="Hyperlink"/>
            <w:rFonts w:hint="cs"/>
            <w:rtl/>
          </w:rPr>
          <w:t>ی</w:t>
        </w:r>
        <w:r w:rsidRPr="0025624F">
          <w:rPr>
            <w:rStyle w:val="Hyperlink"/>
            <w:rFonts w:hint="eastAsia"/>
            <w:rtl/>
          </w:rPr>
          <w:t>،</w:t>
        </w:r>
        <w:r w:rsidRPr="0025624F">
          <w:rPr>
            <w:rStyle w:val="Hyperlink"/>
            <w:rtl/>
          </w:rPr>
          <w:t xml:space="preserve"> ج2، ص293.</w:t>
        </w:r>
      </w:hyperlink>
    </w:p>
  </w:footnote>
  <w:footnote w:id="19">
    <w:p w14:paraId="1EE501FA" w14:textId="6B11BE3B" w:rsidR="00392DEE" w:rsidRPr="00392DEE" w:rsidRDefault="00392DEE" w:rsidP="00392DEE">
      <w:pPr>
        <w:pStyle w:val="FootnoteText"/>
        <w:jc w:val="both"/>
      </w:pPr>
      <w:r w:rsidRPr="00392DEE">
        <w:footnoteRef/>
      </w:r>
      <w:r w:rsidRPr="00392DEE">
        <w:rPr>
          <w:rtl/>
        </w:rPr>
        <w:t xml:space="preserve"> </w:t>
      </w:r>
      <w:hyperlink r:id="rId19" w:history="1">
        <w:r w:rsidRPr="00392DEE">
          <w:rPr>
            <w:rStyle w:val="Hyperlink"/>
            <w:rtl/>
          </w:rPr>
          <w:t>موسوعة الامام الخوئ</w:t>
        </w:r>
        <w:r w:rsidRPr="00392DEE">
          <w:rPr>
            <w:rStyle w:val="Hyperlink"/>
            <w:rFonts w:hint="cs"/>
            <w:rtl/>
          </w:rPr>
          <w:t>ی</w:t>
        </w:r>
        <w:r w:rsidRPr="00392DEE">
          <w:rPr>
            <w:rStyle w:val="Hyperlink"/>
            <w:rFonts w:hint="eastAsia"/>
            <w:rtl/>
          </w:rPr>
          <w:t>،</w:t>
        </w:r>
        <w:r w:rsidRPr="00392DEE">
          <w:rPr>
            <w:rStyle w:val="Hyperlink"/>
            <w:rtl/>
          </w:rPr>
          <w:t xml:space="preserve"> الس</w:t>
        </w:r>
        <w:r w:rsidRPr="00392DEE">
          <w:rPr>
            <w:rStyle w:val="Hyperlink"/>
            <w:rFonts w:hint="cs"/>
            <w:rtl/>
          </w:rPr>
          <w:t>ی</w:t>
        </w:r>
        <w:r w:rsidRPr="00392DEE">
          <w:rPr>
            <w:rStyle w:val="Hyperlink"/>
            <w:rFonts w:hint="eastAsia"/>
            <w:rtl/>
          </w:rPr>
          <w:t>د</w:t>
        </w:r>
        <w:r w:rsidRPr="00392DEE">
          <w:rPr>
            <w:rStyle w:val="Hyperlink"/>
            <w:rtl/>
          </w:rPr>
          <w:t xml:space="preserve"> أبوالقاسم الخوئ</w:t>
        </w:r>
        <w:r w:rsidRPr="00392DEE">
          <w:rPr>
            <w:rStyle w:val="Hyperlink"/>
            <w:rFonts w:hint="cs"/>
            <w:rtl/>
          </w:rPr>
          <w:t>ی</w:t>
        </w:r>
        <w:r w:rsidRPr="00392DEE">
          <w:rPr>
            <w:rStyle w:val="Hyperlink"/>
            <w:rFonts w:hint="eastAsia"/>
            <w:rtl/>
          </w:rPr>
          <w:t>،</w:t>
        </w:r>
        <w:r w:rsidRPr="00392DEE">
          <w:rPr>
            <w:rStyle w:val="Hyperlink"/>
            <w:rtl/>
          </w:rPr>
          <w:t xml:space="preserve"> ج14، ص363.</w:t>
        </w:r>
      </w:hyperlink>
      <w:r>
        <w:rPr>
          <w:rFonts w:hint="cs"/>
          <w:rtl/>
        </w:rPr>
        <w:t xml:space="preserve"> «</w:t>
      </w:r>
      <w:r w:rsidRPr="00392DEE">
        <w:rPr>
          <w:rtl/>
        </w:rPr>
        <w:t xml:space="preserve"> عليه فهي ناظرة إلى الصلاة التي تقرّرت فيها سورة واحدة حتى يحكم بجواز تبديلها بامتثال آخر أو بعدم الجواز، و هي ليست إلّا الفرائض التي لا يجوز فيها القرآن لقوله (عليه السلام): «لا تقرأ في المكتوبة بأقل من سورة و لا بأكثر» و أمّا النوافل فلم تكن السورة المقررة فيها و لو استحباباً محدودة بحد، و لا مقيدة بالوحدة، لاختصاص القرآن الممنوع حرمة أو كراهة بغيرها، بل كل ما أتى‌</w:t>
      </w:r>
      <w:r>
        <w:rPr>
          <w:rFonts w:hint="cs"/>
          <w:rtl/>
        </w:rPr>
        <w:t xml:space="preserve"> </w:t>
      </w:r>
      <w:r>
        <w:rPr>
          <w:rtl/>
        </w:rPr>
        <w:t>به من السورة فهي الوظيفة الفعلية، لا أنّ الامتثال مختص بالوجود الأوّل حتى يكون العدول عنها من تبديل الامتثال بالامتثال، بل هو بنفسه مصداق للامتثال. فبهذه القرينة تنصرف تلك الأخبار إلى الفرائض و لا تعمّ النوافل فتبقى تحت أصالة الجواز، فتدبر جيداً</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88073B5"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F71250">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2" w:name="Bokdars"/>
    <w:bookmarkEnd w:id="1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3" w:name="Bokostad"/>
    <w:bookmarkEnd w:id="1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F71250">
      <w:rPr>
        <w:sz w:val="24"/>
        <w:szCs w:val="24"/>
        <w:rtl/>
      </w:rPr>
      <w:t>16 /7 /1401</w:t>
    </w:r>
    <w:r w:rsidR="00F35CAE">
      <w:rPr>
        <w:sz w:val="24"/>
        <w:szCs w:val="24"/>
        <w:rtl/>
      </w:rPr>
      <w:t xml:space="preserve"> </w:t>
    </w:r>
  </w:p>
  <w:p w14:paraId="7D10702A" w14:textId="6AB6F922"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F71250">
      <w:rPr>
        <w:sz w:val="24"/>
        <w:szCs w:val="24"/>
        <w:rtl/>
      </w:rPr>
      <w:t>عدول از سور</w:t>
    </w:r>
    <w:r w:rsidR="00F71250">
      <w:rPr>
        <w:rFonts w:hint="cs"/>
        <w:sz w:val="24"/>
        <w:szCs w:val="24"/>
        <w:rtl/>
      </w:rPr>
      <w:t>ۀ</w:t>
    </w:r>
    <w:r w:rsidR="00F71250">
      <w:rPr>
        <w:sz w:val="24"/>
        <w:szCs w:val="24"/>
        <w:rtl/>
      </w:rPr>
      <w:t xml:space="preserve"> ها</w:t>
    </w:r>
    <w:r w:rsidR="00F71250">
      <w:rPr>
        <w:rFonts w:hint="cs"/>
        <w:sz w:val="24"/>
        <w:szCs w:val="24"/>
        <w:rtl/>
      </w:rPr>
      <w:t>ی</w:t>
    </w:r>
    <w:r w:rsidR="00F71250">
      <w:rPr>
        <w:sz w:val="24"/>
        <w:szCs w:val="24"/>
        <w:rtl/>
      </w:rPr>
      <w:t xml:space="preserve"> توح</w:t>
    </w:r>
    <w:r w:rsidR="00F71250">
      <w:rPr>
        <w:rFonts w:hint="cs"/>
        <w:sz w:val="24"/>
        <w:szCs w:val="24"/>
        <w:rtl/>
      </w:rPr>
      <w:t>ی</w:t>
    </w:r>
    <w:r w:rsidR="00F71250">
      <w:rPr>
        <w:rFonts w:hint="eastAsia"/>
        <w:sz w:val="24"/>
        <w:szCs w:val="24"/>
        <w:rtl/>
      </w:rPr>
      <w:t>د</w:t>
    </w:r>
    <w:r w:rsidR="00F71250">
      <w:rPr>
        <w:sz w:val="24"/>
        <w:szCs w:val="24"/>
        <w:rtl/>
      </w:rPr>
      <w:t xml:space="preserve"> و کافرون در </w:t>
    </w:r>
    <w:r w:rsidR="00F71250">
      <w:rPr>
        <w:rFonts w:hint="cs"/>
        <w:sz w:val="24"/>
        <w:szCs w:val="24"/>
        <w:rtl/>
      </w:rPr>
      <w:t>جمعه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95C1F"/>
    <w:multiLevelType w:val="hybridMultilevel"/>
    <w:tmpl w:val="F4ECAB28"/>
    <w:lvl w:ilvl="0" w:tplc="088C53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00418"/>
    <w:multiLevelType w:val="hybridMultilevel"/>
    <w:tmpl w:val="EE585D12"/>
    <w:lvl w:ilvl="0" w:tplc="5DDC37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D2362"/>
    <w:multiLevelType w:val="hybridMultilevel"/>
    <w:tmpl w:val="FA8C5688"/>
    <w:lvl w:ilvl="0" w:tplc="4BBCB8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34A4B"/>
    <w:multiLevelType w:val="hybridMultilevel"/>
    <w:tmpl w:val="2F4CC112"/>
    <w:lvl w:ilvl="0" w:tplc="572CB5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65121"/>
    <w:multiLevelType w:val="hybridMultilevel"/>
    <w:tmpl w:val="CF6E5976"/>
    <w:lvl w:ilvl="0" w:tplc="4FEA346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F6F98"/>
    <w:multiLevelType w:val="hybridMultilevel"/>
    <w:tmpl w:val="EC340A52"/>
    <w:lvl w:ilvl="0" w:tplc="20A60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7E563D"/>
    <w:multiLevelType w:val="hybridMultilevel"/>
    <w:tmpl w:val="2EDE4E10"/>
    <w:lvl w:ilvl="0" w:tplc="2342EF9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A6091"/>
    <w:multiLevelType w:val="hybridMultilevel"/>
    <w:tmpl w:val="FC64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65ABB"/>
    <w:multiLevelType w:val="hybridMultilevel"/>
    <w:tmpl w:val="A7141C24"/>
    <w:lvl w:ilvl="0" w:tplc="23E6A5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40767E"/>
    <w:multiLevelType w:val="hybridMultilevel"/>
    <w:tmpl w:val="E32A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210E3"/>
    <w:multiLevelType w:val="hybridMultilevel"/>
    <w:tmpl w:val="741E45FE"/>
    <w:lvl w:ilvl="0" w:tplc="219A8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B15C9"/>
    <w:multiLevelType w:val="hybridMultilevel"/>
    <w:tmpl w:val="5A9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1A39CC"/>
    <w:multiLevelType w:val="hybridMultilevel"/>
    <w:tmpl w:val="FB06A4D2"/>
    <w:lvl w:ilvl="0" w:tplc="7B04E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73D28"/>
    <w:multiLevelType w:val="hybridMultilevel"/>
    <w:tmpl w:val="B31EF7DE"/>
    <w:lvl w:ilvl="0" w:tplc="D83E4B7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340D5"/>
    <w:multiLevelType w:val="hybridMultilevel"/>
    <w:tmpl w:val="E9D4F5A8"/>
    <w:lvl w:ilvl="0" w:tplc="FA60CF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250AA"/>
    <w:multiLevelType w:val="hybridMultilevel"/>
    <w:tmpl w:val="264EF672"/>
    <w:lvl w:ilvl="0" w:tplc="E62E06A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65157"/>
    <w:multiLevelType w:val="hybridMultilevel"/>
    <w:tmpl w:val="A0EE54B2"/>
    <w:lvl w:ilvl="0" w:tplc="4D3E966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6F7FD1"/>
    <w:multiLevelType w:val="hybridMultilevel"/>
    <w:tmpl w:val="F7763544"/>
    <w:lvl w:ilvl="0" w:tplc="4FD075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94134"/>
    <w:multiLevelType w:val="hybridMultilevel"/>
    <w:tmpl w:val="EE84D828"/>
    <w:lvl w:ilvl="0" w:tplc="C32AB5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E6396"/>
    <w:multiLevelType w:val="hybridMultilevel"/>
    <w:tmpl w:val="832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A2586"/>
    <w:multiLevelType w:val="hybridMultilevel"/>
    <w:tmpl w:val="3762180C"/>
    <w:lvl w:ilvl="0" w:tplc="D50480A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D75EFF"/>
    <w:multiLevelType w:val="hybridMultilevel"/>
    <w:tmpl w:val="24B0FFEC"/>
    <w:lvl w:ilvl="0" w:tplc="8A0A14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038B9"/>
    <w:multiLevelType w:val="hybridMultilevel"/>
    <w:tmpl w:val="3C142874"/>
    <w:lvl w:ilvl="0" w:tplc="DCFEBB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08228E"/>
    <w:multiLevelType w:val="hybridMultilevel"/>
    <w:tmpl w:val="7952B602"/>
    <w:lvl w:ilvl="0" w:tplc="FFFC18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75A09"/>
    <w:multiLevelType w:val="hybridMultilevel"/>
    <w:tmpl w:val="287A23E6"/>
    <w:lvl w:ilvl="0" w:tplc="3A88CD8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3"/>
  </w:num>
  <w:num w:numId="13">
    <w:abstractNumId w:val="39"/>
  </w:num>
  <w:num w:numId="14">
    <w:abstractNumId w:val="30"/>
  </w:num>
  <w:num w:numId="15">
    <w:abstractNumId w:val="33"/>
  </w:num>
  <w:num w:numId="16">
    <w:abstractNumId w:val="32"/>
  </w:num>
  <w:num w:numId="17">
    <w:abstractNumId w:val="38"/>
  </w:num>
  <w:num w:numId="18">
    <w:abstractNumId w:val="12"/>
  </w:num>
  <w:num w:numId="19">
    <w:abstractNumId w:val="13"/>
  </w:num>
  <w:num w:numId="20">
    <w:abstractNumId w:val="27"/>
  </w:num>
  <w:num w:numId="21">
    <w:abstractNumId w:val="25"/>
  </w:num>
  <w:num w:numId="22">
    <w:abstractNumId w:val="34"/>
  </w:num>
  <w:num w:numId="23">
    <w:abstractNumId w:val="15"/>
  </w:num>
  <w:num w:numId="24">
    <w:abstractNumId w:val="17"/>
  </w:num>
  <w:num w:numId="25">
    <w:abstractNumId w:val="28"/>
  </w:num>
  <w:num w:numId="26">
    <w:abstractNumId w:val="22"/>
  </w:num>
  <w:num w:numId="27">
    <w:abstractNumId w:val="18"/>
  </w:num>
  <w:num w:numId="28">
    <w:abstractNumId w:val="20"/>
  </w:num>
  <w:num w:numId="29">
    <w:abstractNumId w:val="37"/>
  </w:num>
  <w:num w:numId="30">
    <w:abstractNumId w:val="16"/>
  </w:num>
  <w:num w:numId="31">
    <w:abstractNumId w:val="26"/>
  </w:num>
  <w:num w:numId="32">
    <w:abstractNumId w:val="29"/>
  </w:num>
  <w:num w:numId="33">
    <w:abstractNumId w:val="19"/>
  </w:num>
  <w:num w:numId="34">
    <w:abstractNumId w:val="14"/>
  </w:num>
  <w:num w:numId="35">
    <w:abstractNumId w:val="31"/>
  </w:num>
  <w:num w:numId="36">
    <w:abstractNumId w:val="21"/>
  </w:num>
  <w:num w:numId="37">
    <w:abstractNumId w:val="35"/>
  </w:num>
  <w:num w:numId="38">
    <w:abstractNumId w:val="24"/>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5777"/>
    <w:rsid w:val="00025B70"/>
    <w:rsid w:val="00031CA9"/>
    <w:rsid w:val="000353D7"/>
    <w:rsid w:val="00055496"/>
    <w:rsid w:val="00064B90"/>
    <w:rsid w:val="00070A5F"/>
    <w:rsid w:val="00072025"/>
    <w:rsid w:val="00080A41"/>
    <w:rsid w:val="0008299B"/>
    <w:rsid w:val="0008608E"/>
    <w:rsid w:val="000913AA"/>
    <w:rsid w:val="00094847"/>
    <w:rsid w:val="00096C63"/>
    <w:rsid w:val="000B5DB5"/>
    <w:rsid w:val="000C3394"/>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1CE3"/>
    <w:rsid w:val="00151937"/>
    <w:rsid w:val="00175CF3"/>
    <w:rsid w:val="00181844"/>
    <w:rsid w:val="001837E9"/>
    <w:rsid w:val="00187DFA"/>
    <w:rsid w:val="001A1BC1"/>
    <w:rsid w:val="001A1EA5"/>
    <w:rsid w:val="001A2574"/>
    <w:rsid w:val="001A27D7"/>
    <w:rsid w:val="001A294E"/>
    <w:rsid w:val="001A3796"/>
    <w:rsid w:val="001A4ED8"/>
    <w:rsid w:val="001B2488"/>
    <w:rsid w:val="001B6799"/>
    <w:rsid w:val="001C1362"/>
    <w:rsid w:val="001D2E9A"/>
    <w:rsid w:val="001D597F"/>
    <w:rsid w:val="001E3FD4"/>
    <w:rsid w:val="0020241A"/>
    <w:rsid w:val="00203821"/>
    <w:rsid w:val="00211632"/>
    <w:rsid w:val="0021630D"/>
    <w:rsid w:val="00220263"/>
    <w:rsid w:val="0022178B"/>
    <w:rsid w:val="002310C4"/>
    <w:rsid w:val="0024121B"/>
    <w:rsid w:val="00247D2F"/>
    <w:rsid w:val="0025624F"/>
    <w:rsid w:val="00256560"/>
    <w:rsid w:val="0027605E"/>
    <w:rsid w:val="00281E00"/>
    <w:rsid w:val="00294A52"/>
    <w:rsid w:val="002A6195"/>
    <w:rsid w:val="002B575F"/>
    <w:rsid w:val="002B729B"/>
    <w:rsid w:val="002C23B5"/>
    <w:rsid w:val="002C53A2"/>
    <w:rsid w:val="002D0040"/>
    <w:rsid w:val="002D2FA8"/>
    <w:rsid w:val="002E220F"/>
    <w:rsid w:val="002E27BA"/>
    <w:rsid w:val="002E3DCA"/>
    <w:rsid w:val="00302F4D"/>
    <w:rsid w:val="00307311"/>
    <w:rsid w:val="0032100F"/>
    <w:rsid w:val="0033402C"/>
    <w:rsid w:val="00340521"/>
    <w:rsid w:val="00345C73"/>
    <w:rsid w:val="00354A99"/>
    <w:rsid w:val="00360311"/>
    <w:rsid w:val="00361922"/>
    <w:rsid w:val="00372D4C"/>
    <w:rsid w:val="0037339B"/>
    <w:rsid w:val="00377ED4"/>
    <w:rsid w:val="00380FF7"/>
    <w:rsid w:val="00386C11"/>
    <w:rsid w:val="00392DEE"/>
    <w:rsid w:val="00397466"/>
    <w:rsid w:val="003A6148"/>
    <w:rsid w:val="003C33F6"/>
    <w:rsid w:val="003C3D2E"/>
    <w:rsid w:val="003C43A5"/>
    <w:rsid w:val="003E1C5C"/>
    <w:rsid w:val="003E6650"/>
    <w:rsid w:val="003F5B46"/>
    <w:rsid w:val="00401363"/>
    <w:rsid w:val="00402E47"/>
    <w:rsid w:val="00425015"/>
    <w:rsid w:val="00430994"/>
    <w:rsid w:val="004345BE"/>
    <w:rsid w:val="004412C2"/>
    <w:rsid w:val="00441B6D"/>
    <w:rsid w:val="004515C2"/>
    <w:rsid w:val="004556EF"/>
    <w:rsid w:val="004559A1"/>
    <w:rsid w:val="00457B3E"/>
    <w:rsid w:val="00462B07"/>
    <w:rsid w:val="00463E6B"/>
    <w:rsid w:val="00465BD2"/>
    <w:rsid w:val="004715C8"/>
    <w:rsid w:val="00481C31"/>
    <w:rsid w:val="00482FC1"/>
    <w:rsid w:val="00483027"/>
    <w:rsid w:val="004871AA"/>
    <w:rsid w:val="004918D7"/>
    <w:rsid w:val="00492637"/>
    <w:rsid w:val="004926E1"/>
    <w:rsid w:val="004A2FEA"/>
    <w:rsid w:val="004D2DD7"/>
    <w:rsid w:val="004D75C5"/>
    <w:rsid w:val="004E2186"/>
    <w:rsid w:val="004E66FB"/>
    <w:rsid w:val="004F470A"/>
    <w:rsid w:val="004F4C59"/>
    <w:rsid w:val="00500C8F"/>
    <w:rsid w:val="00501909"/>
    <w:rsid w:val="00503446"/>
    <w:rsid w:val="00507BBB"/>
    <w:rsid w:val="005128DF"/>
    <w:rsid w:val="0051592A"/>
    <w:rsid w:val="005206FE"/>
    <w:rsid w:val="005209DA"/>
    <w:rsid w:val="005257ED"/>
    <w:rsid w:val="005306F8"/>
    <w:rsid w:val="0054023D"/>
    <w:rsid w:val="005426BF"/>
    <w:rsid w:val="0056213C"/>
    <w:rsid w:val="005748BA"/>
    <w:rsid w:val="00580C24"/>
    <w:rsid w:val="00593F64"/>
    <w:rsid w:val="005960C0"/>
    <w:rsid w:val="005968EF"/>
    <w:rsid w:val="00596C1E"/>
    <w:rsid w:val="005A2E26"/>
    <w:rsid w:val="005B7BCA"/>
    <w:rsid w:val="005C0DAE"/>
    <w:rsid w:val="005C188E"/>
    <w:rsid w:val="005D2349"/>
    <w:rsid w:val="005D6458"/>
    <w:rsid w:val="005E1B60"/>
    <w:rsid w:val="005E5507"/>
    <w:rsid w:val="005E607B"/>
    <w:rsid w:val="005F0A8D"/>
    <w:rsid w:val="00601229"/>
    <w:rsid w:val="00603B67"/>
    <w:rsid w:val="006121A9"/>
    <w:rsid w:val="006162A2"/>
    <w:rsid w:val="006240DA"/>
    <w:rsid w:val="0063256E"/>
    <w:rsid w:val="00633F04"/>
    <w:rsid w:val="00635219"/>
    <w:rsid w:val="00635EC0"/>
    <w:rsid w:val="00640B58"/>
    <w:rsid w:val="00647AAA"/>
    <w:rsid w:val="00651B02"/>
    <w:rsid w:val="00651B19"/>
    <w:rsid w:val="00652483"/>
    <w:rsid w:val="00660A29"/>
    <w:rsid w:val="0067079C"/>
    <w:rsid w:val="00672289"/>
    <w:rsid w:val="00695519"/>
    <w:rsid w:val="006A4134"/>
    <w:rsid w:val="006A5DDA"/>
    <w:rsid w:val="006A6701"/>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511"/>
    <w:rsid w:val="00737208"/>
    <w:rsid w:val="00744DE6"/>
    <w:rsid w:val="007518E2"/>
    <w:rsid w:val="00762452"/>
    <w:rsid w:val="007639E0"/>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F2257"/>
    <w:rsid w:val="0080091D"/>
    <w:rsid w:val="00804108"/>
    <w:rsid w:val="00804B06"/>
    <w:rsid w:val="00804FC4"/>
    <w:rsid w:val="00810B40"/>
    <w:rsid w:val="00816367"/>
    <w:rsid w:val="00816A0B"/>
    <w:rsid w:val="00820D3E"/>
    <w:rsid w:val="00824B22"/>
    <w:rsid w:val="00830C53"/>
    <w:rsid w:val="00837FAA"/>
    <w:rsid w:val="00841F77"/>
    <w:rsid w:val="0085276D"/>
    <w:rsid w:val="00860745"/>
    <w:rsid w:val="00863390"/>
    <w:rsid w:val="0086385C"/>
    <w:rsid w:val="00871916"/>
    <w:rsid w:val="008956DD"/>
    <w:rsid w:val="008A388E"/>
    <w:rsid w:val="008A510E"/>
    <w:rsid w:val="008A522A"/>
    <w:rsid w:val="008B4464"/>
    <w:rsid w:val="008B750B"/>
    <w:rsid w:val="008C3162"/>
    <w:rsid w:val="008D1F14"/>
    <w:rsid w:val="008E3924"/>
    <w:rsid w:val="008E7A0D"/>
    <w:rsid w:val="008F13F7"/>
    <w:rsid w:val="008F5B4D"/>
    <w:rsid w:val="0090717E"/>
    <w:rsid w:val="00907425"/>
    <w:rsid w:val="00923C34"/>
    <w:rsid w:val="00924152"/>
    <w:rsid w:val="0092513D"/>
    <w:rsid w:val="00927A9F"/>
    <w:rsid w:val="009335CC"/>
    <w:rsid w:val="00935A55"/>
    <w:rsid w:val="00941CEB"/>
    <w:rsid w:val="009435BA"/>
    <w:rsid w:val="0094720F"/>
    <w:rsid w:val="00953B28"/>
    <w:rsid w:val="00954322"/>
    <w:rsid w:val="00957CAA"/>
    <w:rsid w:val="0096778A"/>
    <w:rsid w:val="0096778F"/>
    <w:rsid w:val="00970BDA"/>
    <w:rsid w:val="00977656"/>
    <w:rsid w:val="009846A7"/>
    <w:rsid w:val="0098794D"/>
    <w:rsid w:val="0099497B"/>
    <w:rsid w:val="009A43BA"/>
    <w:rsid w:val="009B0D05"/>
    <w:rsid w:val="009B13DF"/>
    <w:rsid w:val="009B4CA6"/>
    <w:rsid w:val="009B79F8"/>
    <w:rsid w:val="009C66D5"/>
    <w:rsid w:val="009D13FD"/>
    <w:rsid w:val="009D266A"/>
    <w:rsid w:val="009F7E07"/>
    <w:rsid w:val="00A01522"/>
    <w:rsid w:val="00A10A11"/>
    <w:rsid w:val="00A13C6A"/>
    <w:rsid w:val="00A17B09"/>
    <w:rsid w:val="00A345E9"/>
    <w:rsid w:val="00A40D34"/>
    <w:rsid w:val="00A457C6"/>
    <w:rsid w:val="00A46AD0"/>
    <w:rsid w:val="00A47063"/>
    <w:rsid w:val="00A473A8"/>
    <w:rsid w:val="00A513F0"/>
    <w:rsid w:val="00A56D52"/>
    <w:rsid w:val="00A61AC8"/>
    <w:rsid w:val="00A6366F"/>
    <w:rsid w:val="00A6441F"/>
    <w:rsid w:val="00A65D4C"/>
    <w:rsid w:val="00A70512"/>
    <w:rsid w:val="00A834F9"/>
    <w:rsid w:val="00A9123D"/>
    <w:rsid w:val="00A95AC6"/>
    <w:rsid w:val="00AA1F60"/>
    <w:rsid w:val="00AA3917"/>
    <w:rsid w:val="00AA40D7"/>
    <w:rsid w:val="00AB57E4"/>
    <w:rsid w:val="00AB5F7D"/>
    <w:rsid w:val="00AC0C50"/>
    <w:rsid w:val="00AC0FAC"/>
    <w:rsid w:val="00AC6FE2"/>
    <w:rsid w:val="00AF0B83"/>
    <w:rsid w:val="00AF3925"/>
    <w:rsid w:val="00B073A2"/>
    <w:rsid w:val="00B10332"/>
    <w:rsid w:val="00B1296B"/>
    <w:rsid w:val="00B21330"/>
    <w:rsid w:val="00B2292F"/>
    <w:rsid w:val="00B27A42"/>
    <w:rsid w:val="00B43169"/>
    <w:rsid w:val="00B501A8"/>
    <w:rsid w:val="00B55AE4"/>
    <w:rsid w:val="00B70B46"/>
    <w:rsid w:val="00B739B0"/>
    <w:rsid w:val="00B814A3"/>
    <w:rsid w:val="00B96F38"/>
    <w:rsid w:val="00BA02D6"/>
    <w:rsid w:val="00BB414E"/>
    <w:rsid w:val="00BC2E73"/>
    <w:rsid w:val="00BC716B"/>
    <w:rsid w:val="00BD0E74"/>
    <w:rsid w:val="00BD5F8C"/>
    <w:rsid w:val="00BE29DD"/>
    <w:rsid w:val="00C066AF"/>
    <w:rsid w:val="00C101C7"/>
    <w:rsid w:val="00C10E06"/>
    <w:rsid w:val="00C145B8"/>
    <w:rsid w:val="00C15BCD"/>
    <w:rsid w:val="00C2438F"/>
    <w:rsid w:val="00C31AF0"/>
    <w:rsid w:val="00C32A7E"/>
    <w:rsid w:val="00C34F28"/>
    <w:rsid w:val="00C368DF"/>
    <w:rsid w:val="00C442C5"/>
    <w:rsid w:val="00C57B5C"/>
    <w:rsid w:val="00C57C7C"/>
    <w:rsid w:val="00C602C0"/>
    <w:rsid w:val="00C60A55"/>
    <w:rsid w:val="00C61049"/>
    <w:rsid w:val="00C63FFE"/>
    <w:rsid w:val="00C77249"/>
    <w:rsid w:val="00C83786"/>
    <w:rsid w:val="00C91EB6"/>
    <w:rsid w:val="00CA10B0"/>
    <w:rsid w:val="00CA2F8E"/>
    <w:rsid w:val="00CA3EE2"/>
    <w:rsid w:val="00CA7FD5"/>
    <w:rsid w:val="00CB3287"/>
    <w:rsid w:val="00CB33E2"/>
    <w:rsid w:val="00CB4E68"/>
    <w:rsid w:val="00CC0E60"/>
    <w:rsid w:val="00CC2733"/>
    <w:rsid w:val="00CD0050"/>
    <w:rsid w:val="00CE7481"/>
    <w:rsid w:val="00CF0A8F"/>
    <w:rsid w:val="00CF7E30"/>
    <w:rsid w:val="00D048CE"/>
    <w:rsid w:val="00D10998"/>
    <w:rsid w:val="00D15CBD"/>
    <w:rsid w:val="00D1659B"/>
    <w:rsid w:val="00D221CB"/>
    <w:rsid w:val="00D23391"/>
    <w:rsid w:val="00D31805"/>
    <w:rsid w:val="00D41409"/>
    <w:rsid w:val="00D44B37"/>
    <w:rsid w:val="00D552B9"/>
    <w:rsid w:val="00D56BA2"/>
    <w:rsid w:val="00D60DF7"/>
    <w:rsid w:val="00D62021"/>
    <w:rsid w:val="00D70E89"/>
    <w:rsid w:val="00D735B2"/>
    <w:rsid w:val="00D74021"/>
    <w:rsid w:val="00D76D01"/>
    <w:rsid w:val="00D922A9"/>
    <w:rsid w:val="00D9394A"/>
    <w:rsid w:val="00D9595F"/>
    <w:rsid w:val="00DA6CD7"/>
    <w:rsid w:val="00DB0CBB"/>
    <w:rsid w:val="00DB67CC"/>
    <w:rsid w:val="00DC3783"/>
    <w:rsid w:val="00DE1070"/>
    <w:rsid w:val="00E00219"/>
    <w:rsid w:val="00E0316B"/>
    <w:rsid w:val="00E25E10"/>
    <w:rsid w:val="00E2740A"/>
    <w:rsid w:val="00E4119C"/>
    <w:rsid w:val="00E50B41"/>
    <w:rsid w:val="00E5219B"/>
    <w:rsid w:val="00E52D07"/>
    <w:rsid w:val="00E5518B"/>
    <w:rsid w:val="00E609FE"/>
    <w:rsid w:val="00E630BE"/>
    <w:rsid w:val="00E75920"/>
    <w:rsid w:val="00E80D96"/>
    <w:rsid w:val="00E871FA"/>
    <w:rsid w:val="00E936A4"/>
    <w:rsid w:val="00E954BB"/>
    <w:rsid w:val="00EA00DE"/>
    <w:rsid w:val="00EA45E7"/>
    <w:rsid w:val="00EB016E"/>
    <w:rsid w:val="00EB78E3"/>
    <w:rsid w:val="00EB7BE3"/>
    <w:rsid w:val="00EC1C4B"/>
    <w:rsid w:val="00EC252C"/>
    <w:rsid w:val="00EC735A"/>
    <w:rsid w:val="00ED119A"/>
    <w:rsid w:val="00ED1878"/>
    <w:rsid w:val="00ED3848"/>
    <w:rsid w:val="00ED5F38"/>
    <w:rsid w:val="00EE003A"/>
    <w:rsid w:val="00EE08F4"/>
    <w:rsid w:val="00EE17C1"/>
    <w:rsid w:val="00EF27FE"/>
    <w:rsid w:val="00F07FB6"/>
    <w:rsid w:val="00F149D0"/>
    <w:rsid w:val="00F154D5"/>
    <w:rsid w:val="00F16B53"/>
    <w:rsid w:val="00F25ECD"/>
    <w:rsid w:val="00F318BE"/>
    <w:rsid w:val="00F33297"/>
    <w:rsid w:val="00F343FB"/>
    <w:rsid w:val="00F359FE"/>
    <w:rsid w:val="00F35CAE"/>
    <w:rsid w:val="00F42159"/>
    <w:rsid w:val="00F4256E"/>
    <w:rsid w:val="00F42EE1"/>
    <w:rsid w:val="00F60F1F"/>
    <w:rsid w:val="00F64141"/>
    <w:rsid w:val="00F67508"/>
    <w:rsid w:val="00F71250"/>
    <w:rsid w:val="00F71FC9"/>
    <w:rsid w:val="00F7267D"/>
    <w:rsid w:val="00F73B48"/>
    <w:rsid w:val="00F74F51"/>
    <w:rsid w:val="00F842AD"/>
    <w:rsid w:val="00F914EB"/>
    <w:rsid w:val="00F91B85"/>
    <w:rsid w:val="00F93614"/>
    <w:rsid w:val="00F938E7"/>
    <w:rsid w:val="00FA3B17"/>
    <w:rsid w:val="00FA5E8D"/>
    <w:rsid w:val="00FA5F3D"/>
    <w:rsid w:val="00FB15EB"/>
    <w:rsid w:val="00FB399E"/>
    <w:rsid w:val="00FB7F50"/>
    <w:rsid w:val="00FC2A85"/>
    <w:rsid w:val="00FC40AF"/>
    <w:rsid w:val="00FC56E1"/>
    <w:rsid w:val="00FC73B9"/>
    <w:rsid w:val="00FD0A16"/>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7/&#1601;&#1602;&#1575;&#1604;" TargetMode="External"/><Relationship Id="rId13" Type="http://schemas.openxmlformats.org/officeDocument/2006/relationships/hyperlink" Target="http://lib.eshia.ir/10028/1/649/&#1593;&#1583;&#1605;" TargetMode="External"/><Relationship Id="rId18" Type="http://schemas.openxmlformats.org/officeDocument/2006/relationships/hyperlink" Target="http://lib.eshia.ir/10083/2/293/&#1740;&#1585;&#1740;&#1583;" TargetMode="External"/><Relationship Id="rId3" Type="http://schemas.openxmlformats.org/officeDocument/2006/relationships/hyperlink" Target="http://lib.eshia.ir/71334/14/362/&#1575;&#1604;&#1578;&#1608;&#1581;&#1740;&#1583;" TargetMode="External"/><Relationship Id="rId7" Type="http://schemas.openxmlformats.org/officeDocument/2006/relationships/hyperlink" Target="http://lib.eshia.ir/71860/82/16/&#1580;&#1593;&#1601;&#1585;" TargetMode="External"/><Relationship Id="rId12" Type="http://schemas.openxmlformats.org/officeDocument/2006/relationships/hyperlink" Target="http://lib.eshia.ir/71334/14/363/&#1575;&#1604;&#1578;&#1608;&#1581;&#1740;&#1583;" TargetMode="External"/><Relationship Id="rId17" Type="http://schemas.openxmlformats.org/officeDocument/2006/relationships/hyperlink" Target="http://lib.eshia.ir/11005/3/317/&#1601;&#1602;&#1575;&#1604;" TargetMode="External"/><Relationship Id="rId2" Type="http://schemas.openxmlformats.org/officeDocument/2006/relationships/hyperlink" Target="http://lib.eshia.ir/10028/1/648/&#1575;&#1604;&#1593;&#1583;&#1608;&#1604;" TargetMode="External"/><Relationship Id="rId16" Type="http://schemas.openxmlformats.org/officeDocument/2006/relationships/hyperlink" Target="http://lib.eshia.ir/10028/1/649/&#1575;&#1604;&#1593;&#1583;&#1608;&#1604;" TargetMode="External"/><Relationship Id="rId1" Type="http://schemas.openxmlformats.org/officeDocument/2006/relationships/hyperlink" Target="http://lib.eshia.ir/71611/2/280/&#1575;&#1604;&#1578;&#1608;&#1581;&#1740;&#1583;" TargetMode="External"/><Relationship Id="rId6" Type="http://schemas.openxmlformats.org/officeDocument/2006/relationships/hyperlink" Target="http://lib.eshia.ir/71334/14/356/&#1580;&#1593;&#1601;&#1585;" TargetMode="External"/><Relationship Id="rId11" Type="http://schemas.openxmlformats.org/officeDocument/2006/relationships/hyperlink" Target="http://lib.eshia.ir/10083/3/242/&#1580;&#1605;&#1593;&#1607;" TargetMode="External"/><Relationship Id="rId5" Type="http://schemas.openxmlformats.org/officeDocument/2006/relationships/hyperlink" Target="http://lib.eshia.ir/11025/6/153/&#1575;&#1604;&#1604;&#1607;" TargetMode="External"/><Relationship Id="rId15" Type="http://schemas.openxmlformats.org/officeDocument/2006/relationships/hyperlink" Target="http://lib.eshia.ir/71334/14/364/&#1575;&#1604;&#1593;&#1583;&#1608;&#1604;" TargetMode="External"/><Relationship Id="rId10" Type="http://schemas.openxmlformats.org/officeDocument/2006/relationships/hyperlink" Target="http://lib.eshia.ir/10083/2/190/&#1594;&#1740;&#1585;&#1607;&#1575;" TargetMode="External"/><Relationship Id="rId19" Type="http://schemas.openxmlformats.org/officeDocument/2006/relationships/hyperlink" Target="http://lib.eshia.ir/71334/14/363/&#1575;&#1604;&#1593;&#1583;&#1608;&#1604;" TargetMode="External"/><Relationship Id="rId4" Type="http://schemas.openxmlformats.org/officeDocument/2006/relationships/hyperlink" Target="http://lib.eshia.ir/10083/3/342/&#1740;&#1585;&#1580;&#1593;" TargetMode="External"/><Relationship Id="rId9" Type="http://schemas.openxmlformats.org/officeDocument/2006/relationships/hyperlink" Target="http://lib.eshia.ir/10083/3/242/&#1571;&#1582;&#1585;&#1740;" TargetMode="External"/><Relationship Id="rId14" Type="http://schemas.openxmlformats.org/officeDocument/2006/relationships/hyperlink" Target="http://lib.eshia.ir/11015/4/222/&#1582;&#1575;&#1589;&#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A21F-077D-4B8C-A033-A7E7EEED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324</TotalTime>
  <Pages>10</Pages>
  <Words>2808</Words>
  <Characters>16009</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165</cp:revision>
  <cp:lastPrinted>2022-10-08T20:38:00Z</cp:lastPrinted>
  <dcterms:created xsi:type="dcterms:W3CDTF">2014-10-01T20:40:00Z</dcterms:created>
  <dcterms:modified xsi:type="dcterms:W3CDTF">2022-10-22T13:47:00Z</dcterms:modified>
  <cp:contentStatus>ویرایش 2.5</cp:contentStatus>
  <cp:version>2.7</cp:version>
</cp:coreProperties>
</file>