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710F97">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10F97" w:rsidRPr="00710F97" w:rsidRDefault="00710F97" w:rsidP="00710F97">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28154482" w:history="1">
        <w:r w:rsidRPr="00710F97">
          <w:rPr>
            <w:rStyle w:val="Hyperlink"/>
            <w:noProof/>
            <w:rtl/>
          </w:rPr>
          <w:t>موارد الحاق عام</w:t>
        </w:r>
        <w:r w:rsidRPr="00710F97">
          <w:rPr>
            <w:rStyle w:val="Hyperlink"/>
            <w:rFonts w:hint="cs"/>
            <w:noProof/>
            <w:rtl/>
          </w:rPr>
          <w:t>ی</w:t>
        </w:r>
        <w:r w:rsidRPr="00710F97">
          <w:rPr>
            <w:rStyle w:val="Hyperlink"/>
            <w:rFonts w:hint="eastAsia"/>
            <w:noProof/>
            <w:rtl/>
          </w:rPr>
          <w:t>ن</w:t>
        </w:r>
        <w:r w:rsidRPr="00710F97">
          <w:rPr>
            <w:rStyle w:val="Hyperlink"/>
            <w:noProof/>
            <w:rtl/>
          </w:rPr>
          <w:t xml:space="preserve"> من وجه به عام و خاص مطلق</w:t>
        </w:r>
        <w:r w:rsidRPr="00710F97">
          <w:rPr>
            <w:noProof/>
            <w:webHidden/>
            <w:rtl/>
          </w:rPr>
          <w:tab/>
        </w:r>
        <w:r w:rsidRPr="00710F97">
          <w:rPr>
            <w:noProof/>
            <w:webHidden/>
            <w:rtl/>
          </w:rPr>
          <w:fldChar w:fldCharType="begin"/>
        </w:r>
        <w:r w:rsidRPr="00710F97">
          <w:rPr>
            <w:noProof/>
            <w:webHidden/>
            <w:rtl/>
          </w:rPr>
          <w:instrText xml:space="preserve"> </w:instrText>
        </w:r>
        <w:r w:rsidRPr="00710F97">
          <w:rPr>
            <w:noProof/>
            <w:webHidden/>
          </w:rPr>
          <w:instrText xml:space="preserve">PAGEREF </w:instrText>
        </w:r>
        <w:r w:rsidRPr="00710F97">
          <w:rPr>
            <w:noProof/>
            <w:webHidden/>
            <w:rtl/>
          </w:rPr>
          <w:instrText>_</w:instrText>
        </w:r>
        <w:r w:rsidRPr="00710F97">
          <w:rPr>
            <w:noProof/>
            <w:webHidden/>
          </w:rPr>
          <w:instrText>Toc</w:instrText>
        </w:r>
        <w:r w:rsidRPr="00710F97">
          <w:rPr>
            <w:noProof/>
            <w:webHidden/>
            <w:rtl/>
          </w:rPr>
          <w:instrText xml:space="preserve">528154482 </w:instrText>
        </w:r>
        <w:r w:rsidRPr="00710F97">
          <w:rPr>
            <w:noProof/>
            <w:webHidden/>
          </w:rPr>
          <w:instrText>\h</w:instrText>
        </w:r>
        <w:r w:rsidRPr="00710F97">
          <w:rPr>
            <w:noProof/>
            <w:webHidden/>
            <w:rtl/>
          </w:rPr>
          <w:instrText xml:space="preserve"> </w:instrText>
        </w:r>
        <w:r w:rsidRPr="00710F97">
          <w:rPr>
            <w:noProof/>
            <w:webHidden/>
            <w:rtl/>
          </w:rPr>
        </w:r>
        <w:r w:rsidRPr="00710F97">
          <w:rPr>
            <w:noProof/>
            <w:webHidden/>
            <w:rtl/>
          </w:rPr>
          <w:fldChar w:fldCharType="separate"/>
        </w:r>
        <w:r w:rsidR="0081578D">
          <w:rPr>
            <w:noProof/>
            <w:webHidden/>
            <w:rtl/>
          </w:rPr>
          <w:t>1</w:t>
        </w:r>
        <w:r w:rsidRPr="00710F97">
          <w:rPr>
            <w:noProof/>
            <w:webHidden/>
            <w:rtl/>
          </w:rPr>
          <w:fldChar w:fldCharType="end"/>
        </w:r>
      </w:hyperlink>
    </w:p>
    <w:p w:rsidR="00710F97" w:rsidRPr="00710F97" w:rsidRDefault="00710F97" w:rsidP="00710F97">
      <w:pPr>
        <w:pStyle w:val="TOC2"/>
        <w:tabs>
          <w:tab w:val="right" w:leader="dot" w:pos="10194"/>
        </w:tabs>
        <w:rPr>
          <w:rFonts w:asciiTheme="minorHAnsi" w:eastAsiaTheme="minorEastAsia" w:hAnsiTheme="minorHAnsi" w:cstheme="minorBidi"/>
          <w:bCs w:val="0"/>
          <w:noProof/>
          <w:color w:val="auto"/>
          <w:szCs w:val="22"/>
          <w:rtl/>
          <w:lang w:bidi="ar-SA"/>
        </w:rPr>
      </w:pPr>
      <w:hyperlink w:anchor="_Toc528154483" w:history="1">
        <w:r w:rsidRPr="00710F97">
          <w:rPr>
            <w:rStyle w:val="Hyperlink"/>
            <w:noProof/>
            <w:rtl/>
          </w:rPr>
          <w:t>الف: قدر مت</w:t>
        </w:r>
        <w:r w:rsidRPr="00710F97">
          <w:rPr>
            <w:rStyle w:val="Hyperlink"/>
            <w:rFonts w:hint="cs"/>
            <w:noProof/>
            <w:rtl/>
          </w:rPr>
          <w:t>ی</w:t>
        </w:r>
        <w:r w:rsidRPr="00710F97">
          <w:rPr>
            <w:rStyle w:val="Hyperlink"/>
            <w:rFonts w:hint="eastAsia"/>
            <w:noProof/>
            <w:rtl/>
          </w:rPr>
          <w:t>قن</w:t>
        </w:r>
        <w:r w:rsidRPr="00710F97">
          <w:rPr>
            <w:rStyle w:val="Hyperlink"/>
            <w:noProof/>
            <w:rtl/>
          </w:rPr>
          <w:t xml:space="preserve"> بودن </w:t>
        </w:r>
        <w:r w:rsidRPr="00710F97">
          <w:rPr>
            <w:rStyle w:val="Hyperlink"/>
            <w:rFonts w:hint="cs"/>
            <w:noProof/>
            <w:rtl/>
          </w:rPr>
          <w:t>ی</w:t>
        </w:r>
        <w:r w:rsidRPr="00710F97">
          <w:rPr>
            <w:rStyle w:val="Hyperlink"/>
            <w:rFonts w:hint="eastAsia"/>
            <w:noProof/>
            <w:rtl/>
          </w:rPr>
          <w:t>ک</w:t>
        </w:r>
        <w:r w:rsidRPr="00710F97">
          <w:rPr>
            <w:rStyle w:val="Hyperlink"/>
            <w:rFonts w:hint="cs"/>
            <w:noProof/>
            <w:rtl/>
          </w:rPr>
          <w:t>ی</w:t>
        </w:r>
        <w:r w:rsidRPr="00710F97">
          <w:rPr>
            <w:rStyle w:val="Hyperlink"/>
            <w:noProof/>
            <w:rtl/>
          </w:rPr>
          <w:t xml:space="preserve"> از دو خطاب نسبت به موضع اجتماع</w:t>
        </w:r>
        <w:r w:rsidRPr="00710F97">
          <w:rPr>
            <w:noProof/>
            <w:webHidden/>
            <w:rtl/>
          </w:rPr>
          <w:tab/>
        </w:r>
        <w:r w:rsidRPr="00710F97">
          <w:rPr>
            <w:noProof/>
            <w:webHidden/>
            <w:rtl/>
          </w:rPr>
          <w:fldChar w:fldCharType="begin"/>
        </w:r>
        <w:r w:rsidRPr="00710F97">
          <w:rPr>
            <w:noProof/>
            <w:webHidden/>
            <w:rtl/>
          </w:rPr>
          <w:instrText xml:space="preserve"> </w:instrText>
        </w:r>
        <w:r w:rsidRPr="00710F97">
          <w:rPr>
            <w:noProof/>
            <w:webHidden/>
          </w:rPr>
          <w:instrText xml:space="preserve">PAGEREF </w:instrText>
        </w:r>
        <w:r w:rsidRPr="00710F97">
          <w:rPr>
            <w:noProof/>
            <w:webHidden/>
            <w:rtl/>
          </w:rPr>
          <w:instrText>_</w:instrText>
        </w:r>
        <w:r w:rsidRPr="00710F97">
          <w:rPr>
            <w:noProof/>
            <w:webHidden/>
          </w:rPr>
          <w:instrText>Toc</w:instrText>
        </w:r>
        <w:r w:rsidRPr="00710F97">
          <w:rPr>
            <w:noProof/>
            <w:webHidden/>
            <w:rtl/>
          </w:rPr>
          <w:instrText xml:space="preserve">528154483 </w:instrText>
        </w:r>
        <w:r w:rsidRPr="00710F97">
          <w:rPr>
            <w:noProof/>
            <w:webHidden/>
          </w:rPr>
          <w:instrText>\h</w:instrText>
        </w:r>
        <w:r w:rsidRPr="00710F97">
          <w:rPr>
            <w:noProof/>
            <w:webHidden/>
            <w:rtl/>
          </w:rPr>
          <w:instrText xml:space="preserve"> </w:instrText>
        </w:r>
        <w:r w:rsidRPr="00710F97">
          <w:rPr>
            <w:noProof/>
            <w:webHidden/>
            <w:rtl/>
          </w:rPr>
        </w:r>
        <w:r w:rsidRPr="00710F97">
          <w:rPr>
            <w:noProof/>
            <w:webHidden/>
            <w:rtl/>
          </w:rPr>
          <w:fldChar w:fldCharType="separate"/>
        </w:r>
        <w:r w:rsidR="0081578D">
          <w:rPr>
            <w:noProof/>
            <w:webHidden/>
            <w:rtl/>
          </w:rPr>
          <w:t>1</w:t>
        </w:r>
        <w:r w:rsidRPr="00710F97">
          <w:rPr>
            <w:noProof/>
            <w:webHidden/>
            <w:rtl/>
          </w:rPr>
          <w:fldChar w:fldCharType="end"/>
        </w:r>
      </w:hyperlink>
    </w:p>
    <w:p w:rsidR="00710F97" w:rsidRPr="00710F97" w:rsidRDefault="00710F97" w:rsidP="00710F97">
      <w:pPr>
        <w:pStyle w:val="TOC2"/>
        <w:tabs>
          <w:tab w:val="right" w:leader="dot" w:pos="10194"/>
        </w:tabs>
        <w:rPr>
          <w:rFonts w:asciiTheme="minorHAnsi" w:eastAsiaTheme="minorEastAsia" w:hAnsiTheme="minorHAnsi" w:cstheme="minorBidi"/>
          <w:bCs w:val="0"/>
          <w:noProof/>
          <w:color w:val="auto"/>
          <w:szCs w:val="22"/>
          <w:rtl/>
          <w:lang w:bidi="ar-SA"/>
        </w:rPr>
      </w:pPr>
      <w:hyperlink w:anchor="_Toc528154484" w:history="1">
        <w:r w:rsidRPr="00710F97">
          <w:rPr>
            <w:rStyle w:val="Hyperlink"/>
            <w:noProof/>
            <w:rtl/>
          </w:rPr>
          <w:t>ب: لزوم الغاء عنوان و حصول لغو</w:t>
        </w:r>
        <w:r w:rsidRPr="00710F97">
          <w:rPr>
            <w:rStyle w:val="Hyperlink"/>
            <w:rFonts w:hint="cs"/>
            <w:noProof/>
            <w:rtl/>
          </w:rPr>
          <w:t>ی</w:t>
        </w:r>
        <w:r w:rsidRPr="00710F97">
          <w:rPr>
            <w:rStyle w:val="Hyperlink"/>
            <w:rFonts w:hint="eastAsia"/>
            <w:noProof/>
            <w:rtl/>
          </w:rPr>
          <w:t>ت</w:t>
        </w:r>
        <w:r w:rsidRPr="00710F97">
          <w:rPr>
            <w:noProof/>
            <w:webHidden/>
            <w:rtl/>
          </w:rPr>
          <w:tab/>
        </w:r>
        <w:r w:rsidRPr="00710F97">
          <w:rPr>
            <w:noProof/>
            <w:webHidden/>
            <w:rtl/>
          </w:rPr>
          <w:fldChar w:fldCharType="begin"/>
        </w:r>
        <w:r w:rsidRPr="00710F97">
          <w:rPr>
            <w:noProof/>
            <w:webHidden/>
            <w:rtl/>
          </w:rPr>
          <w:instrText xml:space="preserve"> </w:instrText>
        </w:r>
        <w:r w:rsidRPr="00710F97">
          <w:rPr>
            <w:noProof/>
            <w:webHidden/>
          </w:rPr>
          <w:instrText xml:space="preserve">PAGEREF </w:instrText>
        </w:r>
        <w:r w:rsidRPr="00710F97">
          <w:rPr>
            <w:noProof/>
            <w:webHidden/>
            <w:rtl/>
          </w:rPr>
          <w:instrText>_</w:instrText>
        </w:r>
        <w:r w:rsidRPr="00710F97">
          <w:rPr>
            <w:noProof/>
            <w:webHidden/>
          </w:rPr>
          <w:instrText>Toc</w:instrText>
        </w:r>
        <w:r w:rsidRPr="00710F97">
          <w:rPr>
            <w:noProof/>
            <w:webHidden/>
            <w:rtl/>
          </w:rPr>
          <w:instrText xml:space="preserve">528154484 </w:instrText>
        </w:r>
        <w:r w:rsidRPr="00710F97">
          <w:rPr>
            <w:noProof/>
            <w:webHidden/>
          </w:rPr>
          <w:instrText>\h</w:instrText>
        </w:r>
        <w:r w:rsidRPr="00710F97">
          <w:rPr>
            <w:noProof/>
            <w:webHidden/>
            <w:rtl/>
          </w:rPr>
          <w:instrText xml:space="preserve"> </w:instrText>
        </w:r>
        <w:r w:rsidRPr="00710F97">
          <w:rPr>
            <w:noProof/>
            <w:webHidden/>
            <w:rtl/>
          </w:rPr>
        </w:r>
        <w:r w:rsidRPr="00710F97">
          <w:rPr>
            <w:noProof/>
            <w:webHidden/>
            <w:rtl/>
          </w:rPr>
          <w:fldChar w:fldCharType="separate"/>
        </w:r>
        <w:r w:rsidR="0081578D">
          <w:rPr>
            <w:noProof/>
            <w:webHidden/>
            <w:rtl/>
          </w:rPr>
          <w:t>2</w:t>
        </w:r>
        <w:r w:rsidRPr="00710F97">
          <w:rPr>
            <w:noProof/>
            <w:webHidden/>
            <w:rtl/>
          </w:rPr>
          <w:fldChar w:fldCharType="end"/>
        </w:r>
      </w:hyperlink>
    </w:p>
    <w:p w:rsidR="00710F97" w:rsidRPr="00710F97" w:rsidRDefault="00710F97" w:rsidP="00710F9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8154485" w:history="1">
        <w:r w:rsidRPr="00710F97">
          <w:rPr>
            <w:rStyle w:val="Hyperlink"/>
            <w:iCs w:val="0"/>
            <w:noProof/>
            <w:rtl/>
          </w:rPr>
          <w:t>مضر نبودن صرف الغاء عنوان</w:t>
        </w:r>
        <w:r w:rsidRPr="00710F97">
          <w:rPr>
            <w:iCs w:val="0"/>
            <w:noProof/>
            <w:webHidden/>
            <w:rtl/>
          </w:rPr>
          <w:tab/>
        </w:r>
        <w:r w:rsidRPr="00710F97">
          <w:rPr>
            <w:iCs w:val="0"/>
            <w:noProof/>
            <w:webHidden/>
            <w:rtl/>
          </w:rPr>
          <w:fldChar w:fldCharType="begin"/>
        </w:r>
        <w:r w:rsidRPr="00710F97">
          <w:rPr>
            <w:iCs w:val="0"/>
            <w:noProof/>
            <w:webHidden/>
            <w:rtl/>
          </w:rPr>
          <w:instrText xml:space="preserve"> </w:instrText>
        </w:r>
        <w:r w:rsidRPr="00710F97">
          <w:rPr>
            <w:iCs w:val="0"/>
            <w:noProof/>
            <w:webHidden/>
          </w:rPr>
          <w:instrText xml:space="preserve">PAGEREF </w:instrText>
        </w:r>
        <w:r w:rsidRPr="00710F97">
          <w:rPr>
            <w:iCs w:val="0"/>
            <w:noProof/>
            <w:webHidden/>
            <w:rtl/>
          </w:rPr>
          <w:instrText>_</w:instrText>
        </w:r>
        <w:r w:rsidRPr="00710F97">
          <w:rPr>
            <w:iCs w:val="0"/>
            <w:noProof/>
            <w:webHidden/>
          </w:rPr>
          <w:instrText>Toc</w:instrText>
        </w:r>
        <w:r w:rsidRPr="00710F97">
          <w:rPr>
            <w:iCs w:val="0"/>
            <w:noProof/>
            <w:webHidden/>
            <w:rtl/>
          </w:rPr>
          <w:instrText xml:space="preserve">528154485 </w:instrText>
        </w:r>
        <w:r w:rsidRPr="00710F97">
          <w:rPr>
            <w:iCs w:val="0"/>
            <w:noProof/>
            <w:webHidden/>
          </w:rPr>
          <w:instrText>\h</w:instrText>
        </w:r>
        <w:r w:rsidRPr="00710F97">
          <w:rPr>
            <w:iCs w:val="0"/>
            <w:noProof/>
            <w:webHidden/>
            <w:rtl/>
          </w:rPr>
          <w:instrText xml:space="preserve"> </w:instrText>
        </w:r>
        <w:r w:rsidRPr="00710F97">
          <w:rPr>
            <w:iCs w:val="0"/>
            <w:noProof/>
            <w:webHidden/>
            <w:rtl/>
          </w:rPr>
        </w:r>
        <w:r w:rsidRPr="00710F97">
          <w:rPr>
            <w:iCs w:val="0"/>
            <w:noProof/>
            <w:webHidden/>
            <w:rtl/>
          </w:rPr>
          <w:fldChar w:fldCharType="separate"/>
        </w:r>
        <w:r w:rsidR="0081578D">
          <w:rPr>
            <w:iCs w:val="0"/>
            <w:noProof/>
            <w:webHidden/>
            <w:rtl/>
          </w:rPr>
          <w:t>2</w:t>
        </w:r>
        <w:r w:rsidRPr="00710F97">
          <w:rPr>
            <w:iCs w:val="0"/>
            <w:noProof/>
            <w:webHidden/>
            <w:rtl/>
          </w:rPr>
          <w:fldChar w:fldCharType="end"/>
        </w:r>
      </w:hyperlink>
    </w:p>
    <w:p w:rsidR="00710F97" w:rsidRPr="00710F97" w:rsidRDefault="00710F97" w:rsidP="00710F97">
      <w:pPr>
        <w:pStyle w:val="TOC2"/>
        <w:tabs>
          <w:tab w:val="right" w:leader="dot" w:pos="10194"/>
        </w:tabs>
        <w:rPr>
          <w:rFonts w:asciiTheme="minorHAnsi" w:eastAsiaTheme="minorEastAsia" w:hAnsiTheme="minorHAnsi" w:cstheme="minorBidi"/>
          <w:bCs w:val="0"/>
          <w:noProof/>
          <w:color w:val="auto"/>
          <w:szCs w:val="22"/>
          <w:rtl/>
          <w:lang w:bidi="ar-SA"/>
        </w:rPr>
      </w:pPr>
      <w:hyperlink w:anchor="_Toc528154486" w:history="1">
        <w:r w:rsidRPr="00710F97">
          <w:rPr>
            <w:rStyle w:val="Hyperlink"/>
            <w:noProof/>
            <w:rtl/>
          </w:rPr>
          <w:t xml:space="preserve">ج: نادر بودن مورد افتراق </w:t>
        </w:r>
        <w:r w:rsidRPr="00710F97">
          <w:rPr>
            <w:rStyle w:val="Hyperlink"/>
            <w:rFonts w:hint="cs"/>
            <w:noProof/>
            <w:rtl/>
          </w:rPr>
          <w:t>ی</w:t>
        </w:r>
        <w:r w:rsidRPr="00710F97">
          <w:rPr>
            <w:rStyle w:val="Hyperlink"/>
            <w:rFonts w:hint="eastAsia"/>
            <w:noProof/>
            <w:rtl/>
          </w:rPr>
          <w:t>ک</w:t>
        </w:r>
        <w:r w:rsidRPr="00710F97">
          <w:rPr>
            <w:rStyle w:val="Hyperlink"/>
            <w:rFonts w:hint="cs"/>
            <w:noProof/>
            <w:rtl/>
          </w:rPr>
          <w:t>ی</w:t>
        </w:r>
        <w:r w:rsidRPr="00710F97">
          <w:rPr>
            <w:rStyle w:val="Hyperlink"/>
            <w:noProof/>
            <w:rtl/>
          </w:rPr>
          <w:t xml:space="preserve"> از دو دل</w:t>
        </w:r>
        <w:r w:rsidRPr="00710F97">
          <w:rPr>
            <w:rStyle w:val="Hyperlink"/>
            <w:rFonts w:hint="cs"/>
            <w:noProof/>
            <w:rtl/>
          </w:rPr>
          <w:t>ی</w:t>
        </w:r>
        <w:r w:rsidRPr="00710F97">
          <w:rPr>
            <w:rStyle w:val="Hyperlink"/>
            <w:rFonts w:hint="eastAsia"/>
            <w:noProof/>
            <w:rtl/>
          </w:rPr>
          <w:t>ل</w:t>
        </w:r>
        <w:r w:rsidRPr="00710F97">
          <w:rPr>
            <w:noProof/>
            <w:webHidden/>
            <w:rtl/>
          </w:rPr>
          <w:tab/>
        </w:r>
        <w:r w:rsidRPr="00710F97">
          <w:rPr>
            <w:noProof/>
            <w:webHidden/>
            <w:rtl/>
          </w:rPr>
          <w:fldChar w:fldCharType="begin"/>
        </w:r>
        <w:r w:rsidRPr="00710F97">
          <w:rPr>
            <w:noProof/>
            <w:webHidden/>
            <w:rtl/>
          </w:rPr>
          <w:instrText xml:space="preserve"> </w:instrText>
        </w:r>
        <w:r w:rsidRPr="00710F97">
          <w:rPr>
            <w:noProof/>
            <w:webHidden/>
          </w:rPr>
          <w:instrText xml:space="preserve">PAGEREF </w:instrText>
        </w:r>
        <w:r w:rsidRPr="00710F97">
          <w:rPr>
            <w:noProof/>
            <w:webHidden/>
            <w:rtl/>
          </w:rPr>
          <w:instrText>_</w:instrText>
        </w:r>
        <w:r w:rsidRPr="00710F97">
          <w:rPr>
            <w:noProof/>
            <w:webHidden/>
          </w:rPr>
          <w:instrText>Toc</w:instrText>
        </w:r>
        <w:r w:rsidRPr="00710F97">
          <w:rPr>
            <w:noProof/>
            <w:webHidden/>
            <w:rtl/>
          </w:rPr>
          <w:instrText xml:space="preserve">528154486 </w:instrText>
        </w:r>
        <w:r w:rsidRPr="00710F97">
          <w:rPr>
            <w:noProof/>
            <w:webHidden/>
          </w:rPr>
          <w:instrText>\h</w:instrText>
        </w:r>
        <w:r w:rsidRPr="00710F97">
          <w:rPr>
            <w:noProof/>
            <w:webHidden/>
            <w:rtl/>
          </w:rPr>
          <w:instrText xml:space="preserve"> </w:instrText>
        </w:r>
        <w:r w:rsidRPr="00710F97">
          <w:rPr>
            <w:noProof/>
            <w:webHidden/>
            <w:rtl/>
          </w:rPr>
        </w:r>
        <w:r w:rsidRPr="00710F97">
          <w:rPr>
            <w:noProof/>
            <w:webHidden/>
            <w:rtl/>
          </w:rPr>
          <w:fldChar w:fldCharType="separate"/>
        </w:r>
        <w:r w:rsidR="0081578D">
          <w:rPr>
            <w:noProof/>
            <w:webHidden/>
            <w:rtl/>
          </w:rPr>
          <w:t>4</w:t>
        </w:r>
        <w:r w:rsidRPr="00710F97">
          <w:rPr>
            <w:noProof/>
            <w:webHidden/>
            <w:rtl/>
          </w:rPr>
          <w:fldChar w:fldCharType="end"/>
        </w:r>
      </w:hyperlink>
    </w:p>
    <w:p w:rsidR="00710F97" w:rsidRPr="00710F97" w:rsidRDefault="00710F97" w:rsidP="00710F9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8154487" w:history="1">
        <w:r w:rsidRPr="00710F97">
          <w:rPr>
            <w:rStyle w:val="Hyperlink"/>
            <w:iCs w:val="0"/>
            <w:noProof/>
            <w:rtl/>
          </w:rPr>
          <w:t>مناقشه در کلام مرحوم آقا</w:t>
        </w:r>
        <w:r w:rsidRPr="00710F97">
          <w:rPr>
            <w:rStyle w:val="Hyperlink"/>
            <w:rFonts w:hint="cs"/>
            <w:iCs w:val="0"/>
            <w:noProof/>
            <w:rtl/>
          </w:rPr>
          <w:t>ی</w:t>
        </w:r>
        <w:r w:rsidRPr="00710F97">
          <w:rPr>
            <w:rStyle w:val="Hyperlink"/>
            <w:iCs w:val="0"/>
            <w:noProof/>
            <w:rtl/>
          </w:rPr>
          <w:t xml:space="preserve"> خو</w:t>
        </w:r>
        <w:r w:rsidRPr="00710F97">
          <w:rPr>
            <w:rStyle w:val="Hyperlink"/>
            <w:rFonts w:hint="cs"/>
            <w:iCs w:val="0"/>
            <w:noProof/>
            <w:rtl/>
          </w:rPr>
          <w:t>یی</w:t>
        </w:r>
        <w:r w:rsidRPr="00710F97">
          <w:rPr>
            <w:rStyle w:val="Hyperlink"/>
            <w:iCs w:val="0"/>
            <w:noProof/>
            <w:rtl/>
          </w:rPr>
          <w:t xml:space="preserve"> در حد</w:t>
        </w:r>
        <w:r w:rsidRPr="00710F97">
          <w:rPr>
            <w:rStyle w:val="Hyperlink"/>
            <w:rFonts w:hint="cs"/>
            <w:iCs w:val="0"/>
            <w:noProof/>
            <w:rtl/>
          </w:rPr>
          <w:t>ی</w:t>
        </w:r>
        <w:r w:rsidRPr="00710F97">
          <w:rPr>
            <w:rStyle w:val="Hyperlink"/>
            <w:rFonts w:hint="eastAsia"/>
            <w:iCs w:val="0"/>
            <w:noProof/>
            <w:rtl/>
          </w:rPr>
          <w:t>ث</w:t>
        </w:r>
        <w:r w:rsidRPr="00710F97">
          <w:rPr>
            <w:rStyle w:val="Hyperlink"/>
            <w:iCs w:val="0"/>
            <w:noProof/>
            <w:rtl/>
          </w:rPr>
          <w:t xml:space="preserve"> «لاتعاد»</w:t>
        </w:r>
        <w:r w:rsidRPr="00710F97">
          <w:rPr>
            <w:iCs w:val="0"/>
            <w:noProof/>
            <w:webHidden/>
            <w:rtl/>
          </w:rPr>
          <w:tab/>
        </w:r>
        <w:r w:rsidRPr="00710F97">
          <w:rPr>
            <w:iCs w:val="0"/>
            <w:noProof/>
            <w:webHidden/>
            <w:rtl/>
          </w:rPr>
          <w:fldChar w:fldCharType="begin"/>
        </w:r>
        <w:r w:rsidRPr="00710F97">
          <w:rPr>
            <w:iCs w:val="0"/>
            <w:noProof/>
            <w:webHidden/>
            <w:rtl/>
          </w:rPr>
          <w:instrText xml:space="preserve"> </w:instrText>
        </w:r>
        <w:r w:rsidRPr="00710F97">
          <w:rPr>
            <w:iCs w:val="0"/>
            <w:noProof/>
            <w:webHidden/>
          </w:rPr>
          <w:instrText xml:space="preserve">PAGEREF </w:instrText>
        </w:r>
        <w:r w:rsidRPr="00710F97">
          <w:rPr>
            <w:iCs w:val="0"/>
            <w:noProof/>
            <w:webHidden/>
            <w:rtl/>
          </w:rPr>
          <w:instrText>_</w:instrText>
        </w:r>
        <w:r w:rsidRPr="00710F97">
          <w:rPr>
            <w:iCs w:val="0"/>
            <w:noProof/>
            <w:webHidden/>
          </w:rPr>
          <w:instrText>Toc</w:instrText>
        </w:r>
        <w:r w:rsidRPr="00710F97">
          <w:rPr>
            <w:iCs w:val="0"/>
            <w:noProof/>
            <w:webHidden/>
            <w:rtl/>
          </w:rPr>
          <w:instrText xml:space="preserve">528154487 </w:instrText>
        </w:r>
        <w:r w:rsidRPr="00710F97">
          <w:rPr>
            <w:iCs w:val="0"/>
            <w:noProof/>
            <w:webHidden/>
          </w:rPr>
          <w:instrText>\h</w:instrText>
        </w:r>
        <w:r w:rsidRPr="00710F97">
          <w:rPr>
            <w:iCs w:val="0"/>
            <w:noProof/>
            <w:webHidden/>
            <w:rtl/>
          </w:rPr>
          <w:instrText xml:space="preserve"> </w:instrText>
        </w:r>
        <w:r w:rsidRPr="00710F97">
          <w:rPr>
            <w:iCs w:val="0"/>
            <w:noProof/>
            <w:webHidden/>
            <w:rtl/>
          </w:rPr>
        </w:r>
        <w:r w:rsidRPr="00710F97">
          <w:rPr>
            <w:iCs w:val="0"/>
            <w:noProof/>
            <w:webHidden/>
            <w:rtl/>
          </w:rPr>
          <w:fldChar w:fldCharType="separate"/>
        </w:r>
        <w:r w:rsidR="0081578D">
          <w:rPr>
            <w:iCs w:val="0"/>
            <w:noProof/>
            <w:webHidden/>
            <w:rtl/>
          </w:rPr>
          <w:t>4</w:t>
        </w:r>
        <w:r w:rsidRPr="00710F97">
          <w:rPr>
            <w:iCs w:val="0"/>
            <w:noProof/>
            <w:webHidden/>
            <w:rtl/>
          </w:rPr>
          <w:fldChar w:fldCharType="end"/>
        </w:r>
      </w:hyperlink>
    </w:p>
    <w:p w:rsidR="00710F97" w:rsidRPr="00710F97" w:rsidRDefault="00710F97" w:rsidP="00710F97">
      <w:pPr>
        <w:pStyle w:val="TOC1"/>
        <w:rPr>
          <w:rFonts w:asciiTheme="minorHAnsi" w:eastAsiaTheme="minorEastAsia" w:hAnsiTheme="minorHAnsi" w:cstheme="minorBidi"/>
          <w:noProof/>
          <w:color w:val="auto"/>
          <w:szCs w:val="22"/>
          <w:rtl/>
          <w:lang w:bidi="ar-SA"/>
        </w:rPr>
      </w:pPr>
      <w:hyperlink w:anchor="_Toc528154488" w:history="1">
        <w:r w:rsidRPr="00710F97">
          <w:rPr>
            <w:rStyle w:val="Hyperlink"/>
            <w:noProof/>
            <w:rtl/>
          </w:rPr>
          <w:t>اشاره به موارد باق</w:t>
        </w:r>
        <w:r w:rsidRPr="00710F97">
          <w:rPr>
            <w:rStyle w:val="Hyperlink"/>
            <w:rFonts w:hint="cs"/>
            <w:noProof/>
            <w:rtl/>
          </w:rPr>
          <w:t>ی</w:t>
        </w:r>
        <w:r w:rsidRPr="00710F97">
          <w:rPr>
            <w:rStyle w:val="Hyperlink"/>
            <w:noProof/>
            <w:rtl/>
          </w:rPr>
          <w:t xml:space="preserve"> مانده از جمع عرف</w:t>
        </w:r>
        <w:r w:rsidRPr="00710F97">
          <w:rPr>
            <w:rStyle w:val="Hyperlink"/>
            <w:rFonts w:hint="cs"/>
            <w:noProof/>
            <w:rtl/>
          </w:rPr>
          <w:t>ی</w:t>
        </w:r>
        <w:r w:rsidRPr="00710F97">
          <w:rPr>
            <w:noProof/>
            <w:webHidden/>
            <w:rtl/>
          </w:rPr>
          <w:tab/>
        </w:r>
        <w:r w:rsidRPr="00710F97">
          <w:rPr>
            <w:noProof/>
            <w:webHidden/>
            <w:rtl/>
          </w:rPr>
          <w:fldChar w:fldCharType="begin"/>
        </w:r>
        <w:r w:rsidRPr="00710F97">
          <w:rPr>
            <w:noProof/>
            <w:webHidden/>
            <w:rtl/>
          </w:rPr>
          <w:instrText xml:space="preserve"> </w:instrText>
        </w:r>
        <w:r w:rsidRPr="00710F97">
          <w:rPr>
            <w:noProof/>
            <w:webHidden/>
          </w:rPr>
          <w:instrText xml:space="preserve">PAGEREF </w:instrText>
        </w:r>
        <w:r w:rsidRPr="00710F97">
          <w:rPr>
            <w:noProof/>
            <w:webHidden/>
            <w:rtl/>
          </w:rPr>
          <w:instrText>_</w:instrText>
        </w:r>
        <w:r w:rsidRPr="00710F97">
          <w:rPr>
            <w:noProof/>
            <w:webHidden/>
          </w:rPr>
          <w:instrText>Toc</w:instrText>
        </w:r>
        <w:r w:rsidRPr="00710F97">
          <w:rPr>
            <w:noProof/>
            <w:webHidden/>
            <w:rtl/>
          </w:rPr>
          <w:instrText xml:space="preserve">528154488 </w:instrText>
        </w:r>
        <w:r w:rsidRPr="00710F97">
          <w:rPr>
            <w:noProof/>
            <w:webHidden/>
          </w:rPr>
          <w:instrText>\h</w:instrText>
        </w:r>
        <w:r w:rsidRPr="00710F97">
          <w:rPr>
            <w:noProof/>
            <w:webHidden/>
            <w:rtl/>
          </w:rPr>
          <w:instrText xml:space="preserve"> </w:instrText>
        </w:r>
        <w:r w:rsidRPr="00710F97">
          <w:rPr>
            <w:noProof/>
            <w:webHidden/>
            <w:rtl/>
          </w:rPr>
        </w:r>
        <w:r w:rsidRPr="00710F97">
          <w:rPr>
            <w:noProof/>
            <w:webHidden/>
            <w:rtl/>
          </w:rPr>
          <w:fldChar w:fldCharType="separate"/>
        </w:r>
        <w:r w:rsidR="0081578D">
          <w:rPr>
            <w:noProof/>
            <w:webHidden/>
            <w:rtl/>
          </w:rPr>
          <w:t>6</w:t>
        </w:r>
        <w:r w:rsidRPr="00710F97">
          <w:rPr>
            <w:noProof/>
            <w:webHidden/>
            <w:rtl/>
          </w:rPr>
          <w:fldChar w:fldCharType="end"/>
        </w:r>
      </w:hyperlink>
    </w:p>
    <w:p w:rsidR="00C91EB6" w:rsidRPr="00C91EB6" w:rsidRDefault="00710F97" w:rsidP="002110B2">
      <w:pPr>
        <w:jc w:val="lowKashida"/>
      </w:pPr>
      <w:r>
        <w:rPr>
          <w:rFonts w:cs="B Titr"/>
          <w:noProof/>
          <w:webHidden/>
          <w:color w:val="632423" w:themeColor="accent2" w:themeShade="80"/>
          <w:szCs w:val="24"/>
          <w:rtl/>
        </w:rPr>
        <w:fldChar w:fldCharType="end"/>
      </w:r>
    </w:p>
    <w:p w:rsidR="00F343FB" w:rsidRPr="00A6366F" w:rsidRDefault="00F842AD" w:rsidP="002110B2">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F341A">
        <w:rPr>
          <w:rtl/>
        </w:rPr>
        <w:t>موارد الحاق عام</w:t>
      </w:r>
      <w:r w:rsidR="000F341A">
        <w:rPr>
          <w:rFonts w:hint="cs"/>
          <w:rtl/>
        </w:rPr>
        <w:t>ی</w:t>
      </w:r>
      <w:r w:rsidR="000F341A">
        <w:rPr>
          <w:rFonts w:hint="eastAsia"/>
          <w:rtl/>
        </w:rPr>
        <w:t>ن</w:t>
      </w:r>
      <w:r w:rsidR="000F341A">
        <w:rPr>
          <w:rtl/>
        </w:rPr>
        <w:t xml:space="preserve"> من وجه به عام و خاص مطلق</w:t>
      </w:r>
      <w:r w:rsidR="00386C11" w:rsidRPr="00A6366F">
        <w:rPr>
          <w:rFonts w:hint="cs"/>
          <w:rtl/>
        </w:rPr>
        <w:t>/</w:t>
      </w:r>
      <w:bookmarkStart w:id="1" w:name="BokSabj_d"/>
      <w:bookmarkEnd w:id="1"/>
      <w:r w:rsidR="0028058D">
        <w:rPr>
          <w:rFonts w:hint="cs"/>
          <w:rtl/>
        </w:rPr>
        <w:t xml:space="preserve"> </w:t>
      </w:r>
      <w:r w:rsidR="000F341A">
        <w:rPr>
          <w:rtl/>
        </w:rPr>
        <w:t>تخص</w:t>
      </w:r>
      <w:r w:rsidR="000F341A">
        <w:rPr>
          <w:rFonts w:hint="cs"/>
          <w:rtl/>
        </w:rPr>
        <w:t>ی</w:t>
      </w:r>
      <w:r w:rsidR="000F341A">
        <w:rPr>
          <w:rFonts w:hint="eastAsia"/>
          <w:rtl/>
        </w:rPr>
        <w:t>ص</w:t>
      </w:r>
      <w:r w:rsidR="0028058D">
        <w:rPr>
          <w:rFonts w:hint="cs"/>
          <w:rtl/>
        </w:rPr>
        <w:t>/ تعارض غیر مستقر</w:t>
      </w:r>
      <w:r w:rsidR="00386C11" w:rsidRPr="00A6366F">
        <w:rPr>
          <w:rFonts w:hint="cs"/>
          <w:rtl/>
        </w:rPr>
        <w:t>/</w:t>
      </w:r>
      <w:bookmarkStart w:id="2" w:name="Bokkolli"/>
      <w:bookmarkEnd w:id="2"/>
      <w:r w:rsidR="0028058D">
        <w:rPr>
          <w:rFonts w:hint="cs"/>
          <w:rtl/>
        </w:rPr>
        <w:t xml:space="preserve"> </w:t>
      </w:r>
      <w:r w:rsidR="000F341A">
        <w:rPr>
          <w:rtl/>
        </w:rPr>
        <w:t>تعارض ادله</w:t>
      </w:r>
      <w:r w:rsidR="001B6799" w:rsidRPr="00A6366F">
        <w:rPr>
          <w:rFonts w:hint="cs"/>
          <w:rtl/>
        </w:rPr>
        <w:t xml:space="preserve"> </w:t>
      </w:r>
    </w:p>
    <w:p w:rsidR="008F5B4D" w:rsidRPr="009C66D5" w:rsidRDefault="008F5B4D" w:rsidP="002110B2">
      <w:pPr>
        <w:jc w:val="lowKashida"/>
        <w:rPr>
          <w:rStyle w:val="Emphasis"/>
          <w:b/>
          <w:bCs w:val="0"/>
          <w:rtl/>
        </w:rPr>
      </w:pPr>
      <w:r w:rsidRPr="009C66D5">
        <w:rPr>
          <w:rStyle w:val="Emphasis"/>
          <w:rFonts w:hint="cs"/>
          <w:b/>
          <w:bCs w:val="0"/>
          <w:rtl/>
        </w:rPr>
        <w:t>خلاصه مباحث گذشته:</w:t>
      </w:r>
    </w:p>
    <w:p w:rsidR="00247D2F" w:rsidRPr="003A6148" w:rsidRDefault="0028058D" w:rsidP="002110B2">
      <w:pPr>
        <w:pBdr>
          <w:bottom w:val="double" w:sz="6" w:space="1" w:color="auto"/>
        </w:pBdr>
        <w:jc w:val="lowKashida"/>
      </w:pPr>
      <w:r>
        <w:rPr>
          <w:rFonts w:hint="cs"/>
          <w:rtl/>
        </w:rPr>
        <w:t xml:space="preserve">بحث در تخصیص به عنوان دومین مورد از موارد جمع عرفی است که در مطالب گذشته مطرح شده، تقدیم خاص بر عام </w:t>
      </w:r>
      <w:r w:rsidR="002608F1">
        <w:rPr>
          <w:rFonts w:hint="cs"/>
          <w:rtl/>
        </w:rPr>
        <w:t>عرفی بوده و نکته آن قرینیت خاص نسبت به مراد جدی از عام است و برای تعیین نسبت بین دو خطاب باید همه قیود در نظر گرفته شود و صرف موضوع رئیسی لحاظ نمی شود.</w:t>
      </w:r>
    </w:p>
    <w:p w:rsidR="003018A5" w:rsidRDefault="002608F1" w:rsidP="002110B2">
      <w:pPr>
        <w:pStyle w:val="Heading1"/>
        <w:jc w:val="lowKashida"/>
      </w:pPr>
      <w:bookmarkStart w:id="3" w:name="_Toc528154482"/>
      <w:r>
        <w:rPr>
          <w:rFonts w:hint="cs"/>
          <w:rtl/>
        </w:rPr>
        <w:t>موارد الحاق عامین من وجه به عام و خاص مطلق</w:t>
      </w:r>
      <w:bookmarkEnd w:id="3"/>
    </w:p>
    <w:p w:rsidR="00EA579C" w:rsidRDefault="003018A5" w:rsidP="002110B2">
      <w:pPr>
        <w:jc w:val="lowKashida"/>
        <w:rPr>
          <w:rtl/>
        </w:rPr>
      </w:pPr>
      <w:r>
        <w:rPr>
          <w:rFonts w:hint="cs"/>
          <w:rtl/>
        </w:rPr>
        <w:t>در برخی موارد نسبت بین</w:t>
      </w:r>
      <w:r w:rsidR="007D2695">
        <w:rPr>
          <w:rFonts w:hint="cs"/>
          <w:rtl/>
        </w:rPr>
        <w:t xml:space="preserve"> دو خطاب عموم و خصوص من وجه است</w:t>
      </w:r>
      <w:r w:rsidR="00EA579C">
        <w:rPr>
          <w:rFonts w:hint="cs"/>
          <w:rtl/>
        </w:rPr>
        <w:t>،</w:t>
      </w:r>
      <w:r w:rsidR="007D2695">
        <w:rPr>
          <w:rFonts w:hint="cs"/>
          <w:rtl/>
        </w:rPr>
        <w:t xml:space="preserve"> اما با این دو خطاب معامله عام و خاص مطلق شده و یکی از دو خطاب توسط دیگری تخصیص زده می شود. </w:t>
      </w:r>
    </w:p>
    <w:p w:rsidR="007D2695" w:rsidRDefault="007D2695" w:rsidP="002110B2">
      <w:pPr>
        <w:jc w:val="lowKashida"/>
        <w:rPr>
          <w:rFonts w:hint="cs"/>
          <w:rtl/>
        </w:rPr>
      </w:pPr>
      <w:r>
        <w:rPr>
          <w:rFonts w:hint="cs"/>
          <w:rtl/>
        </w:rPr>
        <w:t>در این مجال به چند مورد اشاره می شود:</w:t>
      </w:r>
    </w:p>
    <w:p w:rsidR="007D2695" w:rsidRDefault="007D2695" w:rsidP="002110B2">
      <w:pPr>
        <w:pStyle w:val="Heading2"/>
        <w:jc w:val="lowKashida"/>
        <w:rPr>
          <w:rtl/>
        </w:rPr>
      </w:pPr>
      <w:bookmarkStart w:id="4" w:name="_Toc528154483"/>
      <w:r>
        <w:rPr>
          <w:rFonts w:hint="cs"/>
          <w:rtl/>
        </w:rPr>
        <w:t>الف: قدر متیقن بودن یکی از دو خطاب نسبت به موضع اجتماع</w:t>
      </w:r>
      <w:bookmarkEnd w:id="4"/>
    </w:p>
    <w:p w:rsidR="00C841FB" w:rsidRDefault="00C841FB" w:rsidP="002110B2">
      <w:pPr>
        <w:jc w:val="lowKashida"/>
        <w:rPr>
          <w:rFonts w:hint="cs"/>
          <w:rtl/>
        </w:rPr>
      </w:pPr>
      <w:r>
        <w:rPr>
          <w:rFonts w:hint="cs"/>
          <w:rtl/>
        </w:rPr>
        <w:t>یکی از مواردی که با عامین من وجه، معامله عام خاص مطلق می شود، این است که یکی از عامین من وجه در مورد اجتماع قدر متیقن باشد که نشود آن قدر متیقن را از آن خارج کرد. به عنوان مثال بین دو خطاب «ا</w:t>
      </w:r>
      <w:r w:rsidR="00BD46D1">
        <w:rPr>
          <w:rFonts w:hint="cs"/>
          <w:rtl/>
        </w:rPr>
        <w:t xml:space="preserve">کرم کل عالم» و «لاتکرم </w:t>
      </w:r>
      <w:r w:rsidR="003D3430">
        <w:rPr>
          <w:rFonts w:hint="cs"/>
          <w:rtl/>
        </w:rPr>
        <w:t xml:space="preserve">أیّ </w:t>
      </w:r>
      <w:r>
        <w:rPr>
          <w:rFonts w:hint="cs"/>
          <w:rtl/>
        </w:rPr>
        <w:t>فاسق»</w:t>
      </w:r>
      <w:r w:rsidR="002110B2">
        <w:rPr>
          <w:rFonts w:hint="cs"/>
          <w:rtl/>
        </w:rPr>
        <w:t xml:space="preserve"> نسبت عموم من وجه وجود دارد و</w:t>
      </w:r>
      <w:r>
        <w:rPr>
          <w:rFonts w:hint="cs"/>
          <w:rtl/>
        </w:rPr>
        <w:t xml:space="preserve"> در مورد عالم فاسق که ماده اجتماع است، تعارض رخ می دهد.</w:t>
      </w:r>
      <w:r w:rsidR="00521B64">
        <w:rPr>
          <w:rFonts w:hint="cs"/>
          <w:rtl/>
        </w:rPr>
        <w:t xml:space="preserve"> حال اگر عالم فاسق</w:t>
      </w:r>
      <w:r w:rsidR="00EA579C">
        <w:rPr>
          <w:rFonts w:hint="cs"/>
          <w:rtl/>
        </w:rPr>
        <w:t>،</w:t>
      </w:r>
      <w:r w:rsidR="00521B64">
        <w:rPr>
          <w:rFonts w:hint="cs"/>
          <w:rtl/>
        </w:rPr>
        <w:t xml:space="preserve"> قدر متیقن یکی از دو خطاب باشد، مثل اینکه راوی نقل کند که «سألته عن اکرام العالم الفاسق</w:t>
      </w:r>
      <w:r w:rsidR="00D60B7A">
        <w:rPr>
          <w:rFonts w:hint="cs"/>
          <w:rtl/>
        </w:rPr>
        <w:t xml:space="preserve"> قال اکرم کل عالم». در این تعبیر، عالم فاسق با توجه به اینکه مورد سوال سائل بوده، قدر متیقن در مقام تخاطب است و امام علیه السلام در پاسخ تعبیر «اکرم کل عالم» را به کار برده اند. در این صورت </w:t>
      </w:r>
      <w:r w:rsidR="00BD46D1">
        <w:rPr>
          <w:rFonts w:hint="cs"/>
          <w:rtl/>
        </w:rPr>
        <w:t>خطاب «اکرم کل عالم» کالنص در مورد عالم فاسق شده و نمی توان عالم فاسق را از آن خارج کرد و لذا بر خطاب «لاتکرم أیّ فاسق» مقدم خواهد شد.</w:t>
      </w:r>
    </w:p>
    <w:p w:rsidR="00BD46D1" w:rsidRDefault="003D3430" w:rsidP="002110B2">
      <w:pPr>
        <w:pStyle w:val="Heading2"/>
        <w:jc w:val="lowKashida"/>
        <w:rPr>
          <w:rtl/>
        </w:rPr>
      </w:pPr>
      <w:bookmarkStart w:id="5" w:name="_Toc528154484"/>
      <w:r>
        <w:rPr>
          <w:rFonts w:hint="cs"/>
          <w:rtl/>
        </w:rPr>
        <w:lastRenderedPageBreak/>
        <w:t xml:space="preserve">ب: لزوم الغاء عنوان </w:t>
      </w:r>
      <w:r w:rsidR="00905DDB">
        <w:rPr>
          <w:rFonts w:hint="cs"/>
          <w:rtl/>
        </w:rPr>
        <w:t>و حصول لغویت</w:t>
      </w:r>
      <w:bookmarkEnd w:id="5"/>
    </w:p>
    <w:p w:rsidR="001E5C2A" w:rsidRDefault="003D3430" w:rsidP="002110B2">
      <w:pPr>
        <w:jc w:val="lowKashida"/>
        <w:rPr>
          <w:rFonts w:hint="cs"/>
          <w:rtl/>
        </w:rPr>
      </w:pPr>
      <w:r>
        <w:rPr>
          <w:rFonts w:hint="cs"/>
          <w:rtl/>
        </w:rPr>
        <w:t xml:space="preserve">دومین مورد برای </w:t>
      </w:r>
      <w:r w:rsidR="001E5C2A">
        <w:rPr>
          <w:rFonts w:hint="cs"/>
          <w:rtl/>
        </w:rPr>
        <w:t xml:space="preserve">اینکه عامین وجه در حکم عام و خاص مطلق خواهد بود، این است که از تقدیم یکی از دو خطاب بر دیگری، الغاء عنوان خطاب دیگر لازم بیاید و به نحوی باشد که عرفا لغو شود. </w:t>
      </w:r>
    </w:p>
    <w:p w:rsidR="001E5C2A" w:rsidRDefault="001E5C2A" w:rsidP="002110B2">
      <w:pPr>
        <w:jc w:val="lowKashida"/>
        <w:rPr>
          <w:rFonts w:hint="cs"/>
          <w:rtl/>
        </w:rPr>
      </w:pPr>
      <w:r>
        <w:rPr>
          <w:rFonts w:hint="cs"/>
          <w:rtl/>
        </w:rPr>
        <w:t xml:space="preserve">مثال معروف برای این مورد این است که در روایتی آمده است: </w:t>
      </w:r>
      <w:r w:rsidRPr="003B50AB">
        <w:rPr>
          <w:rFonts w:hint="cs"/>
          <w:color w:val="008000"/>
          <w:rtl/>
        </w:rPr>
        <w:t>«</w:t>
      </w:r>
      <w:r w:rsidR="003B50AB" w:rsidRPr="003B50AB">
        <w:rPr>
          <w:color w:val="008000"/>
          <w:rtl/>
        </w:rPr>
        <w:t>كُلُّ شَيْ‏ءٍ يَطِيرُ فَلَا بَأْسَ بِبَوْلِهِ وَ خُرْئِه‏</w:t>
      </w:r>
      <w:r w:rsidR="003B50AB" w:rsidRPr="003B50AB">
        <w:rPr>
          <w:rFonts w:hint="cs"/>
          <w:color w:val="008000"/>
          <w:rtl/>
        </w:rPr>
        <w:t>»</w:t>
      </w:r>
      <w:r w:rsidR="003B50AB" w:rsidRPr="003B50AB">
        <w:rPr>
          <w:rStyle w:val="FootnoteReference"/>
          <w:color w:val="008000"/>
          <w:rtl/>
        </w:rPr>
        <w:footnoteReference w:id="1"/>
      </w:r>
      <w:r w:rsidR="003B50AB">
        <w:rPr>
          <w:rFonts w:hint="cs"/>
          <w:color w:val="008000"/>
          <w:rtl/>
        </w:rPr>
        <w:t xml:space="preserve"> </w:t>
      </w:r>
      <w:r w:rsidR="00750DAC">
        <w:rPr>
          <w:rFonts w:hint="cs"/>
          <w:rtl/>
        </w:rPr>
        <w:t>که ط</w:t>
      </w:r>
      <w:r w:rsidR="003B50AB">
        <w:rPr>
          <w:rFonts w:hint="cs"/>
          <w:rtl/>
        </w:rPr>
        <w:t xml:space="preserve">بق این روایت </w:t>
      </w:r>
      <w:r w:rsidR="006B7A36">
        <w:rPr>
          <w:rFonts w:hint="cs"/>
          <w:rtl/>
        </w:rPr>
        <w:t xml:space="preserve">بول و خرء هر پرنده ای پاک است. علاوه بر </w:t>
      </w:r>
      <w:r w:rsidR="00750DAC">
        <w:rPr>
          <w:rFonts w:hint="cs"/>
          <w:rtl/>
        </w:rPr>
        <w:t>این خطاب، خطاب دیگری به صورت</w:t>
      </w:r>
      <w:r w:rsidR="006B7A36">
        <w:rPr>
          <w:rFonts w:hint="cs"/>
          <w:rtl/>
        </w:rPr>
        <w:t xml:space="preserve"> </w:t>
      </w:r>
      <w:r w:rsidR="006B7A36" w:rsidRPr="006B7A36">
        <w:rPr>
          <w:rFonts w:hint="cs"/>
          <w:color w:val="008000"/>
          <w:rtl/>
        </w:rPr>
        <w:t>«</w:t>
      </w:r>
      <w:r w:rsidR="006B7A36" w:rsidRPr="006B7A36">
        <w:rPr>
          <w:color w:val="008000"/>
          <w:rtl/>
        </w:rPr>
        <w:t>اغْسِلْ ثَوْبَكَ مِنْ أَبْوَالِ مَا لَا يُؤْكَلُ لَحْمُهُ.</w:t>
      </w:r>
      <w:r w:rsidR="006B7A36">
        <w:rPr>
          <w:rFonts w:hint="cs"/>
          <w:color w:val="008000"/>
          <w:rtl/>
        </w:rPr>
        <w:t>»</w:t>
      </w:r>
      <w:r w:rsidR="006B7A36">
        <w:rPr>
          <w:rStyle w:val="FootnoteReference"/>
          <w:color w:val="008000"/>
          <w:rtl/>
        </w:rPr>
        <w:footnoteReference w:id="2"/>
      </w:r>
      <w:r w:rsidR="006B7A36">
        <w:rPr>
          <w:rFonts w:hint="cs"/>
          <w:color w:val="008000"/>
          <w:rtl/>
        </w:rPr>
        <w:t xml:space="preserve"> </w:t>
      </w:r>
      <w:r w:rsidR="00750DAC">
        <w:rPr>
          <w:rFonts w:hint="cs"/>
          <w:rtl/>
        </w:rPr>
        <w:t>وجود دارد. ن</w:t>
      </w:r>
      <w:r w:rsidR="00165589">
        <w:rPr>
          <w:rFonts w:hint="cs"/>
          <w:rtl/>
        </w:rPr>
        <w:t xml:space="preserve">سبت بین دو خطاب ذکر شده، عموم من وجه است که در مورد پرنده حرام گوشت، </w:t>
      </w:r>
      <w:r w:rsidR="00537FD4">
        <w:rPr>
          <w:rFonts w:hint="cs"/>
          <w:rtl/>
        </w:rPr>
        <w:t xml:space="preserve">اقتضای عموم </w:t>
      </w:r>
      <w:r w:rsidR="00165589">
        <w:rPr>
          <w:rFonts w:hint="cs"/>
          <w:rtl/>
        </w:rPr>
        <w:t xml:space="preserve">خطاب </w:t>
      </w:r>
      <w:r w:rsidR="00537FD4">
        <w:rPr>
          <w:rFonts w:hint="cs"/>
          <w:rtl/>
        </w:rPr>
        <w:t xml:space="preserve">«کل شیء یطیر» این است که بول او پاک باشد، در حالی که خطاب «اغسل ثوبک» اقتضا می کند که </w:t>
      </w:r>
      <w:r w:rsidR="00BE7134">
        <w:rPr>
          <w:rFonts w:hint="cs"/>
          <w:rtl/>
        </w:rPr>
        <w:t xml:space="preserve">نجس باشد. </w:t>
      </w:r>
    </w:p>
    <w:p w:rsidR="00BE7134" w:rsidRDefault="00BE7134" w:rsidP="002110B2">
      <w:pPr>
        <w:jc w:val="lowKashida"/>
        <w:rPr>
          <w:rtl/>
        </w:rPr>
      </w:pPr>
      <w:r>
        <w:rPr>
          <w:rFonts w:hint="cs"/>
          <w:rtl/>
        </w:rPr>
        <w:t>فقهاء در مورد این دو روایت فرموده اند: اگر خطاب «اغسل ثو</w:t>
      </w:r>
      <w:r w:rsidR="006968CE">
        <w:rPr>
          <w:rFonts w:hint="cs"/>
          <w:rtl/>
        </w:rPr>
        <w:t xml:space="preserve">بک» مقدم بر خطاب «کل شیء یطیر» </w:t>
      </w:r>
      <w:r>
        <w:rPr>
          <w:rFonts w:hint="cs"/>
          <w:rtl/>
        </w:rPr>
        <w:t xml:space="preserve">شود، عنوان «طیر» الغاء خواهد شد؛ چون خطاب «کل شیء یطیر» مختص به حیوان حلال گوشت خواهد شد و در مورد حیوان حلال گوشت لازم نیست که طیر باشد تا بول و روث او پاک باشد، </w:t>
      </w:r>
      <w:r w:rsidR="00580B71">
        <w:rPr>
          <w:rFonts w:hint="cs"/>
          <w:rtl/>
        </w:rPr>
        <w:t xml:space="preserve">بلکه در مورد حیوان حلال گوشت، با توجه به روایت </w:t>
      </w:r>
      <w:r w:rsidR="00580B71" w:rsidRPr="00580B71">
        <w:rPr>
          <w:rFonts w:hint="cs"/>
          <w:color w:val="008000"/>
          <w:rtl/>
        </w:rPr>
        <w:t>«</w:t>
      </w:r>
      <w:r w:rsidR="00580B71" w:rsidRPr="00580B71">
        <w:rPr>
          <w:color w:val="008000"/>
          <w:rtl/>
        </w:rPr>
        <w:t>كُلُّ مَا أُكِلَ لَحْمُهُ فَلَا بَأْسَ بِمَا يَخْرُجُ مِنْهُ.</w:t>
      </w:r>
      <w:r w:rsidR="00580B71" w:rsidRPr="00580B71">
        <w:rPr>
          <w:rFonts w:hint="cs"/>
          <w:color w:val="008000"/>
          <w:rtl/>
        </w:rPr>
        <w:t>»</w:t>
      </w:r>
      <w:r w:rsidR="00580B71">
        <w:rPr>
          <w:rStyle w:val="FootnoteReference"/>
          <w:rtl/>
        </w:rPr>
        <w:footnoteReference w:id="3"/>
      </w:r>
      <w:r w:rsidR="00580B71">
        <w:rPr>
          <w:rFonts w:hint="cs"/>
          <w:color w:val="008000"/>
          <w:rtl/>
        </w:rPr>
        <w:t xml:space="preserve"> </w:t>
      </w:r>
      <w:r w:rsidR="005F2C06">
        <w:rPr>
          <w:rFonts w:hint="cs"/>
          <w:rtl/>
        </w:rPr>
        <w:t>حکم کلی طهارت بول و روث است و لذا حمل روایت «کل شیء یطیر» بر خصوص پرنده حلال گوشت، موجب می شود که عنوان پرنده که در روایت اخذ شده است، لغو شود.</w:t>
      </w:r>
    </w:p>
    <w:p w:rsidR="009A30EE" w:rsidRDefault="009A30EE" w:rsidP="002110B2">
      <w:pPr>
        <w:jc w:val="lowKashida"/>
        <w:rPr>
          <w:rtl/>
        </w:rPr>
      </w:pPr>
      <w:r>
        <w:rPr>
          <w:rFonts w:hint="cs"/>
          <w:rtl/>
        </w:rPr>
        <w:t>در مورد مثال ذکر شده، اگر دلیلی که بیان کرده بول حیوان حلال گوشت پاک است، یقینی باشد، واضح ا</w:t>
      </w:r>
      <w:r w:rsidR="0076156A">
        <w:rPr>
          <w:rFonts w:hint="cs"/>
          <w:rtl/>
        </w:rPr>
        <w:t xml:space="preserve">ست که برای لغو نشدن عنوان «طیر»، اباء از تخصیص داشته و کالنص در حرام گوشت خواهد شد و لذا مقدم بر خطاب «اغسل ثوبک» خواهد شد. اما اگر خطاب دال بر طهارت </w:t>
      </w:r>
      <w:r w:rsidR="00751362">
        <w:rPr>
          <w:rFonts w:hint="cs"/>
          <w:rtl/>
        </w:rPr>
        <w:t>بول مأکول اللحم قطعی نباشد، بلکه ظنی</w:t>
      </w:r>
      <w:r w:rsidR="004B03A6">
        <w:rPr>
          <w:rFonts w:hint="cs"/>
          <w:rtl/>
        </w:rPr>
        <w:t xml:space="preserve"> معتبر</w:t>
      </w:r>
      <w:r w:rsidR="00751362">
        <w:rPr>
          <w:rFonts w:hint="cs"/>
          <w:rtl/>
        </w:rPr>
        <w:t xml:space="preserve"> باشد، مجموع دو خطاب «ما</w:t>
      </w:r>
      <w:r w:rsidR="009C7646">
        <w:rPr>
          <w:rFonts w:hint="cs"/>
          <w:rtl/>
        </w:rPr>
        <w:t xml:space="preserve"> أ</w:t>
      </w:r>
      <w:r w:rsidR="00751362">
        <w:rPr>
          <w:rFonts w:hint="cs"/>
          <w:rtl/>
        </w:rPr>
        <w:t>کل لحمه فلابأس ببوله» و خطاب</w:t>
      </w:r>
      <w:r w:rsidR="004B03A6">
        <w:rPr>
          <w:rFonts w:hint="cs"/>
          <w:rtl/>
        </w:rPr>
        <w:t xml:space="preserve"> «کل شیء یطیر» نص خواهند شد و تقدیم خطاب «اغسل ثوبک» موجب می شود که مجموع این دو خطاب </w:t>
      </w:r>
      <w:r w:rsidR="00A66D66">
        <w:rPr>
          <w:rFonts w:hint="cs"/>
          <w:rtl/>
        </w:rPr>
        <w:t>لغو شود</w:t>
      </w:r>
      <w:r w:rsidR="009C7646">
        <w:rPr>
          <w:rFonts w:hint="cs"/>
          <w:rtl/>
        </w:rPr>
        <w:t>.</w:t>
      </w:r>
    </w:p>
    <w:p w:rsidR="006968CE" w:rsidRDefault="005C7BC8" w:rsidP="005C7BC8">
      <w:pPr>
        <w:pStyle w:val="Heading3"/>
        <w:rPr>
          <w:rtl/>
        </w:rPr>
      </w:pPr>
      <w:bookmarkStart w:id="7" w:name="_Toc528154485"/>
      <w:r>
        <w:rPr>
          <w:rFonts w:hint="cs"/>
          <w:rtl/>
        </w:rPr>
        <w:t>مضر نبودن صرف الغاء عنوان</w:t>
      </w:r>
      <w:bookmarkEnd w:id="7"/>
    </w:p>
    <w:p w:rsidR="0074054C" w:rsidRDefault="0074054C" w:rsidP="002110B2">
      <w:pPr>
        <w:jc w:val="lowKashida"/>
        <w:rPr>
          <w:rFonts w:hint="cs"/>
          <w:rtl/>
        </w:rPr>
      </w:pPr>
      <w:r>
        <w:rPr>
          <w:rFonts w:hint="cs"/>
          <w:rtl/>
        </w:rPr>
        <w:t>البته گاهی الغاء عنوان صورت می گیرد</w:t>
      </w:r>
      <w:r w:rsidR="00A22CF0">
        <w:rPr>
          <w:rFonts w:hint="cs"/>
          <w:rtl/>
        </w:rPr>
        <w:t>، اما لغویت رخ نمی دهد؛ چون بر قضیه خارجیه حمل می شود و حمل بر قضیه خارجیه اشکالی ایجاد نمی کند. به عنو</w:t>
      </w:r>
      <w:r w:rsidR="00C03A25">
        <w:rPr>
          <w:rFonts w:hint="cs"/>
          <w:rtl/>
        </w:rPr>
        <w:t xml:space="preserve">ان مثال اگر خطاب اول به صورت «لابأس بالسجده علی القرطاس» </w:t>
      </w:r>
      <w:r w:rsidR="00462F6A">
        <w:rPr>
          <w:rFonts w:hint="cs"/>
          <w:rtl/>
        </w:rPr>
        <w:t xml:space="preserve">باشد، کاغذ اعم است از کاغذی که از چوب و مانند آن باشد که سجده بر آن صحیح است و یا از پنبه و کتان باشد که سجده بر آن </w:t>
      </w:r>
      <w:r w:rsidR="00462F6A">
        <w:rPr>
          <w:rFonts w:hint="cs"/>
          <w:rtl/>
        </w:rPr>
        <w:lastRenderedPageBreak/>
        <w:t xml:space="preserve">صحیح نیست. از طرف </w:t>
      </w:r>
      <w:r w:rsidR="006019BE">
        <w:rPr>
          <w:rFonts w:hint="cs"/>
          <w:rtl/>
        </w:rPr>
        <w:t xml:space="preserve">دلیل دیگری وجود دارد که </w:t>
      </w:r>
      <w:r w:rsidR="00EE1178">
        <w:rPr>
          <w:rFonts w:hint="cs"/>
          <w:rtl/>
        </w:rPr>
        <w:t>«لایسجد الا علی الارض او ما نبت من الارض الا ما یؤکل او یلبس». نسبت بین دو خطاب ذکر</w:t>
      </w:r>
      <w:r w:rsidR="008E7A4A">
        <w:rPr>
          <w:rFonts w:hint="cs"/>
          <w:rtl/>
        </w:rPr>
        <w:t xml:space="preserve"> شده، عموم من وجه است که دلیل اول دلالت می کند</w:t>
      </w:r>
      <w:r w:rsidR="00B67356">
        <w:rPr>
          <w:rFonts w:hint="cs"/>
          <w:rtl/>
        </w:rPr>
        <w:t xml:space="preserve"> </w:t>
      </w:r>
      <w:r w:rsidR="008E7A4A">
        <w:rPr>
          <w:rFonts w:hint="cs"/>
          <w:rtl/>
        </w:rPr>
        <w:t xml:space="preserve">که سجده بر کاغذ اشکال ندارد ولو اینکه کاغذ از پنبه </w:t>
      </w:r>
      <w:r w:rsidR="00B67356">
        <w:rPr>
          <w:rFonts w:hint="cs"/>
          <w:rtl/>
        </w:rPr>
        <w:t xml:space="preserve">یا کتان </w:t>
      </w:r>
      <w:r w:rsidR="008E7A4A">
        <w:rPr>
          <w:rFonts w:hint="cs"/>
          <w:rtl/>
        </w:rPr>
        <w:t>ساخته شده باشد و خطاب دوم بیان می کند که سجده صرفا بر زمین یا چیزی صحیح است که از زم</w:t>
      </w:r>
      <w:r w:rsidR="009D55C6">
        <w:rPr>
          <w:rFonts w:hint="cs"/>
          <w:rtl/>
        </w:rPr>
        <w:t xml:space="preserve">ین می روید و خوراک و پوشاک نیست و اطلاق آن حکم می کند که سجده بر کاغذ ساخته شده از </w:t>
      </w:r>
      <w:r w:rsidR="00B67356">
        <w:rPr>
          <w:rFonts w:hint="cs"/>
          <w:rtl/>
        </w:rPr>
        <w:t xml:space="preserve">پنبه یا </w:t>
      </w:r>
      <w:r w:rsidR="009D55C6">
        <w:rPr>
          <w:rFonts w:hint="cs"/>
          <w:rtl/>
        </w:rPr>
        <w:t>کتان به جهت اینکه مصداق خوراک و پوشاک است، صحیح نیست. بنابراین نسبت دو خطاب عموم من وجه است.</w:t>
      </w:r>
      <w:r w:rsidR="00E83D49">
        <w:rPr>
          <w:rFonts w:hint="cs"/>
          <w:rtl/>
        </w:rPr>
        <w:t xml:space="preserve"> </w:t>
      </w:r>
    </w:p>
    <w:p w:rsidR="00E83D49" w:rsidRDefault="00E83D49" w:rsidP="002110B2">
      <w:pPr>
        <w:jc w:val="lowKashida"/>
        <w:rPr>
          <w:rtl/>
        </w:rPr>
      </w:pPr>
      <w:r>
        <w:rPr>
          <w:rFonts w:hint="cs"/>
          <w:rtl/>
        </w:rPr>
        <w:t>در این مثال برخی گفته اند: ظاهر خطاب «لابأس بالسجده علی القرطاس» این است که عنوان کاغذ</w:t>
      </w:r>
      <w:r w:rsidR="00F14715">
        <w:rPr>
          <w:rFonts w:hint="cs"/>
          <w:rtl/>
        </w:rPr>
        <w:t>،</w:t>
      </w:r>
      <w:r>
        <w:rPr>
          <w:rFonts w:hint="cs"/>
          <w:rtl/>
        </w:rPr>
        <w:t xml:space="preserve"> دخالت در حکم دارد و اگر گفته شود که </w:t>
      </w:r>
      <w:r w:rsidR="00F102DA">
        <w:rPr>
          <w:rFonts w:hint="cs"/>
          <w:rtl/>
        </w:rPr>
        <w:t>جواز سجده بر کاغذ، منحصر در کاغذی است که از ما</w:t>
      </w:r>
      <w:r w:rsidR="00594566">
        <w:rPr>
          <w:rFonts w:hint="cs"/>
          <w:rtl/>
        </w:rPr>
        <w:t xml:space="preserve">یصح السجود علیه، ساخته شده باشد، عنوان کاغذ لغو خواهد شد و لذا صدق عنوان کاغذ کافی خواهد بود </w:t>
      </w:r>
      <w:r w:rsidR="00A0019F">
        <w:rPr>
          <w:rFonts w:hint="cs"/>
          <w:rtl/>
        </w:rPr>
        <w:t>ولو اینکه</w:t>
      </w:r>
      <w:r w:rsidR="00E87BE1">
        <w:rPr>
          <w:rFonts w:hint="cs"/>
          <w:rtl/>
        </w:rPr>
        <w:t xml:space="preserve"> از پنبه یا کتان ساخته شده باشد</w:t>
      </w:r>
      <w:r w:rsidR="00D834D5">
        <w:rPr>
          <w:rFonts w:hint="cs"/>
          <w:rtl/>
        </w:rPr>
        <w:t>.</w:t>
      </w:r>
      <w:r w:rsidR="006F781A">
        <w:rPr>
          <w:rStyle w:val="FootnoteReference"/>
          <w:rtl/>
        </w:rPr>
        <w:footnoteReference w:id="4"/>
      </w:r>
      <w:r w:rsidR="00D834D5">
        <w:rPr>
          <w:rFonts w:hint="cs"/>
          <w:rtl/>
        </w:rPr>
        <w:t xml:space="preserve"> </w:t>
      </w:r>
      <w:r w:rsidR="006F781A">
        <w:rPr>
          <w:rFonts w:hint="cs"/>
          <w:rtl/>
        </w:rPr>
        <w:t xml:space="preserve">البته اگر کاغذ از </w:t>
      </w:r>
      <w:r w:rsidR="00080D52">
        <w:rPr>
          <w:rFonts w:hint="cs"/>
          <w:rtl/>
        </w:rPr>
        <w:t xml:space="preserve">چوب ساخته شده باشد، سجده بر آن قطعا اشکالی نخواهد داشت. </w:t>
      </w:r>
    </w:p>
    <w:p w:rsidR="00436E8E" w:rsidRDefault="00702785" w:rsidP="002110B2">
      <w:pPr>
        <w:jc w:val="lowKashida"/>
        <w:rPr>
          <w:rtl/>
        </w:rPr>
      </w:pPr>
      <w:r>
        <w:rPr>
          <w:rFonts w:hint="cs"/>
          <w:rtl/>
        </w:rPr>
        <w:t xml:space="preserve">کلام ما این است که از تقدیم خطاب </w:t>
      </w:r>
      <w:r>
        <w:rPr>
          <w:rFonts w:hint="cs"/>
          <w:rtl/>
        </w:rPr>
        <w:t>«لایسجد الا علی الارض او ما نبت من الارض الا ما یؤکل او یلبس»</w:t>
      </w:r>
      <w:r>
        <w:rPr>
          <w:rFonts w:hint="cs"/>
          <w:rtl/>
        </w:rPr>
        <w:t xml:space="preserve"> بر «</w:t>
      </w:r>
      <w:r w:rsidR="00277CCD">
        <w:rPr>
          <w:rFonts w:hint="cs"/>
          <w:rtl/>
        </w:rPr>
        <w:t xml:space="preserve">لابأس بالسجده علی القرطاس» ولو عنوان «قرطاس» از موضوعیت خارج می شود، اما لغویت رخ نمی دهد؛ چون </w:t>
      </w:r>
      <w:r w:rsidR="00E831E3">
        <w:rPr>
          <w:rFonts w:hint="cs"/>
          <w:rtl/>
        </w:rPr>
        <w:t>حمل بر قضیه خارجیه می شود؛ یعنی کما هو المنقول، چه بسا کاغذهایی که زمان</w:t>
      </w:r>
      <w:r w:rsidR="006153C0">
        <w:rPr>
          <w:rFonts w:hint="cs"/>
          <w:rtl/>
        </w:rPr>
        <w:t xml:space="preserve"> ائمه علیهم السلام ساخته شده</w:t>
      </w:r>
      <w:r w:rsidR="00E831E3">
        <w:rPr>
          <w:rFonts w:hint="cs"/>
          <w:rtl/>
        </w:rPr>
        <w:t xml:space="preserve">، از اجزای </w:t>
      </w:r>
      <w:r w:rsidR="008E201D">
        <w:rPr>
          <w:rFonts w:hint="cs"/>
          <w:rtl/>
        </w:rPr>
        <w:t xml:space="preserve">چوب بوده است و </w:t>
      </w:r>
      <w:r w:rsidR="006153C0">
        <w:rPr>
          <w:rFonts w:hint="cs"/>
          <w:rtl/>
        </w:rPr>
        <w:t xml:space="preserve">امام علیه السلام این مطلب را احراز کرده اند و </w:t>
      </w:r>
      <w:r w:rsidR="008E201D">
        <w:rPr>
          <w:rFonts w:hint="cs"/>
          <w:rtl/>
        </w:rPr>
        <w:t xml:space="preserve">لذا ناظر به همان کاغذهای آن زمان، قضیه «لابأس بالسجده علی القرطاس» </w:t>
      </w:r>
      <w:r w:rsidR="006153C0">
        <w:rPr>
          <w:rFonts w:hint="cs"/>
          <w:rtl/>
        </w:rPr>
        <w:t xml:space="preserve">را </w:t>
      </w:r>
      <w:r w:rsidR="008E201D">
        <w:rPr>
          <w:rFonts w:hint="cs"/>
          <w:rtl/>
        </w:rPr>
        <w:t>ب</w:t>
      </w:r>
      <w:r w:rsidR="006153C0">
        <w:rPr>
          <w:rFonts w:hint="cs"/>
          <w:rtl/>
        </w:rPr>
        <w:t>ه صورت قضیه خارجیه ب</w:t>
      </w:r>
      <w:r w:rsidR="007A2554">
        <w:rPr>
          <w:rFonts w:hint="cs"/>
          <w:rtl/>
        </w:rPr>
        <w:t>یان کرده اند تا مخاطبین را متوجه کنند</w:t>
      </w:r>
      <w:r w:rsidR="00A94060">
        <w:rPr>
          <w:rFonts w:hint="cs"/>
          <w:rtl/>
        </w:rPr>
        <w:t xml:space="preserve"> که سجده بر </w:t>
      </w:r>
      <w:r w:rsidR="002F0EAA">
        <w:rPr>
          <w:rFonts w:hint="cs"/>
          <w:rtl/>
        </w:rPr>
        <w:t>این کاغذها صحیح است.</w:t>
      </w:r>
      <w:r w:rsidR="00A17C4E">
        <w:rPr>
          <w:rFonts w:hint="cs"/>
          <w:rtl/>
        </w:rPr>
        <w:t xml:space="preserve"> </w:t>
      </w:r>
    </w:p>
    <w:p w:rsidR="00702785" w:rsidRDefault="00A17C4E" w:rsidP="002110B2">
      <w:pPr>
        <w:jc w:val="lowKashida"/>
        <w:rPr>
          <w:rtl/>
        </w:rPr>
      </w:pPr>
      <w:r>
        <w:rPr>
          <w:rFonts w:hint="cs"/>
          <w:rtl/>
        </w:rPr>
        <w:t xml:space="preserve">البته اگر وضعیت زمان ائمه علیهم السلام در مورد کاغذ روشن نباشد، جمع عرفی احراز نخواهد شد و همین امر کافی است که نتوان گفت: خطاب «لابأس بالسجده علی القرطاس» بر خطاب دیگر مقدم شود و لذا بین این دو خطاب تعارض مستقر رخ می دهد </w:t>
      </w:r>
      <w:r w:rsidR="00580B5A">
        <w:rPr>
          <w:rFonts w:hint="cs"/>
          <w:rtl/>
        </w:rPr>
        <w:t>که بعد تعارض این دو دلیل به عام فوقانی مراجعه خواهد شد که «لایسجد الا علی الارض» است</w:t>
      </w:r>
      <w:r w:rsidR="00055EDC">
        <w:rPr>
          <w:rFonts w:hint="cs"/>
          <w:rtl/>
        </w:rPr>
        <w:t xml:space="preserve"> و لذا عام فوقانی سجده بر زمین است که از این عموم صرفا چیزهایی که از زمین می رویند و خوراک و پوشاک نیست، خارج شده ا</w:t>
      </w:r>
      <w:r w:rsidR="00F905C2">
        <w:rPr>
          <w:rFonts w:hint="cs"/>
          <w:rtl/>
        </w:rPr>
        <w:t>ست. در مورد کاغذ هم اگر از مایصح السجود علیه ساخته شده باشد، سجده بر آن جایز خواهد بود و الا با توجه به عام فوقانی سجده بر آن صحیح نخواهد بود.</w:t>
      </w:r>
    </w:p>
    <w:p w:rsidR="003E338C" w:rsidRDefault="007D79DC" w:rsidP="002110B2">
      <w:pPr>
        <w:jc w:val="lowKashida"/>
        <w:rPr>
          <w:rtl/>
        </w:rPr>
      </w:pPr>
      <w:r>
        <w:rPr>
          <w:rFonts w:hint="cs"/>
          <w:rtl/>
        </w:rPr>
        <w:t>بنابراین مورد دوم به این صورت است که اگر یکی از</w:t>
      </w:r>
      <w:r w:rsidR="00736C8C">
        <w:rPr>
          <w:rFonts w:hint="cs"/>
          <w:rtl/>
        </w:rPr>
        <w:t xml:space="preserve"> دو خطاب بر دیگری مقدم شود، به گونه ای الغاء عنوان صورت گیرد که خطاب لغو شود و لذا این امر منشا می شود که خطابی که به لغویت عنوان منجر می شود، بر خطاب دیگر مقدم شود.</w:t>
      </w:r>
    </w:p>
    <w:p w:rsidR="00F905C2" w:rsidRDefault="00F905C2" w:rsidP="002110B2">
      <w:pPr>
        <w:pStyle w:val="Heading2"/>
        <w:jc w:val="lowKashida"/>
        <w:rPr>
          <w:rtl/>
        </w:rPr>
      </w:pPr>
      <w:bookmarkStart w:id="8" w:name="_Toc528154486"/>
      <w:r>
        <w:rPr>
          <w:rFonts w:hint="cs"/>
          <w:rtl/>
        </w:rPr>
        <w:lastRenderedPageBreak/>
        <w:t>ج:</w:t>
      </w:r>
      <w:r w:rsidR="00905DDB">
        <w:rPr>
          <w:rFonts w:hint="cs"/>
          <w:rtl/>
        </w:rPr>
        <w:t xml:space="preserve"> نادر بودن مورد افتراق یکی از دو دلیل</w:t>
      </w:r>
      <w:bookmarkEnd w:id="8"/>
    </w:p>
    <w:p w:rsidR="009C753B" w:rsidRDefault="00905DDB" w:rsidP="009C753B">
      <w:pPr>
        <w:jc w:val="lowKashida"/>
        <w:rPr>
          <w:rtl/>
        </w:rPr>
      </w:pPr>
      <w:r>
        <w:rPr>
          <w:rFonts w:hint="cs"/>
          <w:rtl/>
        </w:rPr>
        <w:t xml:space="preserve">سومین مورد برای تقدیم یکی از دو عام من وجه بر دیگری این است که مورد افتراق یکی از دو دلیل نادر باشد به نحوی که اگر مورد اجتماع از آن دلیل گرفته شده و به عام من وجه دوم داده شود، </w:t>
      </w:r>
      <w:r w:rsidR="00A52315">
        <w:rPr>
          <w:rFonts w:hint="cs"/>
          <w:rtl/>
        </w:rPr>
        <w:t xml:space="preserve">دلیل اول بر فرد نادر حمل شود. با توجه به اینکه حمل بر فرد نادر مستهجن است، عامی که مورد افتراق آن نادر است، کالنص در مورد اجتماع خواهد شد؛ چون </w:t>
      </w:r>
      <w:r w:rsidR="00DF2D5C">
        <w:rPr>
          <w:rFonts w:hint="cs"/>
          <w:rtl/>
        </w:rPr>
        <w:t xml:space="preserve">اگر مورد اجتماع از </w:t>
      </w:r>
      <w:r w:rsidR="00A52315">
        <w:rPr>
          <w:rFonts w:hint="cs"/>
          <w:rtl/>
        </w:rPr>
        <w:t>عام دوم که دارای مورد افتراق کثیر است،</w:t>
      </w:r>
      <w:r w:rsidR="00DF2D5C">
        <w:rPr>
          <w:rFonts w:hint="cs"/>
          <w:rtl/>
        </w:rPr>
        <w:t xml:space="preserve"> خارج شود، استهجانی رخ نمی دهد و لذا به عموم خطاب اول اخذ شده و خطاب دوم تخصیص زده می شود.</w:t>
      </w:r>
    </w:p>
    <w:p w:rsidR="00905DDB" w:rsidRDefault="002D596C" w:rsidP="002110B2">
      <w:pPr>
        <w:jc w:val="lowKashida"/>
        <w:rPr>
          <w:rtl/>
        </w:rPr>
      </w:pPr>
      <w:r>
        <w:rPr>
          <w:rFonts w:hint="cs"/>
          <w:rtl/>
        </w:rPr>
        <w:t>ممکن است در اشکال به این وجه گفته شود</w:t>
      </w:r>
      <w:r w:rsidR="007109CA">
        <w:rPr>
          <w:rFonts w:hint="cs"/>
          <w:rtl/>
        </w:rPr>
        <w:t xml:space="preserve">: در موارد نادر بودن افتراق یکی از دو عام من وجه مثل افتراق بیست درصدی در مقابل اشتراک هشتاد درصدی، لازم نیست که عام اول در تمام هشتاد درصد اشتراک بر عام دیگر مقدم شود، </w:t>
      </w:r>
      <w:r w:rsidR="006B16F5">
        <w:rPr>
          <w:rFonts w:hint="cs"/>
          <w:rtl/>
        </w:rPr>
        <w:t>بلکه در خصوص موارد اشتراک دو عام، تبعیض صورت می گیرد؛ یعنی عام اول که دارای بیست درصد افتراق است، به مقداری از موارد اشتراک در تحت آن باقی خواهد ماند که از استهجان خارج شود و در بقیه</w:t>
      </w:r>
      <w:r w:rsidR="004D58F9">
        <w:rPr>
          <w:rFonts w:hint="cs"/>
          <w:rtl/>
        </w:rPr>
        <w:t xml:space="preserve"> موارد بین دو دلیل تعارض رخ دهد؛ مثلا اگر اشتراک دو عام در هشتاد درصد موارد باشد، چهل درصد از موارد اشتراک به عام اول داده شود که افتراق آن نادر است و در چهل درصد تعارض و تساقط صورت گیرد.</w:t>
      </w:r>
    </w:p>
    <w:p w:rsidR="00467EC8" w:rsidRDefault="00467EC8" w:rsidP="002110B2">
      <w:pPr>
        <w:jc w:val="lowKashida"/>
        <w:rPr>
          <w:rtl/>
        </w:rPr>
      </w:pPr>
      <w:r>
        <w:rPr>
          <w:rFonts w:hint="cs"/>
          <w:rtl/>
        </w:rPr>
        <w:t xml:space="preserve">پاسخ اشکال ذکر شده، این است که در مواردی که حمل خطاب بر غیر مورد تعارض که </w:t>
      </w:r>
      <w:r w:rsidR="008C23F8">
        <w:rPr>
          <w:rFonts w:hint="cs"/>
          <w:rtl/>
        </w:rPr>
        <w:t xml:space="preserve">عرفی نباشد، خطاب کالنص در مورد اجتماع خواهد شد؛ یعنی گویا خطاب اول در خصوص مورد اجتماع بیان شده است و حالت قرینیت عرفیه خواهد داشت. اما اینکه </w:t>
      </w:r>
      <w:r w:rsidR="00D2592C">
        <w:rPr>
          <w:rFonts w:hint="cs"/>
          <w:rtl/>
        </w:rPr>
        <w:t xml:space="preserve">برای خروج از استهجان </w:t>
      </w:r>
      <w:r w:rsidR="008C23F8">
        <w:rPr>
          <w:rFonts w:hint="cs"/>
          <w:rtl/>
        </w:rPr>
        <w:t>بخشی از مورد تعارض</w:t>
      </w:r>
      <w:r w:rsidR="00D2592C">
        <w:rPr>
          <w:rFonts w:hint="cs"/>
          <w:rtl/>
        </w:rPr>
        <w:t>،</w:t>
      </w:r>
      <w:r w:rsidR="008C23F8">
        <w:rPr>
          <w:rFonts w:hint="cs"/>
          <w:rtl/>
        </w:rPr>
        <w:t xml:space="preserve"> به خطاب اول داده شود</w:t>
      </w:r>
      <w:r w:rsidR="00D2592C">
        <w:rPr>
          <w:rFonts w:hint="cs"/>
          <w:rtl/>
        </w:rPr>
        <w:t xml:space="preserve"> و در مقدار باقی مانده تعارض رخ دهد، اصلا عرفی نیست و عرف هیچ گاه </w:t>
      </w:r>
      <w:r w:rsidR="00DB1FA9">
        <w:rPr>
          <w:rFonts w:hint="cs"/>
          <w:rtl/>
        </w:rPr>
        <w:t>این گونه عمل نمی کند.</w:t>
      </w:r>
    </w:p>
    <w:p w:rsidR="009C753B" w:rsidRDefault="009C753B" w:rsidP="009C753B">
      <w:pPr>
        <w:pStyle w:val="Heading3"/>
        <w:rPr>
          <w:rFonts w:hint="cs"/>
          <w:rtl/>
        </w:rPr>
      </w:pPr>
      <w:bookmarkStart w:id="9" w:name="_Toc528154487"/>
      <w:r>
        <w:rPr>
          <w:rFonts w:hint="cs"/>
          <w:rtl/>
        </w:rPr>
        <w:t>مناقشه در کلام مرحوم آقای خویی در حدیث «لاتعاد»</w:t>
      </w:r>
      <w:bookmarkEnd w:id="9"/>
    </w:p>
    <w:p w:rsidR="00DB1FA9" w:rsidRDefault="00DB1FA9" w:rsidP="002110B2">
      <w:pPr>
        <w:jc w:val="lowKashida"/>
        <w:rPr>
          <w:rFonts w:hint="cs"/>
          <w:rtl/>
        </w:rPr>
      </w:pPr>
      <w:r>
        <w:rPr>
          <w:rFonts w:hint="cs"/>
          <w:rtl/>
        </w:rPr>
        <w:t xml:space="preserve">بیان شد در موارد تعارض عامین من وجه عرفی نیست که برای خروج از استهجان، بخشی از محل اجتماع به یکی از دو دلیل داده شده و در بخش دیگر تعارض شود. طبق این مطلب اشکالی بر مرحوم آقای خویی در بحث حدیث لاتعاد وارد خواهد شد؛ چون </w:t>
      </w:r>
      <w:r w:rsidR="00ED173A">
        <w:rPr>
          <w:rFonts w:hint="cs"/>
          <w:rtl/>
        </w:rPr>
        <w:t xml:space="preserve">ایشان در بحث حدیث «لاتعاد» فرموده اند: این حدیث شامل جاهل مقصر غافل و یا معتقد می شود و صرفا جاهل مقصر متردد </w:t>
      </w:r>
      <w:r w:rsidR="005A1197">
        <w:rPr>
          <w:rFonts w:hint="cs"/>
          <w:rtl/>
        </w:rPr>
        <w:t>که</w:t>
      </w:r>
      <w:r w:rsidR="00ED173A">
        <w:rPr>
          <w:rFonts w:hint="cs"/>
          <w:rtl/>
        </w:rPr>
        <w:t xml:space="preserve"> بر خلاف وظیفه عمل کرده است، </w:t>
      </w:r>
      <w:r w:rsidR="00FF670C">
        <w:rPr>
          <w:rFonts w:hint="cs"/>
          <w:rtl/>
        </w:rPr>
        <w:t>از حدیث خارج خواهد شد.</w:t>
      </w:r>
      <w:r w:rsidR="00EC791F">
        <w:rPr>
          <w:rFonts w:hint="cs"/>
          <w:rtl/>
        </w:rPr>
        <w:t xml:space="preserve"> ایشان در بیان وجه برای شمول حدیث «لاتعاد» نسبت به جاهل مقصر غیر متردد</w:t>
      </w:r>
      <w:r w:rsidR="00EC791F">
        <w:rPr>
          <w:rStyle w:val="FootnoteReference"/>
          <w:rtl/>
        </w:rPr>
        <w:footnoteReference w:id="5"/>
      </w:r>
      <w:r w:rsidR="00EC791F">
        <w:rPr>
          <w:rFonts w:hint="cs"/>
          <w:rtl/>
        </w:rPr>
        <w:t xml:space="preserve"> فرموده اند:</w:t>
      </w:r>
      <w:r w:rsidR="00C84DCA">
        <w:rPr>
          <w:rFonts w:hint="cs"/>
          <w:rtl/>
        </w:rPr>
        <w:t xml:space="preserve"> در قبال حدیث «لاتعاد» روایاتی از قبیل </w:t>
      </w:r>
      <w:r w:rsidR="00C84DCA" w:rsidRPr="00C84DCA">
        <w:rPr>
          <w:rFonts w:hint="cs"/>
          <w:color w:val="008000"/>
          <w:rtl/>
        </w:rPr>
        <w:t>«</w:t>
      </w:r>
      <w:r w:rsidR="00C84DCA" w:rsidRPr="00C84DCA">
        <w:rPr>
          <w:color w:val="008000"/>
          <w:rtl/>
        </w:rPr>
        <w:t>مَنْ زَادَ فِي صَلَاتِهِ فَعَلَيْهِ الْإِعَادَةُ.</w:t>
      </w:r>
      <w:r w:rsidR="00C84DCA">
        <w:rPr>
          <w:rFonts w:hint="cs"/>
          <w:color w:val="008000"/>
          <w:rtl/>
        </w:rPr>
        <w:t>»</w:t>
      </w:r>
      <w:r w:rsidR="00C84DCA">
        <w:rPr>
          <w:rStyle w:val="FootnoteReference"/>
          <w:color w:val="008000"/>
          <w:rtl/>
        </w:rPr>
        <w:footnoteReference w:id="6"/>
      </w:r>
      <w:r w:rsidR="00EA3848">
        <w:rPr>
          <w:color w:val="008000"/>
        </w:rPr>
        <w:t xml:space="preserve"> </w:t>
      </w:r>
      <w:r w:rsidR="00EA3848">
        <w:rPr>
          <w:rFonts w:hint="cs"/>
          <w:color w:val="008000"/>
          <w:rtl/>
        </w:rPr>
        <w:t>«</w:t>
      </w:r>
      <w:r w:rsidR="00EA3848" w:rsidRPr="00EA3848">
        <w:rPr>
          <w:color w:val="008000"/>
          <w:rtl/>
        </w:rPr>
        <w:t>مَنْ تَكَلَّمَ فِي صَلَاتِهِ أَعَاد</w:t>
      </w:r>
      <w:r w:rsidR="00EA3848">
        <w:rPr>
          <w:rFonts w:hint="cs"/>
          <w:color w:val="008000"/>
          <w:rtl/>
        </w:rPr>
        <w:t>»</w:t>
      </w:r>
      <w:r w:rsidR="00EA3848">
        <w:rPr>
          <w:rStyle w:val="FootnoteReference"/>
          <w:color w:val="008000"/>
          <w:rtl/>
        </w:rPr>
        <w:footnoteReference w:id="7"/>
      </w:r>
      <w:r w:rsidR="00EA3848">
        <w:rPr>
          <w:rFonts w:hint="cs"/>
          <w:color w:val="008000"/>
          <w:rtl/>
        </w:rPr>
        <w:t xml:space="preserve"> </w:t>
      </w:r>
      <w:r w:rsidR="00EA3848">
        <w:rPr>
          <w:rFonts w:hint="cs"/>
          <w:rtl/>
        </w:rPr>
        <w:t xml:space="preserve">وجود دارد که لسان </w:t>
      </w:r>
      <w:r w:rsidR="00DF33F0">
        <w:rPr>
          <w:rFonts w:hint="cs"/>
          <w:rtl/>
        </w:rPr>
        <w:t xml:space="preserve">امر به اعاده نماز دارد که این روایات شامل جاهل </w:t>
      </w:r>
      <w:r w:rsidR="00DF33F0">
        <w:rPr>
          <w:rFonts w:hint="cs"/>
          <w:rtl/>
        </w:rPr>
        <w:lastRenderedPageBreak/>
        <w:t>مقصر هم می شود. نسبت بین حدیث «لاتعاد» و روایات آمره به اعاده نماز، عموم و خصوص من وجه است؛ چون روایات آمره به اعاده نماز، شامل عالم عامد، جاهل مقصر متردد، جاهل مقصر غافل یا معتقد می شود</w:t>
      </w:r>
      <w:r w:rsidR="00705038">
        <w:rPr>
          <w:rFonts w:hint="cs"/>
          <w:rtl/>
        </w:rPr>
        <w:t xml:space="preserve"> و از طرف دیگر حدیث «لاتعاد»</w:t>
      </w:r>
      <w:r w:rsidR="00B767DB">
        <w:rPr>
          <w:rFonts w:hint="cs"/>
          <w:rtl/>
        </w:rPr>
        <w:t>،</w:t>
      </w:r>
      <w:r w:rsidR="00705038">
        <w:rPr>
          <w:rFonts w:hint="cs"/>
          <w:rtl/>
        </w:rPr>
        <w:t xml:space="preserve"> غیر از خلل زیاده به نماز را هم شامل است و لذا </w:t>
      </w:r>
      <w:r w:rsidR="00A52F13">
        <w:rPr>
          <w:rFonts w:hint="cs"/>
          <w:rtl/>
        </w:rPr>
        <w:t>نسبت به جاهل مقصر</w:t>
      </w:r>
      <w:r w:rsidR="00705038">
        <w:rPr>
          <w:rFonts w:hint="cs"/>
          <w:rtl/>
        </w:rPr>
        <w:t xml:space="preserve"> غیر متردد که در نماز زیاده ایجاد کرده است</w:t>
      </w:r>
      <w:r w:rsidR="00B767DB">
        <w:rPr>
          <w:rFonts w:hint="cs"/>
          <w:rtl/>
        </w:rPr>
        <w:t>،</w:t>
      </w:r>
      <w:r w:rsidR="00A52F13">
        <w:rPr>
          <w:rFonts w:hint="cs"/>
          <w:rtl/>
        </w:rPr>
        <w:t xml:space="preserve"> مثل کسی که در تشهد نماز خود «اشهد ان</w:t>
      </w:r>
      <w:r w:rsidR="00B767DB">
        <w:rPr>
          <w:rFonts w:hint="cs"/>
          <w:rtl/>
        </w:rPr>
        <w:t>ّ</w:t>
      </w:r>
      <w:r w:rsidR="00A52F13">
        <w:rPr>
          <w:rFonts w:hint="cs"/>
          <w:rtl/>
        </w:rPr>
        <w:t xml:space="preserve"> علیا ولی الله» گفته است، در حالی که </w:t>
      </w:r>
      <w:r w:rsidR="00B53BBC">
        <w:rPr>
          <w:rFonts w:hint="cs"/>
          <w:rtl/>
        </w:rPr>
        <w:t>ذکرالله، ذکر الرسول یا دعا نیست</w:t>
      </w:r>
      <w:r w:rsidR="00705038">
        <w:rPr>
          <w:rFonts w:hint="cs"/>
          <w:rtl/>
        </w:rPr>
        <w:t xml:space="preserve">، </w:t>
      </w:r>
      <w:r w:rsidR="00B53BBC">
        <w:rPr>
          <w:rFonts w:hint="cs"/>
          <w:rtl/>
        </w:rPr>
        <w:t xml:space="preserve">در مورد شخص بین دو دسته خطاب </w:t>
      </w:r>
      <w:r w:rsidR="00705038">
        <w:rPr>
          <w:rFonts w:hint="cs"/>
          <w:rtl/>
        </w:rPr>
        <w:t>تعارض رخ می دهد که حدیث «لاتعاد» حکم به صحت نماز می کند</w:t>
      </w:r>
      <w:r w:rsidR="00B53BBC">
        <w:rPr>
          <w:rFonts w:hint="cs"/>
          <w:rtl/>
        </w:rPr>
        <w:t>، اما خطابات آمره به اعاده نماز، حکم به بطلان نماز او می کنند. بنابراین نسبت من وجه است.</w:t>
      </w:r>
      <w:r w:rsidR="00820C37">
        <w:rPr>
          <w:rFonts w:hint="cs"/>
          <w:rtl/>
        </w:rPr>
        <w:t xml:space="preserve"> مرحوم آقای خویی در این مورد فرموده اند: اگر در این تعارض، حدیث «لاتعاد» مقدم شود، مورد روایات آمره به اعاده، نادر خواهد شد؛ چون باید این روایات بر عالم عامد یا جاهل ملتفت حمل شوند، </w:t>
      </w:r>
      <w:r w:rsidR="00E30672">
        <w:rPr>
          <w:rFonts w:hint="cs"/>
          <w:rtl/>
        </w:rPr>
        <w:t>در حالی که انسان ملتفت نادرا بر خلاف عمل می کند و در نتیجه نمی توان خطابات آمره به اعاده نماز را بر این فرض نادر حمل کرد، لذا باید جاهل مقصر غیرمتردد هم ملحق به عالم عامد و جاهل مقصر ملتفت شود</w:t>
      </w:r>
      <w:r w:rsidR="00411B39">
        <w:rPr>
          <w:rFonts w:hint="cs"/>
          <w:rtl/>
        </w:rPr>
        <w:t xml:space="preserve"> تا این خطابات بر فرد نادر حمل نشود، اما جاهل قاصر تحت حدیث «لاتعاد» باقی</w:t>
      </w:r>
      <w:r w:rsidR="009E6AF9">
        <w:rPr>
          <w:rFonts w:hint="cs"/>
          <w:rtl/>
        </w:rPr>
        <w:t xml:space="preserve"> می ماند و خروج جاهل قاصر موجب حمل خطابات آمره به اعاده بر فرد نادر نمی شود.</w:t>
      </w:r>
    </w:p>
    <w:p w:rsidR="009E6AF9" w:rsidRDefault="009E6AF9" w:rsidP="002110B2">
      <w:pPr>
        <w:jc w:val="lowKashida"/>
        <w:rPr>
          <w:rtl/>
        </w:rPr>
      </w:pPr>
      <w:r>
        <w:rPr>
          <w:rFonts w:hint="cs"/>
          <w:rtl/>
        </w:rPr>
        <w:t>بنابراین مرحوم آقای خویی فرموده اند: جاهل قاصر مشمول حدیث «لاتعاد» است، اما جاهل مقصر حتی متردد هم نباشد، مشمول روایات آمره به اعاده خواهد بود تا این خطابات بر فرد نادر حمل نشوند.</w:t>
      </w:r>
    </w:p>
    <w:p w:rsidR="00304088" w:rsidRDefault="00304088" w:rsidP="002110B2">
      <w:pPr>
        <w:jc w:val="lowKashida"/>
        <w:rPr>
          <w:rtl/>
        </w:rPr>
      </w:pPr>
      <w:r>
        <w:rPr>
          <w:rFonts w:hint="cs"/>
          <w:rtl/>
        </w:rPr>
        <w:t>اشکال ما به مرحوم خویی این است که</w:t>
      </w:r>
      <w:r w:rsidR="00566F38">
        <w:t xml:space="preserve"> </w:t>
      </w:r>
      <w:r w:rsidR="003B24DC">
        <w:rPr>
          <w:rFonts w:hint="cs"/>
          <w:rtl/>
        </w:rPr>
        <w:t>جمع صو</w:t>
      </w:r>
      <w:r w:rsidR="00D124EE">
        <w:rPr>
          <w:rFonts w:hint="cs"/>
          <w:rtl/>
        </w:rPr>
        <w:t>رت گرفته از سوی ایشان</w:t>
      </w:r>
      <w:r w:rsidR="001D3B17">
        <w:rPr>
          <w:rFonts w:hint="cs"/>
          <w:rtl/>
        </w:rPr>
        <w:t>،</w:t>
      </w:r>
      <w:r w:rsidR="00D124EE">
        <w:rPr>
          <w:rFonts w:hint="cs"/>
          <w:rtl/>
        </w:rPr>
        <w:t xml:space="preserve"> عرفی نیست؛ چون وقتی مورد افتراق روایات آمره به اعاده فرد نادر باشد، کالنص در محل اجتماع خواهد شد و مورد اجتماع خصوص فرد ج</w:t>
      </w:r>
      <w:r w:rsidR="00807080">
        <w:rPr>
          <w:rFonts w:hint="cs"/>
          <w:rtl/>
        </w:rPr>
        <w:t>اهل مقصر نیست بلکه جاهل قاصر را هم شامل می شود. اما تفصیل بین جاهل قاصر و مقصر که جاهل قاصر تحت «لاتعاد» باقی بماند و جاهل مقصر به اخب</w:t>
      </w:r>
      <w:r w:rsidR="00306007">
        <w:rPr>
          <w:rFonts w:hint="cs"/>
          <w:rtl/>
        </w:rPr>
        <w:t>ار آمره به اعاده داده شود تا مورد آن فرد نادر نشود، عرفی نیست.</w:t>
      </w:r>
    </w:p>
    <w:p w:rsidR="00306007" w:rsidRDefault="00306007" w:rsidP="002110B2">
      <w:pPr>
        <w:jc w:val="lowKashida"/>
        <w:rPr>
          <w:rtl/>
        </w:rPr>
      </w:pPr>
      <w:r>
        <w:rPr>
          <w:rFonts w:hint="cs"/>
          <w:rtl/>
        </w:rPr>
        <w:t xml:space="preserve">البته ممکن است در دفاع از مرحوم خویی گفته شود که </w:t>
      </w:r>
      <w:r w:rsidR="001D3B17">
        <w:rPr>
          <w:rFonts w:hint="cs"/>
          <w:rtl/>
        </w:rPr>
        <w:t xml:space="preserve">کلام ایشان در مورد حاکم است و </w:t>
      </w:r>
      <w:r>
        <w:rPr>
          <w:rFonts w:hint="cs"/>
          <w:rtl/>
        </w:rPr>
        <w:t xml:space="preserve">حدیث «لاتعاد» حاکم بر أدله آمره به </w:t>
      </w:r>
      <w:r w:rsidR="00E43ADA">
        <w:rPr>
          <w:rFonts w:hint="cs"/>
          <w:rtl/>
        </w:rPr>
        <w:t xml:space="preserve">اعاده است و چه بسا بین حاکم و مخصص تفاوت وجود داشته باشد که به نظر ما دفاع صورت گرفته صحیح نیست؛ چون در مورد دلیل حاکم هم مطلب به همین صورت خواهد بود و لذا اگر </w:t>
      </w:r>
      <w:r w:rsidR="00547ACE">
        <w:rPr>
          <w:rFonts w:hint="cs"/>
          <w:rtl/>
        </w:rPr>
        <w:t>خطاب اول به صورت «اکرم العلماء</w:t>
      </w:r>
      <w:r w:rsidR="00E43ADA">
        <w:rPr>
          <w:rFonts w:hint="cs"/>
          <w:rtl/>
        </w:rPr>
        <w:t xml:space="preserve">» و خطاب دوم </w:t>
      </w:r>
      <w:r w:rsidR="00547ACE">
        <w:rPr>
          <w:rFonts w:hint="cs"/>
          <w:rtl/>
        </w:rPr>
        <w:t xml:space="preserve">به صورت «فرد دارای سن کمتر از نود سال، عالم نیست» باشد، </w:t>
      </w:r>
      <w:r w:rsidR="00F9060F">
        <w:rPr>
          <w:rFonts w:hint="cs"/>
          <w:rtl/>
        </w:rPr>
        <w:t xml:space="preserve">تعارض رخ می دهد؛ چون اکثر علماء دارای سن کمتر از نود سال بوده و </w:t>
      </w:r>
      <w:r w:rsidR="00B96ADD">
        <w:rPr>
          <w:rFonts w:hint="cs"/>
          <w:rtl/>
        </w:rPr>
        <w:t>حاکم شدن دلیل دوم موجب می شود که خطاب اول بر فرد نادر حمل شود و لذا دلیل حاکم نباید موجب حمل دلیل محکوم بر فرد نادر شود. حال برای اینکه خطاب «اکرم العلماء» بر فرد نادر حمل نشود، نمی توان بین علمای کمتر از نود سال تفصیل قائل شده و به عنوان مثال افراد بالای شصت سال تحت «اکرم العلماء»</w:t>
      </w:r>
      <w:r w:rsidR="00C679D0">
        <w:rPr>
          <w:rFonts w:hint="cs"/>
          <w:rtl/>
        </w:rPr>
        <w:t xml:space="preserve"> و کمتر از </w:t>
      </w:r>
      <w:r w:rsidR="00C679D0">
        <w:rPr>
          <w:rFonts w:hint="cs"/>
          <w:rtl/>
        </w:rPr>
        <w:lastRenderedPageBreak/>
        <w:t>شصت سال در دلیل حاکم داخل شود. این گونه تفصیل عرفی نبوده و جمع تبرعی محسوب می شود.</w:t>
      </w:r>
      <w:r w:rsidR="0045250D">
        <w:rPr>
          <w:rFonts w:hint="cs"/>
          <w:rtl/>
        </w:rPr>
        <w:t xml:space="preserve"> بنابراین یکی از شرائط دلیل مخصص این است که اکثر افراد را تخصیص نزند و الا بین دلیل عام و خاص تعارض رخ می دهد.</w:t>
      </w:r>
    </w:p>
    <w:p w:rsidR="00710F97" w:rsidRDefault="00710F97" w:rsidP="00710F97">
      <w:pPr>
        <w:pStyle w:val="Heading1"/>
        <w:rPr>
          <w:rtl/>
        </w:rPr>
      </w:pPr>
      <w:bookmarkStart w:id="10" w:name="_Toc528154488"/>
      <w:r>
        <w:rPr>
          <w:rFonts w:hint="cs"/>
          <w:rtl/>
        </w:rPr>
        <w:t>اشاره به موارد باقی مانده از جمع عرفی</w:t>
      </w:r>
      <w:bookmarkEnd w:id="10"/>
    </w:p>
    <w:p w:rsidR="00710F97" w:rsidRDefault="00DC00AA" w:rsidP="002110B2">
      <w:pPr>
        <w:jc w:val="lowKashida"/>
        <w:rPr>
          <w:rtl/>
        </w:rPr>
      </w:pPr>
      <w:r>
        <w:rPr>
          <w:rFonts w:hint="cs"/>
          <w:rtl/>
        </w:rPr>
        <w:t xml:space="preserve">در اینجا بحث عام و خاص به اتمام می رسد و تاکنون حکومت و تخصیص به عنوان دو مورد از موارد جمع عرفی مورد بررسی قرار گرفته است. </w:t>
      </w:r>
    </w:p>
    <w:p w:rsidR="00DC00AA" w:rsidRDefault="00DC00AA" w:rsidP="002110B2">
      <w:pPr>
        <w:jc w:val="lowKashida"/>
        <w:rPr>
          <w:rFonts w:hint="cs"/>
          <w:rtl/>
        </w:rPr>
      </w:pPr>
      <w:r>
        <w:rPr>
          <w:rFonts w:hint="cs"/>
          <w:rtl/>
        </w:rPr>
        <w:t>سه مورد از موارد جمع عرفی نیز باقی مانده است:</w:t>
      </w:r>
    </w:p>
    <w:p w:rsidR="00DC00AA" w:rsidRDefault="00DC00AA" w:rsidP="002110B2">
      <w:pPr>
        <w:pStyle w:val="ListParagraph"/>
        <w:numPr>
          <w:ilvl w:val="0"/>
          <w:numId w:val="16"/>
        </w:numPr>
        <w:jc w:val="lowKashida"/>
        <w:rPr>
          <w:rFonts w:hint="cs"/>
        </w:rPr>
      </w:pPr>
      <w:r>
        <w:rPr>
          <w:rFonts w:hint="cs"/>
          <w:rtl/>
        </w:rPr>
        <w:t xml:space="preserve">تقیید؛ مثل </w:t>
      </w:r>
      <w:r w:rsidR="00587A31">
        <w:rPr>
          <w:rFonts w:hint="cs"/>
          <w:rtl/>
        </w:rPr>
        <w:t xml:space="preserve">«اکرم عالما» و «لاتکرم العالم الفاسق» یا «اعتق رقبة» و «اعتق رقبة مؤمنه». </w:t>
      </w:r>
    </w:p>
    <w:p w:rsidR="00587A31" w:rsidRDefault="00587A31" w:rsidP="002110B2">
      <w:pPr>
        <w:pStyle w:val="ListParagraph"/>
        <w:jc w:val="lowKashida"/>
        <w:rPr>
          <w:rtl/>
        </w:rPr>
      </w:pPr>
      <w:r>
        <w:rPr>
          <w:rFonts w:hint="cs"/>
          <w:rtl/>
        </w:rPr>
        <w:t xml:space="preserve">در </w:t>
      </w:r>
      <w:r w:rsidR="002D5F7C">
        <w:rPr>
          <w:rFonts w:hint="cs"/>
          <w:rtl/>
        </w:rPr>
        <w:t>بحث تقیید باید بحث شود که آ</w:t>
      </w:r>
      <w:r>
        <w:rPr>
          <w:rFonts w:hint="cs"/>
          <w:rtl/>
        </w:rPr>
        <w:t>یا در تقیی</w:t>
      </w:r>
      <w:r w:rsidR="005B0262">
        <w:rPr>
          <w:rFonts w:hint="cs"/>
          <w:rtl/>
        </w:rPr>
        <w:t>د به مقیّد</w:t>
      </w:r>
      <w:r>
        <w:rPr>
          <w:rFonts w:hint="cs"/>
          <w:rtl/>
        </w:rPr>
        <w:t xml:space="preserve"> منفصل همان طور که شیخ انصاری فرموده اند: </w:t>
      </w:r>
      <w:r w:rsidR="002D5F7C">
        <w:rPr>
          <w:rFonts w:hint="cs"/>
          <w:rtl/>
        </w:rPr>
        <w:t>مقید منفصل اطلاق خطاب را از بین می برد و یا اینکه که قول مرحوم آخوند صحیح است که مقید منفصل صرفا حجیت اطلاق را از بین خواهد برد؟</w:t>
      </w:r>
    </w:p>
    <w:p w:rsidR="00CF759E" w:rsidRDefault="00CF759E" w:rsidP="002110B2">
      <w:pPr>
        <w:pStyle w:val="ListParagraph"/>
        <w:numPr>
          <w:ilvl w:val="0"/>
          <w:numId w:val="16"/>
        </w:numPr>
        <w:jc w:val="lowKashida"/>
        <w:rPr>
          <w:rFonts w:hint="cs"/>
        </w:rPr>
      </w:pPr>
      <w:r>
        <w:rPr>
          <w:rFonts w:hint="cs"/>
          <w:rtl/>
        </w:rPr>
        <w:t>نص و ظاهر، اظهر و ظاهر: مانند اینکه خطاب ظاهر در وجوب به قرینه دلیل دال بر عدم وجوب، بر استحباب حمل شود.</w:t>
      </w:r>
    </w:p>
    <w:p w:rsidR="00CF759E" w:rsidRPr="00EA3848" w:rsidRDefault="00CF759E" w:rsidP="002110B2">
      <w:pPr>
        <w:pStyle w:val="ListParagraph"/>
        <w:numPr>
          <w:ilvl w:val="0"/>
          <w:numId w:val="16"/>
        </w:numPr>
        <w:jc w:val="lowKashida"/>
        <w:rPr>
          <w:rFonts w:hint="cs"/>
          <w:rtl/>
        </w:rPr>
      </w:pPr>
      <w:r>
        <w:rPr>
          <w:rFonts w:hint="cs"/>
          <w:rtl/>
        </w:rPr>
        <w:t xml:space="preserve">توفیق عرفی که در کلام مرحوم آخوند مطرح شده است. ایشان </w:t>
      </w:r>
      <w:r w:rsidR="00C31D74">
        <w:rPr>
          <w:rFonts w:hint="cs"/>
          <w:rtl/>
        </w:rPr>
        <w:t xml:space="preserve">در کنار تخصیص، حکومت و تقیید به توفیق عرفی به عنوان یکی از موارد جمع عرفی اشاره کرده اند. تفاوت توفیق عرفی با موارد دیگر این است که </w:t>
      </w:r>
      <w:r w:rsidR="00CC3DD4">
        <w:rPr>
          <w:rFonts w:hint="cs"/>
          <w:rtl/>
        </w:rPr>
        <w:t xml:space="preserve">مواردی از قبیل حکومت، تقیید و تخصیص جمع عرفی است که دارای نام خاصی است، اما در برخی موارد مانند نسبت بین </w:t>
      </w:r>
      <w:r w:rsidR="00F52A8F" w:rsidRPr="00FF1D60">
        <w:rPr>
          <w:rFonts w:hint="cs"/>
          <w:color w:val="008000"/>
          <w:rtl/>
        </w:rPr>
        <w:t>«</w:t>
      </w:r>
      <w:r w:rsidR="005B0262" w:rsidRPr="00FF1D60">
        <w:rPr>
          <w:color w:val="008000"/>
          <w:rtl/>
        </w:rPr>
        <w:t>أُحِلَّت</w:t>
      </w:r>
      <w:r w:rsidR="00FF1D60" w:rsidRPr="00FF1D60">
        <w:rPr>
          <w:color w:val="008000"/>
          <w:rtl/>
        </w:rPr>
        <w:t>ْ لَكُمْ بَهِيمَةُ الْأَنْعَامِ</w:t>
      </w:r>
      <w:r w:rsidR="00F52A8F" w:rsidRPr="00FF1D60">
        <w:rPr>
          <w:rFonts w:hint="cs"/>
          <w:color w:val="008000"/>
          <w:rtl/>
        </w:rPr>
        <w:t>»</w:t>
      </w:r>
      <w:r w:rsidR="00FF1D60">
        <w:rPr>
          <w:rStyle w:val="FootnoteReference"/>
          <w:color w:val="008000"/>
          <w:rtl/>
        </w:rPr>
        <w:footnoteReference w:id="8"/>
      </w:r>
      <w:r w:rsidR="00F52A8F">
        <w:rPr>
          <w:rFonts w:hint="cs"/>
          <w:rtl/>
        </w:rPr>
        <w:t xml:space="preserve"> و دلیل «لاتغصب» توفیق عرفی وجود دارد که</w:t>
      </w:r>
      <w:r w:rsidR="005C2907">
        <w:rPr>
          <w:rFonts w:hint="cs"/>
          <w:rtl/>
        </w:rPr>
        <w:t xml:space="preserve"> «لاتغصب» مقدم شده و</w:t>
      </w:r>
      <w:r w:rsidR="00F52A8F">
        <w:rPr>
          <w:rFonts w:hint="cs"/>
          <w:rtl/>
        </w:rPr>
        <w:t xml:space="preserve"> خطاب «احلت لکم بهیمة الانعام» بر حلیت شأنیه حمل می شود</w:t>
      </w:r>
      <w:r w:rsidR="00FF1D60">
        <w:rPr>
          <w:rFonts w:hint="cs"/>
          <w:rtl/>
        </w:rPr>
        <w:t>،</w:t>
      </w:r>
      <w:r w:rsidR="005C2907">
        <w:rPr>
          <w:rFonts w:hint="cs"/>
          <w:rtl/>
        </w:rPr>
        <w:t xml:space="preserve"> این قسم نام خاصی نداشته و از باب توفیق عرفی خواهد بود.</w:t>
      </w:r>
    </w:p>
    <w:sectPr w:rsidR="00CF759E" w:rsidRPr="00EA384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D78" w:rsidRDefault="006F3D78" w:rsidP="008B750B">
      <w:pPr>
        <w:spacing w:line="240" w:lineRule="auto"/>
      </w:pPr>
      <w:r>
        <w:separator/>
      </w:r>
    </w:p>
  </w:endnote>
  <w:endnote w:type="continuationSeparator" w:id="0">
    <w:p w:rsidR="006F3D78" w:rsidRDefault="006F3D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040AD2" w:rsidTr="0020241A">
      <w:tc>
        <w:tcPr>
          <w:tcW w:w="3382" w:type="dxa"/>
          <w:tcBorders>
            <w:top w:val="nil"/>
            <w:left w:val="nil"/>
            <w:bottom w:val="nil"/>
            <w:right w:val="nil"/>
          </w:tcBorders>
        </w:tcPr>
        <w:p w:rsidR="006D44C1" w:rsidRPr="00040AD2" w:rsidRDefault="006D44C1" w:rsidP="006D44C1">
          <w:pPr>
            <w:pStyle w:val="Footer"/>
            <w:rPr>
              <w:rFonts w:cs="B Badr"/>
              <w:rtl/>
            </w:rPr>
          </w:pPr>
          <w:r w:rsidRPr="00040AD2">
            <w:rPr>
              <w:rFonts w:cs="B Badr" w:hint="cs"/>
              <w:color w:val="808080" w:themeColor="background1" w:themeShade="80"/>
              <w:rtl/>
            </w:rPr>
            <w:t xml:space="preserve">مدرسه </w:t>
          </w:r>
          <w:r w:rsidRPr="00040AD2">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Pr="00040AD2" w:rsidRDefault="006D44C1" w:rsidP="006D44C1">
          <w:pPr>
            <w:pStyle w:val="Footer"/>
            <w:jc w:val="right"/>
            <w:rPr>
              <w:rFonts w:cs="B Badr"/>
              <w:rtl/>
            </w:rPr>
          </w:pPr>
          <w:r w:rsidRPr="00040AD2">
            <w:rPr>
              <w:rFonts w:cs="B Badr" w:hint="cs"/>
              <w:rtl/>
            </w:rPr>
            <w:t xml:space="preserve">صفحه </w:t>
          </w:r>
          <w:r w:rsidRPr="00040AD2">
            <w:rPr>
              <w:rFonts w:cs="B Badr"/>
            </w:rPr>
            <w:fldChar w:fldCharType="begin"/>
          </w:r>
          <w:r w:rsidRPr="00040AD2">
            <w:rPr>
              <w:rFonts w:cs="B Badr"/>
            </w:rPr>
            <w:instrText>PAGE   \* MERGEFORMAT</w:instrText>
          </w:r>
          <w:r w:rsidRPr="00040AD2">
            <w:rPr>
              <w:rFonts w:cs="B Badr"/>
            </w:rPr>
            <w:fldChar w:fldCharType="separate"/>
          </w:r>
          <w:r w:rsidR="0081578D" w:rsidRPr="0081578D">
            <w:rPr>
              <w:rFonts w:cs="B Badr"/>
              <w:noProof/>
              <w:rtl/>
              <w:lang w:val="fa-IR"/>
            </w:rPr>
            <w:t>6</w:t>
          </w:r>
          <w:r w:rsidRPr="00040AD2">
            <w:rPr>
              <w:rFonts w:cs="B Badr"/>
              <w:noProof/>
            </w:rPr>
            <w:fldChar w:fldCharType="end"/>
          </w:r>
        </w:p>
      </w:tc>
      <w:tc>
        <w:tcPr>
          <w:tcW w:w="4786" w:type="dxa"/>
          <w:tcBorders>
            <w:top w:val="nil"/>
            <w:left w:val="nil"/>
            <w:bottom w:val="nil"/>
            <w:right w:val="nil"/>
          </w:tcBorders>
          <w:vAlign w:val="center"/>
        </w:tcPr>
        <w:p w:rsidR="006D44C1" w:rsidRPr="00040AD2" w:rsidRDefault="000F341A" w:rsidP="001B6799">
          <w:pPr>
            <w:pStyle w:val="Footer"/>
            <w:bidi w:val="0"/>
            <w:rPr>
              <w:rFonts w:cs="B Badr"/>
              <w:color w:val="808080" w:themeColor="background1" w:themeShade="80"/>
              <w:rtl/>
            </w:rPr>
          </w:pPr>
          <w:bookmarkStart w:id="18" w:name="BokAdres"/>
          <w:bookmarkEnd w:id="18"/>
          <w:r w:rsidRPr="00040AD2">
            <w:rPr>
              <w:rFonts w:cs="B Badr"/>
              <w:color w:val="808080" w:themeColor="background1" w:themeShade="80"/>
            </w:rPr>
            <w:t>U1ms4_13970802-029_mm2_mfeb.ir</w:t>
          </w:r>
        </w:p>
      </w:tc>
    </w:tr>
  </w:tbl>
  <w:p w:rsidR="00FA3B17" w:rsidRPr="00040AD2"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D78" w:rsidRDefault="006F3D78" w:rsidP="008B750B">
      <w:pPr>
        <w:spacing w:line="240" w:lineRule="auto"/>
      </w:pPr>
      <w:r>
        <w:separator/>
      </w:r>
    </w:p>
  </w:footnote>
  <w:footnote w:type="continuationSeparator" w:id="0">
    <w:p w:rsidR="006F3D78" w:rsidRDefault="006F3D78" w:rsidP="008B750B">
      <w:pPr>
        <w:spacing w:line="240" w:lineRule="auto"/>
      </w:pPr>
      <w:r>
        <w:continuationSeparator/>
      </w:r>
    </w:p>
  </w:footnote>
  <w:footnote w:id="1">
    <w:p w:rsidR="003B50AB" w:rsidRPr="003B50AB" w:rsidRDefault="00710F97" w:rsidP="00433045">
      <w:pPr>
        <w:pStyle w:val="FootnoteText"/>
        <w:jc w:val="lowKashida"/>
        <w:rPr>
          <w:rFonts w:hint="cs"/>
        </w:rPr>
      </w:pPr>
      <w:bookmarkStart w:id="6" w:name="_GoBack"/>
      <w:r w:rsidRPr="00710F97">
        <w:footnoteRef/>
      </w:r>
      <w:r>
        <w:t>.</w:t>
      </w:r>
      <w:r w:rsidR="003B50AB" w:rsidRPr="003B50AB">
        <w:rPr>
          <w:rtl/>
        </w:rPr>
        <w:t xml:space="preserve"> </w:t>
      </w:r>
      <w:hyperlink r:id="rId1" w:history="1">
        <w:r w:rsidR="003B50AB" w:rsidRPr="003B50AB">
          <w:rPr>
            <w:rStyle w:val="Hyperlink"/>
            <w:rFonts w:hint="eastAsia"/>
            <w:rtl/>
          </w:rPr>
          <w:t>الکاف</w:t>
        </w:r>
        <w:r w:rsidR="003B50AB" w:rsidRPr="003B50AB">
          <w:rPr>
            <w:rStyle w:val="Hyperlink"/>
            <w:rFonts w:hint="cs"/>
            <w:rtl/>
          </w:rPr>
          <w:t>ی</w:t>
        </w:r>
        <w:r w:rsidR="003B50AB" w:rsidRPr="003B50AB">
          <w:rPr>
            <w:rStyle w:val="Hyperlink"/>
            <w:rFonts w:hint="eastAsia"/>
            <w:rtl/>
          </w:rPr>
          <w:t>،</w:t>
        </w:r>
        <w:r w:rsidR="003B50AB" w:rsidRPr="003B50AB">
          <w:rPr>
            <w:rStyle w:val="Hyperlink"/>
            <w:rtl/>
          </w:rPr>
          <w:t xml:space="preserve"> محمد بن </w:t>
        </w:r>
        <w:r w:rsidR="003B50AB" w:rsidRPr="003B50AB">
          <w:rPr>
            <w:rStyle w:val="Hyperlink"/>
            <w:rFonts w:hint="cs"/>
            <w:rtl/>
          </w:rPr>
          <w:t>ی</w:t>
        </w:r>
        <w:r w:rsidR="003B50AB" w:rsidRPr="003B50AB">
          <w:rPr>
            <w:rStyle w:val="Hyperlink"/>
            <w:rFonts w:hint="eastAsia"/>
            <w:rtl/>
          </w:rPr>
          <w:t>عقوب</w:t>
        </w:r>
        <w:r w:rsidR="003B50AB" w:rsidRPr="003B50AB">
          <w:rPr>
            <w:rStyle w:val="Hyperlink"/>
            <w:rtl/>
          </w:rPr>
          <w:t xml:space="preserve"> کل</w:t>
        </w:r>
        <w:r w:rsidR="003B50AB" w:rsidRPr="003B50AB">
          <w:rPr>
            <w:rStyle w:val="Hyperlink"/>
            <w:rFonts w:hint="cs"/>
            <w:rtl/>
          </w:rPr>
          <w:t>ی</w:t>
        </w:r>
        <w:r w:rsidR="003B50AB" w:rsidRPr="003B50AB">
          <w:rPr>
            <w:rStyle w:val="Hyperlink"/>
            <w:rFonts w:hint="eastAsia"/>
            <w:rtl/>
          </w:rPr>
          <w:t>ن</w:t>
        </w:r>
        <w:r w:rsidR="003B50AB" w:rsidRPr="003B50AB">
          <w:rPr>
            <w:rStyle w:val="Hyperlink"/>
            <w:rFonts w:hint="cs"/>
            <w:rtl/>
          </w:rPr>
          <w:t>ی</w:t>
        </w:r>
        <w:r w:rsidR="003B50AB" w:rsidRPr="003B50AB">
          <w:rPr>
            <w:rStyle w:val="Hyperlink"/>
            <w:rFonts w:hint="eastAsia"/>
            <w:rtl/>
          </w:rPr>
          <w:t>،</w:t>
        </w:r>
        <w:r w:rsidR="003B50AB" w:rsidRPr="003B50AB">
          <w:rPr>
            <w:rStyle w:val="Hyperlink"/>
            <w:rtl/>
          </w:rPr>
          <w:t xml:space="preserve"> ج3، ص58.</w:t>
        </w:r>
      </w:hyperlink>
    </w:p>
  </w:footnote>
  <w:footnote w:id="2">
    <w:p w:rsidR="006B7A36" w:rsidRPr="006B7A36" w:rsidRDefault="00710F97" w:rsidP="00433045">
      <w:pPr>
        <w:pStyle w:val="FootnoteText"/>
        <w:jc w:val="lowKashida"/>
        <w:rPr>
          <w:rFonts w:hint="cs"/>
        </w:rPr>
      </w:pPr>
      <w:r w:rsidRPr="00710F97">
        <w:footnoteRef/>
      </w:r>
      <w:r>
        <w:t>.</w:t>
      </w:r>
      <w:r w:rsidR="006B7A36" w:rsidRPr="006B7A36">
        <w:rPr>
          <w:rtl/>
        </w:rPr>
        <w:t xml:space="preserve"> </w:t>
      </w:r>
      <w:hyperlink r:id="rId2" w:history="1">
        <w:r w:rsidR="006B7A36" w:rsidRPr="006B7A36">
          <w:rPr>
            <w:rStyle w:val="Hyperlink"/>
            <w:rtl/>
          </w:rPr>
          <w:t>الکاف</w:t>
        </w:r>
        <w:r w:rsidR="006B7A36" w:rsidRPr="006B7A36">
          <w:rPr>
            <w:rStyle w:val="Hyperlink"/>
            <w:rFonts w:hint="cs"/>
            <w:rtl/>
          </w:rPr>
          <w:t>ی</w:t>
        </w:r>
        <w:r w:rsidR="006B7A36" w:rsidRPr="006B7A36">
          <w:rPr>
            <w:rStyle w:val="Hyperlink"/>
            <w:rFonts w:hint="eastAsia"/>
            <w:rtl/>
          </w:rPr>
          <w:t>،</w:t>
        </w:r>
        <w:r w:rsidR="006B7A36" w:rsidRPr="006B7A36">
          <w:rPr>
            <w:rStyle w:val="Hyperlink"/>
            <w:rtl/>
          </w:rPr>
          <w:t xml:space="preserve"> محمد بن </w:t>
        </w:r>
        <w:r w:rsidR="006B7A36" w:rsidRPr="006B7A36">
          <w:rPr>
            <w:rStyle w:val="Hyperlink"/>
            <w:rFonts w:hint="cs"/>
            <w:rtl/>
          </w:rPr>
          <w:t>ی</w:t>
        </w:r>
        <w:r w:rsidR="006B7A36" w:rsidRPr="006B7A36">
          <w:rPr>
            <w:rStyle w:val="Hyperlink"/>
            <w:rFonts w:hint="eastAsia"/>
            <w:rtl/>
          </w:rPr>
          <w:t>عقوب</w:t>
        </w:r>
        <w:r w:rsidR="006B7A36" w:rsidRPr="006B7A36">
          <w:rPr>
            <w:rStyle w:val="Hyperlink"/>
            <w:rtl/>
          </w:rPr>
          <w:t xml:space="preserve"> کل</w:t>
        </w:r>
        <w:r w:rsidR="006B7A36" w:rsidRPr="006B7A36">
          <w:rPr>
            <w:rStyle w:val="Hyperlink"/>
            <w:rFonts w:hint="cs"/>
            <w:rtl/>
          </w:rPr>
          <w:t>ی</w:t>
        </w:r>
        <w:r w:rsidR="006B7A36" w:rsidRPr="006B7A36">
          <w:rPr>
            <w:rStyle w:val="Hyperlink"/>
            <w:rFonts w:hint="eastAsia"/>
            <w:rtl/>
          </w:rPr>
          <w:t>ن</w:t>
        </w:r>
        <w:r w:rsidR="006B7A36" w:rsidRPr="006B7A36">
          <w:rPr>
            <w:rStyle w:val="Hyperlink"/>
            <w:rFonts w:hint="cs"/>
            <w:rtl/>
          </w:rPr>
          <w:t>ی</w:t>
        </w:r>
        <w:r w:rsidR="006B7A36" w:rsidRPr="006B7A36">
          <w:rPr>
            <w:rStyle w:val="Hyperlink"/>
            <w:rFonts w:hint="eastAsia"/>
            <w:rtl/>
          </w:rPr>
          <w:t>،</w:t>
        </w:r>
        <w:r w:rsidR="006B7A36" w:rsidRPr="006B7A36">
          <w:rPr>
            <w:rStyle w:val="Hyperlink"/>
            <w:rtl/>
          </w:rPr>
          <w:t xml:space="preserve"> ج3، ص57.</w:t>
        </w:r>
      </w:hyperlink>
    </w:p>
  </w:footnote>
  <w:footnote w:id="3">
    <w:p w:rsidR="00580B71" w:rsidRPr="00580B71" w:rsidRDefault="00710F97" w:rsidP="00433045">
      <w:pPr>
        <w:pStyle w:val="FootnoteText"/>
        <w:jc w:val="lowKashida"/>
        <w:rPr>
          <w:rFonts w:hint="cs"/>
        </w:rPr>
      </w:pPr>
      <w:r w:rsidRPr="00710F97">
        <w:footnoteRef/>
      </w:r>
      <w:r>
        <w:t>.</w:t>
      </w:r>
      <w:r w:rsidR="00580B71" w:rsidRPr="00580B71">
        <w:rPr>
          <w:rtl/>
        </w:rPr>
        <w:t xml:space="preserve"> </w:t>
      </w:r>
      <w:hyperlink r:id="rId3" w:history="1">
        <w:r w:rsidR="00580B71" w:rsidRPr="00580B71">
          <w:rPr>
            <w:rStyle w:val="Hyperlink"/>
            <w:rtl/>
          </w:rPr>
          <w:t>تهذ</w:t>
        </w:r>
        <w:r w:rsidR="00580B71" w:rsidRPr="00580B71">
          <w:rPr>
            <w:rStyle w:val="Hyperlink"/>
            <w:rFonts w:hint="cs"/>
            <w:rtl/>
          </w:rPr>
          <w:t>ی</w:t>
        </w:r>
        <w:r w:rsidR="00580B71" w:rsidRPr="00580B71">
          <w:rPr>
            <w:rStyle w:val="Hyperlink"/>
            <w:rFonts w:hint="eastAsia"/>
            <w:rtl/>
          </w:rPr>
          <w:t>ب</w:t>
        </w:r>
        <w:r w:rsidR="00580B71" w:rsidRPr="00580B71">
          <w:rPr>
            <w:rStyle w:val="Hyperlink"/>
            <w:rtl/>
          </w:rPr>
          <w:t xml:space="preserve"> الاحکام، ش</w:t>
        </w:r>
        <w:r w:rsidR="00580B71" w:rsidRPr="00580B71">
          <w:rPr>
            <w:rStyle w:val="Hyperlink"/>
            <w:rFonts w:hint="cs"/>
            <w:rtl/>
          </w:rPr>
          <w:t>ی</w:t>
        </w:r>
        <w:r w:rsidR="00580B71" w:rsidRPr="00580B71">
          <w:rPr>
            <w:rStyle w:val="Hyperlink"/>
            <w:rFonts w:hint="eastAsia"/>
            <w:rtl/>
          </w:rPr>
          <w:t>خ</w:t>
        </w:r>
        <w:r w:rsidR="00580B71" w:rsidRPr="00580B71">
          <w:rPr>
            <w:rStyle w:val="Hyperlink"/>
            <w:rtl/>
          </w:rPr>
          <w:t xml:space="preserve"> طوس</w:t>
        </w:r>
        <w:r w:rsidR="00580B71" w:rsidRPr="00580B71">
          <w:rPr>
            <w:rStyle w:val="Hyperlink"/>
            <w:rFonts w:hint="cs"/>
            <w:rtl/>
          </w:rPr>
          <w:t>ی</w:t>
        </w:r>
        <w:r w:rsidR="00580B71" w:rsidRPr="00580B71">
          <w:rPr>
            <w:rStyle w:val="Hyperlink"/>
            <w:rFonts w:hint="eastAsia"/>
            <w:rtl/>
          </w:rPr>
          <w:t>،</w:t>
        </w:r>
        <w:r w:rsidR="00580B71" w:rsidRPr="00580B71">
          <w:rPr>
            <w:rStyle w:val="Hyperlink"/>
            <w:rtl/>
          </w:rPr>
          <w:t xml:space="preserve"> ج1، ص266.</w:t>
        </w:r>
      </w:hyperlink>
    </w:p>
  </w:footnote>
  <w:footnote w:id="4">
    <w:p w:rsidR="006F781A" w:rsidRDefault="00710F97" w:rsidP="00433045">
      <w:pPr>
        <w:pStyle w:val="FootnoteText"/>
        <w:jc w:val="lowKashida"/>
        <w:rPr>
          <w:rFonts w:hint="cs"/>
        </w:rPr>
      </w:pPr>
      <w:r w:rsidRPr="00710F97">
        <w:rPr>
          <w:rStyle w:val="FootnoteReference"/>
          <w:vertAlign w:val="baseline"/>
        </w:rPr>
        <w:footnoteRef/>
      </w:r>
      <w:r>
        <w:rPr>
          <w:rStyle w:val="FootnoteReference"/>
          <w:vertAlign w:val="baseline"/>
        </w:rPr>
        <w:t>.</w:t>
      </w:r>
      <w:r w:rsidR="006F781A">
        <w:rPr>
          <w:rtl/>
        </w:rPr>
        <w:t xml:space="preserve"> </w:t>
      </w:r>
      <w:r w:rsidR="007224C8">
        <w:rPr>
          <w:rFonts w:hint="cs"/>
          <w:rtl/>
        </w:rPr>
        <w:t xml:space="preserve">بر این اساس صدق عنوان کاغذ لازم است و لذا </w:t>
      </w:r>
      <w:r w:rsidR="006F781A">
        <w:rPr>
          <w:rFonts w:hint="cs"/>
          <w:rtl/>
        </w:rPr>
        <w:t xml:space="preserve">آقای سیستانی سجده بر دستمال کاغذی و مقوا را صحیح نمی دانند که از این باب است که اساسا عنوان کاغذ </w:t>
      </w:r>
      <w:r w:rsidR="007224C8">
        <w:rPr>
          <w:rFonts w:hint="cs"/>
          <w:rtl/>
        </w:rPr>
        <w:t>را</w:t>
      </w:r>
      <w:r w:rsidR="006F781A">
        <w:rPr>
          <w:rFonts w:hint="cs"/>
          <w:rtl/>
        </w:rPr>
        <w:t xml:space="preserve"> </w:t>
      </w:r>
      <w:r w:rsidR="007224C8">
        <w:rPr>
          <w:rFonts w:hint="cs"/>
          <w:rtl/>
        </w:rPr>
        <w:t xml:space="preserve">بر </w:t>
      </w:r>
      <w:r w:rsidR="006F781A">
        <w:rPr>
          <w:rFonts w:hint="cs"/>
          <w:rtl/>
        </w:rPr>
        <w:t>ا</w:t>
      </w:r>
      <w:r w:rsidR="007224C8">
        <w:rPr>
          <w:rFonts w:hint="cs"/>
          <w:rtl/>
        </w:rPr>
        <w:t xml:space="preserve">ین موارد صادق نمی دانند و الا اگر </w:t>
      </w:r>
      <w:r w:rsidR="00080D52">
        <w:rPr>
          <w:rFonts w:hint="cs"/>
          <w:rtl/>
        </w:rPr>
        <w:t>به نحوی ساخته شود که عنوان کاغذ صدق کند، سجده اشکالی نخواهد داشت.</w:t>
      </w:r>
    </w:p>
  </w:footnote>
  <w:footnote w:id="5">
    <w:p w:rsidR="00EC791F" w:rsidRDefault="00710F97" w:rsidP="00433045">
      <w:pPr>
        <w:pStyle w:val="FootnoteText"/>
        <w:jc w:val="lowKashida"/>
        <w:rPr>
          <w:rFonts w:hint="cs"/>
        </w:rPr>
      </w:pPr>
      <w:r w:rsidRPr="00710F97">
        <w:rPr>
          <w:rStyle w:val="FootnoteReference"/>
          <w:vertAlign w:val="baseline"/>
        </w:rPr>
        <w:footnoteRef/>
      </w:r>
      <w:r>
        <w:rPr>
          <w:rStyle w:val="FootnoteReference"/>
          <w:vertAlign w:val="baseline"/>
        </w:rPr>
        <w:t>.</w:t>
      </w:r>
      <w:r w:rsidR="00EC791F">
        <w:rPr>
          <w:rFonts w:hint="cs"/>
          <w:rtl/>
        </w:rPr>
        <w:t>این تعبیر اعم از جاهل مقصر غافل و معتقد است.</w:t>
      </w:r>
    </w:p>
  </w:footnote>
  <w:footnote w:id="6">
    <w:p w:rsidR="00C84DCA" w:rsidRPr="00C84DCA" w:rsidRDefault="00710F97" w:rsidP="00433045">
      <w:pPr>
        <w:pStyle w:val="FootnoteText"/>
        <w:jc w:val="lowKashida"/>
        <w:rPr>
          <w:rFonts w:hint="cs"/>
        </w:rPr>
      </w:pPr>
      <w:r w:rsidRPr="00710F97">
        <w:footnoteRef/>
      </w:r>
      <w:r>
        <w:t>.</w:t>
      </w:r>
      <w:r w:rsidR="00C84DCA" w:rsidRPr="00C84DCA">
        <w:rPr>
          <w:rtl/>
        </w:rPr>
        <w:t xml:space="preserve"> </w:t>
      </w:r>
      <w:hyperlink r:id="rId4" w:history="1">
        <w:r w:rsidR="00C84DCA" w:rsidRPr="00C84DCA">
          <w:rPr>
            <w:rStyle w:val="Hyperlink"/>
            <w:rtl/>
          </w:rPr>
          <w:t>الکاف</w:t>
        </w:r>
        <w:r w:rsidR="00C84DCA" w:rsidRPr="00C84DCA">
          <w:rPr>
            <w:rStyle w:val="Hyperlink"/>
            <w:rFonts w:hint="cs"/>
            <w:rtl/>
          </w:rPr>
          <w:t>ی</w:t>
        </w:r>
        <w:r w:rsidR="00C84DCA" w:rsidRPr="00C84DCA">
          <w:rPr>
            <w:rStyle w:val="Hyperlink"/>
            <w:rFonts w:hint="eastAsia"/>
            <w:rtl/>
          </w:rPr>
          <w:t>،</w:t>
        </w:r>
        <w:r w:rsidR="00C84DCA" w:rsidRPr="00C84DCA">
          <w:rPr>
            <w:rStyle w:val="Hyperlink"/>
            <w:rtl/>
          </w:rPr>
          <w:t xml:space="preserve"> محمد بن </w:t>
        </w:r>
        <w:r w:rsidR="00C84DCA" w:rsidRPr="00C84DCA">
          <w:rPr>
            <w:rStyle w:val="Hyperlink"/>
            <w:rFonts w:hint="cs"/>
            <w:rtl/>
          </w:rPr>
          <w:t>ی</w:t>
        </w:r>
        <w:r w:rsidR="00C84DCA" w:rsidRPr="00C84DCA">
          <w:rPr>
            <w:rStyle w:val="Hyperlink"/>
            <w:rFonts w:hint="eastAsia"/>
            <w:rtl/>
          </w:rPr>
          <w:t>عقوب</w:t>
        </w:r>
        <w:r w:rsidR="00C84DCA" w:rsidRPr="00C84DCA">
          <w:rPr>
            <w:rStyle w:val="Hyperlink"/>
            <w:rtl/>
          </w:rPr>
          <w:t xml:space="preserve"> کل</w:t>
        </w:r>
        <w:r w:rsidR="00C84DCA" w:rsidRPr="00C84DCA">
          <w:rPr>
            <w:rStyle w:val="Hyperlink"/>
            <w:rFonts w:hint="cs"/>
            <w:rtl/>
          </w:rPr>
          <w:t>ی</w:t>
        </w:r>
        <w:r w:rsidR="00C84DCA" w:rsidRPr="00C84DCA">
          <w:rPr>
            <w:rStyle w:val="Hyperlink"/>
            <w:rFonts w:hint="eastAsia"/>
            <w:rtl/>
          </w:rPr>
          <w:t>ن</w:t>
        </w:r>
        <w:r w:rsidR="00C84DCA" w:rsidRPr="00C84DCA">
          <w:rPr>
            <w:rStyle w:val="Hyperlink"/>
            <w:rFonts w:hint="cs"/>
            <w:rtl/>
          </w:rPr>
          <w:t>ی</w:t>
        </w:r>
        <w:r w:rsidR="00C84DCA" w:rsidRPr="00C84DCA">
          <w:rPr>
            <w:rStyle w:val="Hyperlink"/>
            <w:rFonts w:hint="eastAsia"/>
            <w:rtl/>
          </w:rPr>
          <w:t>،</w:t>
        </w:r>
        <w:r w:rsidR="00C84DCA" w:rsidRPr="00C84DCA">
          <w:rPr>
            <w:rStyle w:val="Hyperlink"/>
            <w:rtl/>
          </w:rPr>
          <w:t xml:space="preserve"> ج3، ص355.</w:t>
        </w:r>
      </w:hyperlink>
    </w:p>
  </w:footnote>
  <w:footnote w:id="7">
    <w:p w:rsidR="00EA3848" w:rsidRPr="00EA3848" w:rsidRDefault="00710F97" w:rsidP="00433045">
      <w:pPr>
        <w:pStyle w:val="FootnoteText"/>
        <w:jc w:val="lowKashida"/>
        <w:rPr>
          <w:rFonts w:hint="cs"/>
        </w:rPr>
      </w:pPr>
      <w:r w:rsidRPr="00710F97">
        <w:footnoteRef/>
      </w:r>
      <w:r>
        <w:t>.</w:t>
      </w:r>
      <w:r w:rsidR="00EA3848" w:rsidRPr="00EA3848">
        <w:rPr>
          <w:rtl/>
        </w:rPr>
        <w:t xml:space="preserve"> </w:t>
      </w:r>
      <w:hyperlink r:id="rId5" w:history="1">
        <w:r w:rsidR="00EA3848" w:rsidRPr="00EA3848">
          <w:rPr>
            <w:rStyle w:val="Hyperlink"/>
            <w:rtl/>
          </w:rPr>
          <w:t>بحار الانوار، محمّد باقر المجلس</w:t>
        </w:r>
        <w:r w:rsidR="00EA3848" w:rsidRPr="00EA3848">
          <w:rPr>
            <w:rStyle w:val="Hyperlink"/>
            <w:rFonts w:hint="cs"/>
            <w:rtl/>
          </w:rPr>
          <w:t>ی</w:t>
        </w:r>
        <w:r w:rsidR="00EA3848" w:rsidRPr="00EA3848">
          <w:rPr>
            <w:rStyle w:val="Hyperlink"/>
            <w:rtl/>
          </w:rPr>
          <w:t xml:space="preserve"> (العلامة المجلس</w:t>
        </w:r>
        <w:r w:rsidR="00EA3848" w:rsidRPr="00EA3848">
          <w:rPr>
            <w:rStyle w:val="Hyperlink"/>
            <w:rFonts w:hint="cs"/>
            <w:rtl/>
          </w:rPr>
          <w:t>ی</w:t>
        </w:r>
        <w:r w:rsidR="00EA3848" w:rsidRPr="00EA3848">
          <w:rPr>
            <w:rStyle w:val="Hyperlink"/>
            <w:rtl/>
          </w:rPr>
          <w:t>)، ج81، ص307.</w:t>
        </w:r>
      </w:hyperlink>
    </w:p>
  </w:footnote>
  <w:footnote w:id="8">
    <w:p w:rsidR="00FF1D60" w:rsidRPr="00FF1D60" w:rsidRDefault="00710F97" w:rsidP="00433045">
      <w:pPr>
        <w:pStyle w:val="FootnoteText"/>
        <w:jc w:val="lowKashida"/>
        <w:rPr>
          <w:rFonts w:hint="cs"/>
        </w:rPr>
      </w:pPr>
      <w:r w:rsidRPr="00710F97">
        <w:footnoteRef/>
      </w:r>
      <w:r>
        <w:t>.</w:t>
      </w:r>
      <w:r w:rsidR="00FF1D60" w:rsidRPr="00FF1D60">
        <w:rPr>
          <w:rtl/>
        </w:rPr>
        <w:t xml:space="preserve"> </w:t>
      </w:r>
      <w:r w:rsidR="00FF1D60" w:rsidRPr="00FF1D60">
        <w:rPr>
          <w:rFonts w:hint="eastAsia"/>
          <w:rtl/>
        </w:rPr>
        <w:t>سوره</w:t>
      </w:r>
      <w:r w:rsidR="00FF1D60" w:rsidRPr="00FF1D60">
        <w:rPr>
          <w:rtl/>
        </w:rPr>
        <w:t xml:space="preserve"> مائده، آيه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0F341A">
      <w:rPr>
        <w:b/>
        <w:bCs/>
        <w:sz w:val="20"/>
        <w:szCs w:val="24"/>
        <w:rtl/>
      </w:rPr>
      <w:t>029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0F341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0F341A">
      <w:rPr>
        <w:b/>
        <w:bCs/>
        <w:color w:val="632423" w:themeColor="accent2" w:themeShade="80"/>
        <w:sz w:val="20"/>
        <w:szCs w:val="24"/>
        <w:rtl/>
      </w:rPr>
      <w:t>شه</w:t>
    </w:r>
    <w:r w:rsidR="000F341A">
      <w:rPr>
        <w:rFonts w:hint="cs"/>
        <w:b/>
        <w:bCs/>
        <w:color w:val="632423" w:themeColor="accent2" w:themeShade="80"/>
        <w:sz w:val="20"/>
        <w:szCs w:val="24"/>
        <w:rtl/>
      </w:rPr>
      <w:t>ی</w:t>
    </w:r>
    <w:r w:rsidR="000F341A">
      <w:rPr>
        <w:rFonts w:hint="eastAsia"/>
        <w:b/>
        <w:bCs/>
        <w:color w:val="632423" w:themeColor="accent2" w:themeShade="80"/>
        <w:sz w:val="20"/>
        <w:szCs w:val="24"/>
        <w:rtl/>
      </w:rPr>
      <w:t>د</w:t>
    </w:r>
    <w:r w:rsidR="000F341A">
      <w:rPr>
        <w:rFonts w:hint="cs"/>
        <w:b/>
        <w:bCs/>
        <w:color w:val="632423" w:themeColor="accent2" w:themeShade="80"/>
        <w:sz w:val="20"/>
        <w:szCs w:val="24"/>
        <w:rtl/>
      </w:rPr>
      <w:t>ی</w:t>
    </w:r>
    <w:r w:rsidR="000F341A">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0F341A">
      <w:rPr>
        <w:sz w:val="24"/>
        <w:szCs w:val="24"/>
        <w:rtl/>
      </w:rPr>
      <w:t>2 /8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0F341A">
      <w:rPr>
        <w:color w:val="000000" w:themeColor="text1"/>
        <w:sz w:val="24"/>
        <w:szCs w:val="24"/>
        <w:rtl/>
      </w:rPr>
      <w:t>تخص</w:t>
    </w:r>
    <w:r w:rsidR="000F341A">
      <w:rPr>
        <w:rFonts w:hint="cs"/>
        <w:color w:val="000000" w:themeColor="text1"/>
        <w:sz w:val="24"/>
        <w:szCs w:val="24"/>
        <w:rtl/>
      </w:rPr>
      <w:t>ی</w:t>
    </w:r>
    <w:r w:rsidR="000F341A">
      <w:rPr>
        <w:rFonts w:hint="eastAsia"/>
        <w:color w:val="000000" w:themeColor="text1"/>
        <w:sz w:val="24"/>
        <w:szCs w:val="24"/>
        <w:rtl/>
      </w:rPr>
      <w:t>ص</w:t>
    </w:r>
    <w:r w:rsidR="000F341A">
      <w:rPr>
        <w:color w:val="000000" w:themeColor="text1"/>
        <w:sz w:val="24"/>
        <w:szCs w:val="24"/>
        <w:rtl/>
      </w:rPr>
      <w:t xml:space="preserve"> </w:t>
    </w:r>
    <w:r w:rsidR="0028058D">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0F341A">
      <w:rPr>
        <w:sz w:val="24"/>
        <w:szCs w:val="24"/>
        <w:rtl/>
      </w:rPr>
      <w:t>مهد</w:t>
    </w:r>
    <w:r w:rsidR="000F341A">
      <w:rPr>
        <w:rFonts w:hint="cs"/>
        <w:sz w:val="24"/>
        <w:szCs w:val="24"/>
        <w:rtl/>
      </w:rPr>
      <w:t>ی</w:t>
    </w:r>
    <w:r w:rsidR="000F341A">
      <w:rPr>
        <w:sz w:val="24"/>
        <w:szCs w:val="24"/>
        <w:rtl/>
      </w:rPr>
      <w:t xml:space="preserve"> منصور</w:t>
    </w:r>
    <w:r w:rsidR="000F341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0F341A">
      <w:rPr>
        <w:sz w:val="24"/>
        <w:szCs w:val="24"/>
        <w:rtl/>
      </w:rPr>
      <w:t>موارد الحاق عام</w:t>
    </w:r>
    <w:r w:rsidR="000F341A">
      <w:rPr>
        <w:rFonts w:hint="cs"/>
        <w:sz w:val="24"/>
        <w:szCs w:val="24"/>
        <w:rtl/>
      </w:rPr>
      <w:t>ی</w:t>
    </w:r>
    <w:r w:rsidR="000F341A">
      <w:rPr>
        <w:rFonts w:hint="eastAsia"/>
        <w:sz w:val="24"/>
        <w:szCs w:val="24"/>
        <w:rtl/>
      </w:rPr>
      <w:t>ن</w:t>
    </w:r>
    <w:r w:rsidR="000F341A">
      <w:rPr>
        <w:sz w:val="24"/>
        <w:szCs w:val="24"/>
        <w:rtl/>
      </w:rPr>
      <w:t xml:space="preserve"> من وجه به عام و خاص مطلق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D2929"/>
    <w:multiLevelType w:val="hybridMultilevel"/>
    <w:tmpl w:val="5A4A64F4"/>
    <w:lvl w:ilvl="0" w:tplc="C5A86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proofState w:spelling="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AD2"/>
    <w:rsid w:val="00055496"/>
    <w:rsid w:val="00055EDC"/>
    <w:rsid w:val="00080A41"/>
    <w:rsid w:val="00080D52"/>
    <w:rsid w:val="0008299B"/>
    <w:rsid w:val="000913AA"/>
    <w:rsid w:val="00094847"/>
    <w:rsid w:val="00096C63"/>
    <w:rsid w:val="000B5DB5"/>
    <w:rsid w:val="000C3947"/>
    <w:rsid w:val="000D2A37"/>
    <w:rsid w:val="000D30E9"/>
    <w:rsid w:val="000D6818"/>
    <w:rsid w:val="000E335E"/>
    <w:rsid w:val="000F16CF"/>
    <w:rsid w:val="000F341A"/>
    <w:rsid w:val="000F5BAC"/>
    <w:rsid w:val="00102585"/>
    <w:rsid w:val="00114AB7"/>
    <w:rsid w:val="00116B2B"/>
    <w:rsid w:val="00124E3D"/>
    <w:rsid w:val="00127E95"/>
    <w:rsid w:val="00130659"/>
    <w:rsid w:val="001347C7"/>
    <w:rsid w:val="001356B0"/>
    <w:rsid w:val="00151937"/>
    <w:rsid w:val="00165589"/>
    <w:rsid w:val="00181844"/>
    <w:rsid w:val="001837E9"/>
    <w:rsid w:val="00187DFA"/>
    <w:rsid w:val="001A1BC1"/>
    <w:rsid w:val="001A1EA5"/>
    <w:rsid w:val="001A2574"/>
    <w:rsid w:val="001A27D7"/>
    <w:rsid w:val="001A294E"/>
    <w:rsid w:val="001A4ED8"/>
    <w:rsid w:val="001B2488"/>
    <w:rsid w:val="001B6799"/>
    <w:rsid w:val="001C1362"/>
    <w:rsid w:val="001D2E9A"/>
    <w:rsid w:val="001D3B17"/>
    <w:rsid w:val="001D597F"/>
    <w:rsid w:val="001E3FD4"/>
    <w:rsid w:val="001E5C2A"/>
    <w:rsid w:val="0020241A"/>
    <w:rsid w:val="00203821"/>
    <w:rsid w:val="002110B2"/>
    <w:rsid w:val="00211632"/>
    <w:rsid w:val="0021630D"/>
    <w:rsid w:val="0024121B"/>
    <w:rsid w:val="00247D2F"/>
    <w:rsid w:val="00256560"/>
    <w:rsid w:val="002608F1"/>
    <w:rsid w:val="0027605E"/>
    <w:rsid w:val="00277CCD"/>
    <w:rsid w:val="0028058D"/>
    <w:rsid w:val="00281E00"/>
    <w:rsid w:val="00294A52"/>
    <w:rsid w:val="002B575F"/>
    <w:rsid w:val="002B729B"/>
    <w:rsid w:val="002C23B5"/>
    <w:rsid w:val="002C53A2"/>
    <w:rsid w:val="002D0040"/>
    <w:rsid w:val="002D2FA8"/>
    <w:rsid w:val="002D596C"/>
    <w:rsid w:val="002D5F7C"/>
    <w:rsid w:val="002E220F"/>
    <w:rsid w:val="002F0EAA"/>
    <w:rsid w:val="003018A5"/>
    <w:rsid w:val="00304088"/>
    <w:rsid w:val="00306007"/>
    <w:rsid w:val="00307311"/>
    <w:rsid w:val="0032100F"/>
    <w:rsid w:val="0033402C"/>
    <w:rsid w:val="00340521"/>
    <w:rsid w:val="00345C73"/>
    <w:rsid w:val="00354A99"/>
    <w:rsid w:val="00360311"/>
    <w:rsid w:val="00361922"/>
    <w:rsid w:val="0037339B"/>
    <w:rsid w:val="00386C11"/>
    <w:rsid w:val="00397466"/>
    <w:rsid w:val="003A6148"/>
    <w:rsid w:val="003B24DC"/>
    <w:rsid w:val="003B50AB"/>
    <w:rsid w:val="003C33F6"/>
    <w:rsid w:val="003C3D2E"/>
    <w:rsid w:val="003C43A5"/>
    <w:rsid w:val="003D3430"/>
    <w:rsid w:val="003E1C5C"/>
    <w:rsid w:val="003E338C"/>
    <w:rsid w:val="003E6650"/>
    <w:rsid w:val="003F5B46"/>
    <w:rsid w:val="00401363"/>
    <w:rsid w:val="00402E47"/>
    <w:rsid w:val="00411B39"/>
    <w:rsid w:val="00425015"/>
    <w:rsid w:val="00430994"/>
    <w:rsid w:val="00433045"/>
    <w:rsid w:val="00436E8E"/>
    <w:rsid w:val="00441B6D"/>
    <w:rsid w:val="0045250D"/>
    <w:rsid w:val="004556EF"/>
    <w:rsid w:val="00462B07"/>
    <w:rsid w:val="00462F6A"/>
    <w:rsid w:val="00465BD2"/>
    <w:rsid w:val="00467EC8"/>
    <w:rsid w:val="004715C8"/>
    <w:rsid w:val="00481C31"/>
    <w:rsid w:val="00482FC1"/>
    <w:rsid w:val="00483027"/>
    <w:rsid w:val="004871AA"/>
    <w:rsid w:val="004918D7"/>
    <w:rsid w:val="004926E1"/>
    <w:rsid w:val="004A2FEA"/>
    <w:rsid w:val="004B03A6"/>
    <w:rsid w:val="004D2DD7"/>
    <w:rsid w:val="004D58F9"/>
    <w:rsid w:val="004D75C5"/>
    <w:rsid w:val="004E2186"/>
    <w:rsid w:val="004E66FB"/>
    <w:rsid w:val="004F470A"/>
    <w:rsid w:val="004F4C59"/>
    <w:rsid w:val="00500C8F"/>
    <w:rsid w:val="00501909"/>
    <w:rsid w:val="00507BBB"/>
    <w:rsid w:val="005128DF"/>
    <w:rsid w:val="0051592A"/>
    <w:rsid w:val="005206FE"/>
    <w:rsid w:val="00521B64"/>
    <w:rsid w:val="005257ED"/>
    <w:rsid w:val="005306F8"/>
    <w:rsid w:val="00537FD4"/>
    <w:rsid w:val="0054023D"/>
    <w:rsid w:val="005426BF"/>
    <w:rsid w:val="00547ACE"/>
    <w:rsid w:val="0056213C"/>
    <w:rsid w:val="00566F38"/>
    <w:rsid w:val="00580B5A"/>
    <w:rsid w:val="00580B71"/>
    <w:rsid w:val="00580C24"/>
    <w:rsid w:val="00587A31"/>
    <w:rsid w:val="00594566"/>
    <w:rsid w:val="005968EF"/>
    <w:rsid w:val="00596C1E"/>
    <w:rsid w:val="005A1197"/>
    <w:rsid w:val="005A2E26"/>
    <w:rsid w:val="005B0262"/>
    <w:rsid w:val="005B7BCA"/>
    <w:rsid w:val="005C0DAE"/>
    <w:rsid w:val="005C188E"/>
    <w:rsid w:val="005C2907"/>
    <w:rsid w:val="005C7BC8"/>
    <w:rsid w:val="005D2349"/>
    <w:rsid w:val="005E1B60"/>
    <w:rsid w:val="005E5507"/>
    <w:rsid w:val="005E607B"/>
    <w:rsid w:val="005F0A8D"/>
    <w:rsid w:val="005F2C06"/>
    <w:rsid w:val="00601229"/>
    <w:rsid w:val="006019BE"/>
    <w:rsid w:val="00603B67"/>
    <w:rsid w:val="00612FF1"/>
    <w:rsid w:val="006153C0"/>
    <w:rsid w:val="006162A2"/>
    <w:rsid w:val="006240DA"/>
    <w:rsid w:val="0063256E"/>
    <w:rsid w:val="00633F04"/>
    <w:rsid w:val="00635219"/>
    <w:rsid w:val="00635EC0"/>
    <w:rsid w:val="00640B58"/>
    <w:rsid w:val="00651B02"/>
    <w:rsid w:val="00651B19"/>
    <w:rsid w:val="00660A29"/>
    <w:rsid w:val="00695519"/>
    <w:rsid w:val="006968CE"/>
    <w:rsid w:val="006A4134"/>
    <w:rsid w:val="006A5DDA"/>
    <w:rsid w:val="006A6701"/>
    <w:rsid w:val="006B16F5"/>
    <w:rsid w:val="006B21F4"/>
    <w:rsid w:val="006B3753"/>
    <w:rsid w:val="006B7A36"/>
    <w:rsid w:val="006B7AD6"/>
    <w:rsid w:val="006C50FD"/>
    <w:rsid w:val="006D1DD4"/>
    <w:rsid w:val="006D4014"/>
    <w:rsid w:val="006D44C1"/>
    <w:rsid w:val="006E5651"/>
    <w:rsid w:val="006E5B85"/>
    <w:rsid w:val="006F026A"/>
    <w:rsid w:val="006F3D78"/>
    <w:rsid w:val="006F781A"/>
    <w:rsid w:val="0070265B"/>
    <w:rsid w:val="00702785"/>
    <w:rsid w:val="00704813"/>
    <w:rsid w:val="00705038"/>
    <w:rsid w:val="007109CA"/>
    <w:rsid w:val="00710F97"/>
    <w:rsid w:val="007224C8"/>
    <w:rsid w:val="0072290D"/>
    <w:rsid w:val="00723D6D"/>
    <w:rsid w:val="00724537"/>
    <w:rsid w:val="00731724"/>
    <w:rsid w:val="0073474B"/>
    <w:rsid w:val="00735511"/>
    <w:rsid w:val="00736C8C"/>
    <w:rsid w:val="00737208"/>
    <w:rsid w:val="0074054C"/>
    <w:rsid w:val="00744DE6"/>
    <w:rsid w:val="00750DAC"/>
    <w:rsid w:val="00751362"/>
    <w:rsid w:val="0076156A"/>
    <w:rsid w:val="00762452"/>
    <w:rsid w:val="007639E0"/>
    <w:rsid w:val="00775507"/>
    <w:rsid w:val="00783473"/>
    <w:rsid w:val="0078594B"/>
    <w:rsid w:val="00795E02"/>
    <w:rsid w:val="007979D0"/>
    <w:rsid w:val="007A2554"/>
    <w:rsid w:val="007A4E18"/>
    <w:rsid w:val="007A7B8C"/>
    <w:rsid w:val="007C6D9E"/>
    <w:rsid w:val="007D1C43"/>
    <w:rsid w:val="007D2695"/>
    <w:rsid w:val="007D6C53"/>
    <w:rsid w:val="007D79DC"/>
    <w:rsid w:val="007E1564"/>
    <w:rsid w:val="007E1E87"/>
    <w:rsid w:val="007E5B3F"/>
    <w:rsid w:val="007F2257"/>
    <w:rsid w:val="0080091D"/>
    <w:rsid w:val="00804108"/>
    <w:rsid w:val="00804FC4"/>
    <w:rsid w:val="00807080"/>
    <w:rsid w:val="0081578D"/>
    <w:rsid w:val="00816367"/>
    <w:rsid w:val="00816A0B"/>
    <w:rsid w:val="00820C37"/>
    <w:rsid w:val="00824B22"/>
    <w:rsid w:val="00830C53"/>
    <w:rsid w:val="00837FAA"/>
    <w:rsid w:val="00841F77"/>
    <w:rsid w:val="0085276D"/>
    <w:rsid w:val="00863390"/>
    <w:rsid w:val="0086385C"/>
    <w:rsid w:val="00871916"/>
    <w:rsid w:val="008956DD"/>
    <w:rsid w:val="008A510E"/>
    <w:rsid w:val="008A522A"/>
    <w:rsid w:val="008B4464"/>
    <w:rsid w:val="008B750B"/>
    <w:rsid w:val="008C23F8"/>
    <w:rsid w:val="008C3162"/>
    <w:rsid w:val="008D1F14"/>
    <w:rsid w:val="008E201D"/>
    <w:rsid w:val="008E3924"/>
    <w:rsid w:val="008E7A4A"/>
    <w:rsid w:val="008F13F7"/>
    <w:rsid w:val="008F5B4D"/>
    <w:rsid w:val="00905DDB"/>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30EE"/>
    <w:rsid w:val="009A43BA"/>
    <w:rsid w:val="009B0D05"/>
    <w:rsid w:val="009B4CA6"/>
    <w:rsid w:val="009B79F8"/>
    <w:rsid w:val="009C66D5"/>
    <w:rsid w:val="009C753B"/>
    <w:rsid w:val="009C7646"/>
    <w:rsid w:val="009D13FD"/>
    <w:rsid w:val="009D266A"/>
    <w:rsid w:val="009D55C6"/>
    <w:rsid w:val="009E6AF9"/>
    <w:rsid w:val="009F7E07"/>
    <w:rsid w:val="00A0019F"/>
    <w:rsid w:val="00A01522"/>
    <w:rsid w:val="00A10A11"/>
    <w:rsid w:val="00A13C6A"/>
    <w:rsid w:val="00A17B09"/>
    <w:rsid w:val="00A17C4E"/>
    <w:rsid w:val="00A22CF0"/>
    <w:rsid w:val="00A457C6"/>
    <w:rsid w:val="00A46AD0"/>
    <w:rsid w:val="00A47063"/>
    <w:rsid w:val="00A473A8"/>
    <w:rsid w:val="00A513F0"/>
    <w:rsid w:val="00A52315"/>
    <w:rsid w:val="00A52F13"/>
    <w:rsid w:val="00A61AC8"/>
    <w:rsid w:val="00A6366F"/>
    <w:rsid w:val="00A65D4C"/>
    <w:rsid w:val="00A66D66"/>
    <w:rsid w:val="00A70512"/>
    <w:rsid w:val="00A94060"/>
    <w:rsid w:val="00AA1F60"/>
    <w:rsid w:val="00AA40D7"/>
    <w:rsid w:val="00AB5F7D"/>
    <w:rsid w:val="00AC0C50"/>
    <w:rsid w:val="00AC6FE2"/>
    <w:rsid w:val="00AF3925"/>
    <w:rsid w:val="00B1296B"/>
    <w:rsid w:val="00B2292F"/>
    <w:rsid w:val="00B43169"/>
    <w:rsid w:val="00B501A8"/>
    <w:rsid w:val="00B53BBC"/>
    <w:rsid w:val="00B55AE4"/>
    <w:rsid w:val="00B67356"/>
    <w:rsid w:val="00B70B46"/>
    <w:rsid w:val="00B739B0"/>
    <w:rsid w:val="00B767DB"/>
    <w:rsid w:val="00B814A3"/>
    <w:rsid w:val="00B96ADD"/>
    <w:rsid w:val="00B96F38"/>
    <w:rsid w:val="00BC716B"/>
    <w:rsid w:val="00BD0E74"/>
    <w:rsid w:val="00BD46D1"/>
    <w:rsid w:val="00BD5F8C"/>
    <w:rsid w:val="00BE29DD"/>
    <w:rsid w:val="00BE7134"/>
    <w:rsid w:val="00C03A25"/>
    <w:rsid w:val="00C066AF"/>
    <w:rsid w:val="00C10E06"/>
    <w:rsid w:val="00C145B8"/>
    <w:rsid w:val="00C2438F"/>
    <w:rsid w:val="00C31AF0"/>
    <w:rsid w:val="00C31D74"/>
    <w:rsid w:val="00C32A7E"/>
    <w:rsid w:val="00C34F28"/>
    <w:rsid w:val="00C368DF"/>
    <w:rsid w:val="00C442C5"/>
    <w:rsid w:val="00C57B5C"/>
    <w:rsid w:val="00C57C7C"/>
    <w:rsid w:val="00C61049"/>
    <w:rsid w:val="00C63FFE"/>
    <w:rsid w:val="00C679D0"/>
    <w:rsid w:val="00C841FB"/>
    <w:rsid w:val="00C84DCA"/>
    <w:rsid w:val="00C91EB6"/>
    <w:rsid w:val="00CA10B0"/>
    <w:rsid w:val="00CA2F8E"/>
    <w:rsid w:val="00CA3EE2"/>
    <w:rsid w:val="00CA7FD5"/>
    <w:rsid w:val="00CB3287"/>
    <w:rsid w:val="00CB33E2"/>
    <w:rsid w:val="00CB4E68"/>
    <w:rsid w:val="00CC2733"/>
    <w:rsid w:val="00CC3DD4"/>
    <w:rsid w:val="00CD0050"/>
    <w:rsid w:val="00CE7481"/>
    <w:rsid w:val="00CF0A8F"/>
    <w:rsid w:val="00CF759E"/>
    <w:rsid w:val="00D048CE"/>
    <w:rsid w:val="00D10998"/>
    <w:rsid w:val="00D124EE"/>
    <w:rsid w:val="00D15CBD"/>
    <w:rsid w:val="00D221CB"/>
    <w:rsid w:val="00D23391"/>
    <w:rsid w:val="00D2592C"/>
    <w:rsid w:val="00D31805"/>
    <w:rsid w:val="00D552B9"/>
    <w:rsid w:val="00D60B7A"/>
    <w:rsid w:val="00D735B2"/>
    <w:rsid w:val="00D74021"/>
    <w:rsid w:val="00D76D01"/>
    <w:rsid w:val="00D834D5"/>
    <w:rsid w:val="00D83F62"/>
    <w:rsid w:val="00D922A9"/>
    <w:rsid w:val="00D9394A"/>
    <w:rsid w:val="00DB0CBB"/>
    <w:rsid w:val="00DB1FA9"/>
    <w:rsid w:val="00DB67CC"/>
    <w:rsid w:val="00DC00AA"/>
    <w:rsid w:val="00DC3783"/>
    <w:rsid w:val="00DE1070"/>
    <w:rsid w:val="00DE2236"/>
    <w:rsid w:val="00DF2D5C"/>
    <w:rsid w:val="00DF33F0"/>
    <w:rsid w:val="00E00219"/>
    <w:rsid w:val="00E0316B"/>
    <w:rsid w:val="00E25E10"/>
    <w:rsid w:val="00E30672"/>
    <w:rsid w:val="00E43ADA"/>
    <w:rsid w:val="00E50B41"/>
    <w:rsid w:val="00E5219B"/>
    <w:rsid w:val="00E52D07"/>
    <w:rsid w:val="00E5518B"/>
    <w:rsid w:val="00E609FE"/>
    <w:rsid w:val="00E630BE"/>
    <w:rsid w:val="00E75920"/>
    <w:rsid w:val="00E80D96"/>
    <w:rsid w:val="00E831E3"/>
    <w:rsid w:val="00E83D49"/>
    <w:rsid w:val="00E871FA"/>
    <w:rsid w:val="00E87BE1"/>
    <w:rsid w:val="00E936A4"/>
    <w:rsid w:val="00E954BB"/>
    <w:rsid w:val="00EA3848"/>
    <w:rsid w:val="00EA45E7"/>
    <w:rsid w:val="00EA579C"/>
    <w:rsid w:val="00EB78E3"/>
    <w:rsid w:val="00EB7BE3"/>
    <w:rsid w:val="00EC1C4B"/>
    <w:rsid w:val="00EC735A"/>
    <w:rsid w:val="00EC791F"/>
    <w:rsid w:val="00ED173A"/>
    <w:rsid w:val="00ED5F38"/>
    <w:rsid w:val="00EE1178"/>
    <w:rsid w:val="00EF27FE"/>
    <w:rsid w:val="00F07FB6"/>
    <w:rsid w:val="00F102DA"/>
    <w:rsid w:val="00F14715"/>
    <w:rsid w:val="00F149D0"/>
    <w:rsid w:val="00F16B53"/>
    <w:rsid w:val="00F25ECD"/>
    <w:rsid w:val="00F318BE"/>
    <w:rsid w:val="00F33297"/>
    <w:rsid w:val="00F343FB"/>
    <w:rsid w:val="00F359FE"/>
    <w:rsid w:val="00F42159"/>
    <w:rsid w:val="00F4256E"/>
    <w:rsid w:val="00F42EE1"/>
    <w:rsid w:val="00F52A8F"/>
    <w:rsid w:val="00F60F1F"/>
    <w:rsid w:val="00F64141"/>
    <w:rsid w:val="00F67508"/>
    <w:rsid w:val="00F71FC9"/>
    <w:rsid w:val="00F73B48"/>
    <w:rsid w:val="00F74F51"/>
    <w:rsid w:val="00F842AD"/>
    <w:rsid w:val="00F905C2"/>
    <w:rsid w:val="00F9060F"/>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D60"/>
    <w:rsid w:val="00FF670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F915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A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1/266/&#1604;&#1581;&#1605;&#1607;" TargetMode="External"/><Relationship Id="rId2" Type="http://schemas.openxmlformats.org/officeDocument/2006/relationships/hyperlink" Target="http://lib.eshia.ir/11005/3/57/&#1575;&#1594;&#1587;&#1604;" TargetMode="External"/><Relationship Id="rId1" Type="http://schemas.openxmlformats.org/officeDocument/2006/relationships/hyperlink" Target="http://lib.eshia.ir/11005/3/58/&#1740;&#1591;&#1740;&#1585;" TargetMode="External"/><Relationship Id="rId5" Type="http://schemas.openxmlformats.org/officeDocument/2006/relationships/hyperlink" Target="http://lib.eshia.ir/71860/81/307/&#1578;&#1705;&#1604;&#1605;" TargetMode="External"/><Relationship Id="rId4" Type="http://schemas.openxmlformats.org/officeDocument/2006/relationships/hyperlink" Target="http://lib.eshia.ir/11005/3/355/&#1586;&#1575;&#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EDEF-1043-4983-96A0-518D3B73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225</TotalTime>
  <Pages>6</Pages>
  <Words>1817</Words>
  <Characters>10359</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2018-10-24T10:57:00Z</cp:lastPrinted>
  <dcterms:created xsi:type="dcterms:W3CDTF">2018-10-24T05:36:00Z</dcterms:created>
  <dcterms:modified xsi:type="dcterms:W3CDTF">2018-10-24T10:58:00Z</dcterms:modified>
  <cp:contentStatus>ویرایش 2.5</cp:contentStatus>
  <cp:version>2.7</cp:version>
</cp:coreProperties>
</file>