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A13" w:rsidRDefault="00787A13" w:rsidP="00787A13">
      <w:pPr>
        <w:rPr>
          <w:rtl/>
        </w:rPr>
      </w:pPr>
      <w:r>
        <w:rPr>
          <w:rFonts w:hint="cs"/>
          <w:rtl/>
        </w:rPr>
        <w:t>بسمه تعالی</w:t>
      </w:r>
    </w:p>
    <w:p w:rsidR="00787A13" w:rsidRDefault="00787A13" w:rsidP="00787A13">
      <w:pPr>
        <w:rPr>
          <w:rtl/>
        </w:rPr>
      </w:pPr>
      <w:bookmarkStart w:id="0" w:name="_Toc119843303"/>
      <w:bookmarkStart w:id="1" w:name="_Toc120372668"/>
      <w:r w:rsidRPr="000068C1">
        <w:rPr>
          <w:rFonts w:hint="cs"/>
          <w:color w:val="FF0000"/>
          <w:rtl/>
        </w:rPr>
        <w:t xml:space="preserve">موضوع: </w:t>
      </w:r>
      <w:bookmarkEnd w:id="0"/>
      <w:r w:rsidRPr="000F4721">
        <w:rPr>
          <w:rFonts w:hint="cs"/>
          <w:rtl/>
        </w:rPr>
        <w:t>لزوم</w:t>
      </w:r>
      <w:r w:rsidRPr="000F4721">
        <w:rPr>
          <w:rtl/>
        </w:rPr>
        <w:t xml:space="preserve"> </w:t>
      </w:r>
      <w:r w:rsidRPr="000F4721">
        <w:rPr>
          <w:rFonts w:hint="cs"/>
          <w:rtl/>
        </w:rPr>
        <w:t>فحص</w:t>
      </w:r>
      <w:r w:rsidRPr="000F4721">
        <w:rPr>
          <w:rtl/>
        </w:rPr>
        <w:t xml:space="preserve"> </w:t>
      </w:r>
      <w:r w:rsidRPr="000F4721">
        <w:rPr>
          <w:rFonts w:hint="cs"/>
          <w:rtl/>
        </w:rPr>
        <w:t>از</w:t>
      </w:r>
      <w:r w:rsidRPr="000F4721">
        <w:rPr>
          <w:rtl/>
        </w:rPr>
        <w:t xml:space="preserve"> </w:t>
      </w:r>
      <w:r w:rsidRPr="000F4721">
        <w:rPr>
          <w:rFonts w:hint="cs"/>
          <w:rtl/>
        </w:rPr>
        <w:t xml:space="preserve">مخصص </w:t>
      </w:r>
      <w:r>
        <w:rPr>
          <w:rFonts w:hint="cs"/>
          <w:rtl/>
        </w:rPr>
        <w:t>/ عام و خاص</w:t>
      </w:r>
      <w:bookmarkEnd w:id="1"/>
    </w:p>
    <w:p w:rsidR="00787A13" w:rsidRPr="000068C1" w:rsidRDefault="00787A13" w:rsidP="00787A13">
      <w:pPr>
        <w:rPr>
          <w:rtl/>
        </w:rPr>
      </w:pPr>
    </w:p>
    <w:p w:rsidR="00A838A6" w:rsidRDefault="00787A13" w:rsidP="00787A13">
      <w:pPr>
        <w:pStyle w:val="TOCHeading"/>
        <w:bidi/>
        <w:rPr>
          <w:rFonts w:hint="cs"/>
        </w:rPr>
      </w:pPr>
      <w:r>
        <w:rPr>
          <w:rFonts w:hint="cs"/>
          <w:rtl/>
        </w:rPr>
        <w:t>فهرست مطالب</w:t>
      </w:r>
      <w:r>
        <w:rPr>
          <w:rFonts w:hint="cs"/>
          <w:rtl/>
        </w:rPr>
        <w:t>:</w:t>
      </w:r>
    </w:p>
    <w:p w:rsidR="00A838A6" w:rsidRDefault="00537185" w:rsidP="00787A13">
      <w:pPr>
        <w:pStyle w:val="TOC1"/>
        <w:tabs>
          <w:tab w:val="right" w:leader="dot" w:pos="9350"/>
        </w:tabs>
        <w:rPr>
          <w:rFonts w:eastAsia="SimSun" w:cs="Arial"/>
          <w:noProof/>
          <w:szCs w:val="22"/>
          <w:lang w:bidi="ar-SA"/>
        </w:rPr>
      </w:pPr>
      <w:r>
        <w:fldChar w:fldCharType="begin"/>
      </w:r>
      <w:r>
        <w:instrText xml:space="preserve"> TOC \o "1-3" \h \z \u </w:instrText>
      </w:r>
      <w:r>
        <w:fldChar w:fldCharType="separate"/>
      </w:r>
      <w:hyperlink w:anchor="_Toc120523328" w:history="1">
        <w:r>
          <w:rPr>
            <w:rStyle w:val="Hyperlink"/>
            <w:rFonts w:hint="eastAsia"/>
            <w:noProof/>
            <w:rtl/>
          </w:rPr>
          <w:t>بررس</w:t>
        </w:r>
        <w:r>
          <w:rPr>
            <w:rStyle w:val="Hyperlink"/>
            <w:rFonts w:hint="cs"/>
            <w:noProof/>
            <w:rtl/>
          </w:rPr>
          <w:t>ی</w:t>
        </w:r>
        <w:r>
          <w:rPr>
            <w:rStyle w:val="Hyperlink"/>
            <w:noProof/>
            <w:rtl/>
          </w:rPr>
          <w:t xml:space="preserve"> </w:t>
        </w:r>
        <w:r>
          <w:rPr>
            <w:rStyle w:val="Hyperlink"/>
            <w:rFonts w:hint="eastAsia"/>
            <w:noProof/>
            <w:rtl/>
          </w:rPr>
          <w:t>کلام</w:t>
        </w:r>
        <w:r>
          <w:rPr>
            <w:rStyle w:val="Hyperlink"/>
            <w:noProof/>
            <w:rtl/>
          </w:rPr>
          <w:t xml:space="preserve"> </w:t>
        </w:r>
        <w:r>
          <w:rPr>
            <w:rStyle w:val="Hyperlink"/>
            <w:rFonts w:hint="eastAsia"/>
            <w:noProof/>
            <w:rtl/>
          </w:rPr>
          <w:t>محقق</w:t>
        </w:r>
        <w:r>
          <w:rPr>
            <w:rStyle w:val="Hyperlink"/>
            <w:noProof/>
            <w:rtl/>
          </w:rPr>
          <w:t xml:space="preserve"> </w:t>
        </w:r>
        <w:r>
          <w:rPr>
            <w:rStyle w:val="Hyperlink"/>
            <w:rFonts w:hint="eastAsia"/>
            <w:noProof/>
            <w:rtl/>
          </w:rPr>
          <w:t>عراق</w:t>
        </w:r>
        <w:r>
          <w:rPr>
            <w:rStyle w:val="Hyperlink"/>
            <w:rFonts w:hint="cs"/>
            <w:noProof/>
            <w:rtl/>
          </w:rPr>
          <w:t>ی</w:t>
        </w:r>
        <w:r>
          <w:rPr>
            <w:rStyle w:val="Hyperlink"/>
            <w:noProof/>
            <w:rtl/>
          </w:rPr>
          <w:t xml:space="preserve"> </w:t>
        </w:r>
        <w:r>
          <w:rPr>
            <w:rStyle w:val="Hyperlink"/>
            <w:rFonts w:hint="eastAsia"/>
            <w:noProof/>
            <w:rtl/>
          </w:rPr>
          <w:t>رحمه</w:t>
        </w:r>
        <w:r>
          <w:rPr>
            <w:rStyle w:val="Hyperlink"/>
            <w:noProof/>
            <w:rtl/>
          </w:rPr>
          <w:t xml:space="preserve"> </w:t>
        </w:r>
        <w:r>
          <w:rPr>
            <w:rStyle w:val="Hyperlink"/>
            <w:rFonts w:hint="eastAsia"/>
            <w:noProof/>
            <w:rtl/>
          </w:rPr>
          <w:t>الله</w:t>
        </w:r>
        <w:r>
          <w:rPr>
            <w:noProof/>
            <w:webHidden/>
          </w:rPr>
          <w:tab/>
        </w:r>
        <w:r>
          <w:rPr>
            <w:noProof/>
            <w:webHidden/>
          </w:rPr>
          <w:fldChar w:fldCharType="begin"/>
        </w:r>
        <w:r>
          <w:rPr>
            <w:noProof/>
            <w:webHidden/>
          </w:rPr>
          <w:instrText xml:space="preserve"> PAGEREF _Toc120523328 \h </w:instrText>
        </w:r>
        <w:r>
          <w:rPr>
            <w:noProof/>
            <w:webHidden/>
          </w:rPr>
        </w:r>
        <w:r>
          <w:rPr>
            <w:noProof/>
            <w:webHidden/>
          </w:rPr>
          <w:fldChar w:fldCharType="separate"/>
        </w:r>
        <w:r w:rsidR="0098695E">
          <w:rPr>
            <w:noProof/>
            <w:webHidden/>
            <w:rtl/>
          </w:rPr>
          <w:t>2</w:t>
        </w:r>
        <w:r>
          <w:rPr>
            <w:noProof/>
            <w:webHidden/>
          </w:rPr>
          <w:fldChar w:fldCharType="end"/>
        </w:r>
      </w:hyperlink>
    </w:p>
    <w:p w:rsidR="00A838A6" w:rsidRDefault="00434048">
      <w:pPr>
        <w:pStyle w:val="TOC2"/>
        <w:tabs>
          <w:tab w:val="right" w:leader="dot" w:pos="9350"/>
        </w:tabs>
        <w:rPr>
          <w:rFonts w:eastAsia="SimSun" w:cs="Arial"/>
          <w:noProof/>
          <w:szCs w:val="22"/>
          <w:lang w:bidi="ar-SA"/>
        </w:rPr>
      </w:pPr>
      <w:hyperlink w:anchor="_Toc120523329" w:history="1">
        <w:r w:rsidR="00537185">
          <w:rPr>
            <w:rStyle w:val="Hyperlink"/>
            <w:rFonts w:hint="eastAsia"/>
            <w:noProof/>
            <w:rtl/>
          </w:rPr>
          <w:t>انحلال</w:t>
        </w:r>
        <w:r w:rsidR="00537185">
          <w:rPr>
            <w:rStyle w:val="Hyperlink"/>
            <w:noProof/>
            <w:rtl/>
          </w:rPr>
          <w:t xml:space="preserve"> </w:t>
        </w:r>
        <w:r w:rsidR="00537185">
          <w:rPr>
            <w:rStyle w:val="Hyperlink"/>
            <w:rFonts w:hint="eastAsia"/>
            <w:noProof/>
            <w:rtl/>
          </w:rPr>
          <w:t>عقلائ</w:t>
        </w:r>
        <w:r w:rsidR="00537185">
          <w:rPr>
            <w:rStyle w:val="Hyperlink"/>
            <w:rFonts w:hint="cs"/>
            <w:noProof/>
            <w:rtl/>
          </w:rPr>
          <w:t>ی</w:t>
        </w:r>
        <w:r w:rsidR="00537185">
          <w:rPr>
            <w:rStyle w:val="Hyperlink"/>
            <w:noProof/>
            <w:rtl/>
          </w:rPr>
          <w:t xml:space="preserve"> </w:t>
        </w:r>
        <w:r w:rsidR="00537185">
          <w:rPr>
            <w:rStyle w:val="Hyperlink"/>
            <w:rFonts w:hint="eastAsia"/>
            <w:noProof/>
            <w:rtl/>
          </w:rPr>
          <w:t>علم</w:t>
        </w:r>
        <w:r w:rsidR="00537185">
          <w:rPr>
            <w:rStyle w:val="Hyperlink"/>
            <w:noProof/>
            <w:rtl/>
          </w:rPr>
          <w:t xml:space="preserve"> </w:t>
        </w:r>
        <w:r w:rsidR="00537185">
          <w:rPr>
            <w:rStyle w:val="Hyperlink"/>
            <w:rFonts w:hint="eastAsia"/>
            <w:noProof/>
            <w:rtl/>
          </w:rPr>
          <w:t>اجمال</w:t>
        </w:r>
        <w:r w:rsidR="00537185">
          <w:rPr>
            <w:rStyle w:val="Hyperlink"/>
            <w:rFonts w:hint="cs"/>
            <w:noProof/>
            <w:rtl/>
          </w:rPr>
          <w:t>ی</w:t>
        </w:r>
        <w:r w:rsidR="00537185">
          <w:rPr>
            <w:noProof/>
            <w:webHidden/>
          </w:rPr>
          <w:tab/>
        </w:r>
        <w:r w:rsidR="00537185">
          <w:rPr>
            <w:noProof/>
            <w:webHidden/>
          </w:rPr>
          <w:fldChar w:fldCharType="begin"/>
        </w:r>
        <w:r w:rsidR="00537185">
          <w:rPr>
            <w:noProof/>
            <w:webHidden/>
          </w:rPr>
          <w:instrText xml:space="preserve"> PAGEREF _Toc120523329 \h </w:instrText>
        </w:r>
        <w:r w:rsidR="00537185">
          <w:rPr>
            <w:noProof/>
            <w:webHidden/>
          </w:rPr>
        </w:r>
        <w:r w:rsidR="00537185">
          <w:rPr>
            <w:noProof/>
            <w:webHidden/>
          </w:rPr>
          <w:fldChar w:fldCharType="separate"/>
        </w:r>
        <w:r w:rsidR="0098695E">
          <w:rPr>
            <w:noProof/>
            <w:webHidden/>
            <w:rtl/>
          </w:rPr>
          <w:t>2</w:t>
        </w:r>
        <w:r w:rsidR="00537185">
          <w:rPr>
            <w:noProof/>
            <w:webHidden/>
          </w:rPr>
          <w:fldChar w:fldCharType="end"/>
        </w:r>
      </w:hyperlink>
    </w:p>
    <w:p w:rsidR="00A838A6" w:rsidRDefault="00434048">
      <w:pPr>
        <w:pStyle w:val="TOC2"/>
        <w:tabs>
          <w:tab w:val="right" w:leader="dot" w:pos="9350"/>
        </w:tabs>
        <w:rPr>
          <w:rFonts w:eastAsia="SimSun" w:cs="Arial"/>
          <w:noProof/>
          <w:szCs w:val="22"/>
          <w:lang w:bidi="ar-SA"/>
        </w:rPr>
      </w:pPr>
      <w:hyperlink w:anchor="_Toc120523330" w:history="1">
        <w:r w:rsidR="00537185">
          <w:rPr>
            <w:rStyle w:val="Hyperlink"/>
            <w:rFonts w:hint="eastAsia"/>
            <w:noProof/>
            <w:rtl/>
          </w:rPr>
          <w:t>اشکال</w:t>
        </w:r>
        <w:r w:rsidR="00537185">
          <w:rPr>
            <w:rStyle w:val="Hyperlink"/>
            <w:noProof/>
            <w:rtl/>
          </w:rPr>
          <w:t xml:space="preserve"> </w:t>
        </w:r>
        <w:r w:rsidR="00537185">
          <w:rPr>
            <w:rStyle w:val="Hyperlink"/>
            <w:rFonts w:hint="eastAsia"/>
            <w:noProof/>
            <w:rtl/>
          </w:rPr>
          <w:t>شه</w:t>
        </w:r>
        <w:r w:rsidR="00537185">
          <w:rPr>
            <w:rStyle w:val="Hyperlink"/>
            <w:rFonts w:hint="cs"/>
            <w:noProof/>
            <w:rtl/>
          </w:rPr>
          <w:t>ی</w:t>
        </w:r>
        <w:r w:rsidR="00537185">
          <w:rPr>
            <w:rStyle w:val="Hyperlink"/>
            <w:rFonts w:hint="eastAsia"/>
            <w:noProof/>
            <w:rtl/>
          </w:rPr>
          <w:t>د</w:t>
        </w:r>
        <w:r w:rsidR="00537185">
          <w:rPr>
            <w:rStyle w:val="Hyperlink"/>
            <w:noProof/>
            <w:rtl/>
          </w:rPr>
          <w:t xml:space="preserve"> </w:t>
        </w:r>
        <w:r w:rsidR="00537185">
          <w:rPr>
            <w:rStyle w:val="Hyperlink"/>
            <w:rFonts w:hint="eastAsia"/>
            <w:noProof/>
            <w:rtl/>
          </w:rPr>
          <w:t>صدر</w:t>
        </w:r>
        <w:r w:rsidR="00537185">
          <w:rPr>
            <w:rStyle w:val="Hyperlink"/>
            <w:noProof/>
            <w:rtl/>
          </w:rPr>
          <w:t xml:space="preserve"> </w:t>
        </w:r>
        <w:r w:rsidR="00537185">
          <w:rPr>
            <w:rStyle w:val="Hyperlink"/>
            <w:rFonts w:hint="eastAsia"/>
            <w:noProof/>
            <w:rtl/>
          </w:rPr>
          <w:t>به</w:t>
        </w:r>
        <w:r w:rsidR="00537185">
          <w:rPr>
            <w:rStyle w:val="Hyperlink"/>
            <w:noProof/>
            <w:rtl/>
          </w:rPr>
          <w:t xml:space="preserve"> </w:t>
        </w:r>
        <w:r w:rsidR="00537185">
          <w:rPr>
            <w:rStyle w:val="Hyperlink"/>
            <w:rFonts w:hint="eastAsia"/>
            <w:noProof/>
            <w:rtl/>
          </w:rPr>
          <w:t>آقا</w:t>
        </w:r>
        <w:r w:rsidR="00537185">
          <w:rPr>
            <w:rStyle w:val="Hyperlink"/>
            <w:noProof/>
            <w:rtl/>
          </w:rPr>
          <w:t xml:space="preserve"> </w:t>
        </w:r>
        <w:r w:rsidR="00537185">
          <w:rPr>
            <w:rStyle w:val="Hyperlink"/>
            <w:rFonts w:hint="eastAsia"/>
            <w:noProof/>
            <w:rtl/>
          </w:rPr>
          <w:t>ض</w:t>
        </w:r>
        <w:r w:rsidR="00537185">
          <w:rPr>
            <w:rStyle w:val="Hyperlink"/>
            <w:rFonts w:hint="cs"/>
            <w:noProof/>
            <w:rtl/>
          </w:rPr>
          <w:t>ی</w:t>
        </w:r>
        <w:r w:rsidR="00537185">
          <w:rPr>
            <w:rStyle w:val="Hyperlink"/>
            <w:rFonts w:hint="eastAsia"/>
            <w:noProof/>
            <w:rtl/>
          </w:rPr>
          <w:t>اء</w:t>
        </w:r>
        <w:r w:rsidR="00537185">
          <w:rPr>
            <w:rStyle w:val="Hyperlink"/>
            <w:noProof/>
            <w:rtl/>
          </w:rPr>
          <w:t xml:space="preserve"> </w:t>
        </w:r>
        <w:r w:rsidR="00537185">
          <w:rPr>
            <w:rStyle w:val="Hyperlink"/>
            <w:rFonts w:hint="eastAsia"/>
            <w:noProof/>
            <w:rtl/>
          </w:rPr>
          <w:t>رحمهما</w:t>
        </w:r>
        <w:r w:rsidR="00537185">
          <w:rPr>
            <w:rStyle w:val="Hyperlink"/>
            <w:noProof/>
            <w:rtl/>
          </w:rPr>
          <w:t xml:space="preserve"> </w:t>
        </w:r>
        <w:r w:rsidR="00537185">
          <w:rPr>
            <w:rStyle w:val="Hyperlink"/>
            <w:rFonts w:hint="eastAsia"/>
            <w:noProof/>
            <w:rtl/>
          </w:rPr>
          <w:t>الله</w:t>
        </w:r>
        <w:r w:rsidR="00537185">
          <w:rPr>
            <w:noProof/>
            <w:webHidden/>
          </w:rPr>
          <w:tab/>
        </w:r>
        <w:r w:rsidR="00537185">
          <w:rPr>
            <w:noProof/>
            <w:webHidden/>
          </w:rPr>
          <w:fldChar w:fldCharType="begin"/>
        </w:r>
        <w:r w:rsidR="00537185">
          <w:rPr>
            <w:noProof/>
            <w:webHidden/>
          </w:rPr>
          <w:instrText xml:space="preserve"> PAGEREF _Toc120523330 \h </w:instrText>
        </w:r>
        <w:r w:rsidR="00537185">
          <w:rPr>
            <w:noProof/>
            <w:webHidden/>
          </w:rPr>
        </w:r>
        <w:r w:rsidR="00537185">
          <w:rPr>
            <w:noProof/>
            <w:webHidden/>
          </w:rPr>
          <w:fldChar w:fldCharType="separate"/>
        </w:r>
        <w:r w:rsidR="0098695E">
          <w:rPr>
            <w:noProof/>
            <w:webHidden/>
            <w:rtl/>
          </w:rPr>
          <w:t>3</w:t>
        </w:r>
        <w:r w:rsidR="00537185">
          <w:rPr>
            <w:noProof/>
            <w:webHidden/>
          </w:rPr>
          <w:fldChar w:fldCharType="end"/>
        </w:r>
      </w:hyperlink>
    </w:p>
    <w:p w:rsidR="00A838A6" w:rsidRDefault="00434048">
      <w:pPr>
        <w:pStyle w:val="TOC2"/>
        <w:tabs>
          <w:tab w:val="right" w:leader="dot" w:pos="9350"/>
        </w:tabs>
        <w:rPr>
          <w:rFonts w:eastAsia="SimSun" w:cs="Arial"/>
          <w:noProof/>
          <w:szCs w:val="22"/>
          <w:lang w:bidi="ar-SA"/>
        </w:rPr>
      </w:pPr>
      <w:hyperlink w:anchor="_Toc120523331" w:history="1">
        <w:r w:rsidR="00537185">
          <w:rPr>
            <w:rStyle w:val="Hyperlink"/>
            <w:rFonts w:hint="eastAsia"/>
            <w:noProof/>
            <w:rtl/>
          </w:rPr>
          <w:t>بررس</w:t>
        </w:r>
        <w:r w:rsidR="00537185">
          <w:rPr>
            <w:rStyle w:val="Hyperlink"/>
            <w:rFonts w:hint="cs"/>
            <w:noProof/>
            <w:rtl/>
          </w:rPr>
          <w:t>ی</w:t>
        </w:r>
        <w:r w:rsidR="00537185">
          <w:rPr>
            <w:rStyle w:val="Hyperlink"/>
            <w:noProof/>
            <w:rtl/>
          </w:rPr>
          <w:t xml:space="preserve"> </w:t>
        </w:r>
        <w:r w:rsidR="00537185">
          <w:rPr>
            <w:rStyle w:val="Hyperlink"/>
            <w:rFonts w:hint="eastAsia"/>
            <w:noProof/>
            <w:rtl/>
          </w:rPr>
          <w:t>مناقشه</w:t>
        </w:r>
        <w:r w:rsidR="00537185">
          <w:rPr>
            <w:rStyle w:val="Hyperlink"/>
            <w:noProof/>
            <w:rtl/>
          </w:rPr>
          <w:t xml:space="preserve"> </w:t>
        </w:r>
        <w:r w:rsidR="00537185">
          <w:rPr>
            <w:rStyle w:val="Hyperlink"/>
            <w:rFonts w:hint="eastAsia"/>
            <w:noProof/>
            <w:rtl/>
          </w:rPr>
          <w:t>شه</w:t>
        </w:r>
        <w:r w:rsidR="00537185">
          <w:rPr>
            <w:rStyle w:val="Hyperlink"/>
            <w:rFonts w:hint="cs"/>
            <w:noProof/>
            <w:rtl/>
          </w:rPr>
          <w:t>ی</w:t>
        </w:r>
        <w:r w:rsidR="00537185">
          <w:rPr>
            <w:rStyle w:val="Hyperlink"/>
            <w:rFonts w:hint="eastAsia"/>
            <w:noProof/>
            <w:rtl/>
          </w:rPr>
          <w:t>د</w:t>
        </w:r>
        <w:r w:rsidR="00537185">
          <w:rPr>
            <w:rStyle w:val="Hyperlink"/>
            <w:noProof/>
            <w:rtl/>
          </w:rPr>
          <w:t xml:space="preserve"> </w:t>
        </w:r>
        <w:r w:rsidR="00537185">
          <w:rPr>
            <w:rStyle w:val="Hyperlink"/>
            <w:rFonts w:hint="eastAsia"/>
            <w:noProof/>
            <w:rtl/>
          </w:rPr>
          <w:t>صدر</w:t>
        </w:r>
        <w:r w:rsidR="00537185">
          <w:rPr>
            <w:rStyle w:val="Hyperlink"/>
            <w:noProof/>
            <w:rtl/>
          </w:rPr>
          <w:t xml:space="preserve"> </w:t>
        </w:r>
        <w:r w:rsidR="00537185">
          <w:rPr>
            <w:rStyle w:val="Hyperlink"/>
            <w:rFonts w:hint="eastAsia"/>
            <w:noProof/>
            <w:rtl/>
          </w:rPr>
          <w:t>رحمه</w:t>
        </w:r>
        <w:r w:rsidR="00537185">
          <w:rPr>
            <w:rStyle w:val="Hyperlink"/>
            <w:noProof/>
            <w:rtl/>
          </w:rPr>
          <w:t xml:space="preserve"> </w:t>
        </w:r>
        <w:r w:rsidR="00537185">
          <w:rPr>
            <w:rStyle w:val="Hyperlink"/>
            <w:rFonts w:hint="eastAsia"/>
            <w:noProof/>
            <w:rtl/>
          </w:rPr>
          <w:t>الله</w:t>
        </w:r>
        <w:r w:rsidR="00537185">
          <w:rPr>
            <w:rStyle w:val="Hyperlink"/>
            <w:noProof/>
            <w:rtl/>
          </w:rPr>
          <w:t xml:space="preserve"> </w:t>
        </w:r>
        <w:r w:rsidR="00537185">
          <w:rPr>
            <w:rStyle w:val="Hyperlink"/>
            <w:rFonts w:hint="eastAsia"/>
            <w:noProof/>
            <w:rtl/>
          </w:rPr>
          <w:t>به</w:t>
        </w:r>
        <w:r w:rsidR="00537185">
          <w:rPr>
            <w:rStyle w:val="Hyperlink"/>
            <w:noProof/>
            <w:rtl/>
          </w:rPr>
          <w:t xml:space="preserve"> </w:t>
        </w:r>
        <w:r w:rsidR="00537185">
          <w:rPr>
            <w:rStyle w:val="Hyperlink"/>
            <w:rFonts w:hint="eastAsia"/>
            <w:noProof/>
            <w:rtl/>
          </w:rPr>
          <w:t>کلام</w:t>
        </w:r>
        <w:r w:rsidR="00537185">
          <w:rPr>
            <w:rStyle w:val="Hyperlink"/>
            <w:noProof/>
            <w:rtl/>
          </w:rPr>
          <w:t xml:space="preserve"> </w:t>
        </w:r>
        <w:r w:rsidR="00537185">
          <w:rPr>
            <w:rStyle w:val="Hyperlink"/>
            <w:rFonts w:hint="eastAsia"/>
            <w:noProof/>
            <w:rtl/>
          </w:rPr>
          <w:t>محقق</w:t>
        </w:r>
        <w:r w:rsidR="00537185">
          <w:rPr>
            <w:rStyle w:val="Hyperlink"/>
            <w:noProof/>
            <w:rtl/>
          </w:rPr>
          <w:t xml:space="preserve"> </w:t>
        </w:r>
        <w:r w:rsidR="00537185">
          <w:rPr>
            <w:rStyle w:val="Hyperlink"/>
            <w:rFonts w:hint="eastAsia"/>
            <w:noProof/>
            <w:rtl/>
          </w:rPr>
          <w:t>عراق</w:t>
        </w:r>
        <w:r w:rsidR="00537185">
          <w:rPr>
            <w:rStyle w:val="Hyperlink"/>
            <w:rFonts w:hint="cs"/>
            <w:noProof/>
            <w:rtl/>
          </w:rPr>
          <w:t>ی</w:t>
        </w:r>
        <w:r w:rsidR="00537185">
          <w:rPr>
            <w:rStyle w:val="Hyperlink"/>
            <w:noProof/>
            <w:rtl/>
          </w:rPr>
          <w:t xml:space="preserve"> </w:t>
        </w:r>
        <w:r w:rsidR="00537185">
          <w:rPr>
            <w:rStyle w:val="Hyperlink"/>
            <w:rFonts w:hint="eastAsia"/>
            <w:noProof/>
            <w:rtl/>
          </w:rPr>
          <w:t>رحمه</w:t>
        </w:r>
        <w:r w:rsidR="00537185">
          <w:rPr>
            <w:rStyle w:val="Hyperlink"/>
            <w:noProof/>
            <w:rtl/>
          </w:rPr>
          <w:t xml:space="preserve"> </w:t>
        </w:r>
        <w:r w:rsidR="00537185">
          <w:rPr>
            <w:rStyle w:val="Hyperlink"/>
            <w:rFonts w:hint="eastAsia"/>
            <w:noProof/>
            <w:rtl/>
          </w:rPr>
          <w:t>الله</w:t>
        </w:r>
        <w:r w:rsidR="00537185">
          <w:rPr>
            <w:noProof/>
            <w:webHidden/>
          </w:rPr>
          <w:tab/>
        </w:r>
        <w:r w:rsidR="00537185">
          <w:rPr>
            <w:noProof/>
            <w:webHidden/>
          </w:rPr>
          <w:fldChar w:fldCharType="begin"/>
        </w:r>
        <w:r w:rsidR="00537185">
          <w:rPr>
            <w:noProof/>
            <w:webHidden/>
          </w:rPr>
          <w:instrText xml:space="preserve"> PAGEREF _Toc120523331 \h </w:instrText>
        </w:r>
        <w:r w:rsidR="00537185">
          <w:rPr>
            <w:noProof/>
            <w:webHidden/>
          </w:rPr>
        </w:r>
        <w:r w:rsidR="00537185">
          <w:rPr>
            <w:noProof/>
            <w:webHidden/>
          </w:rPr>
          <w:fldChar w:fldCharType="separate"/>
        </w:r>
        <w:r w:rsidR="0098695E">
          <w:rPr>
            <w:noProof/>
            <w:webHidden/>
            <w:rtl/>
          </w:rPr>
          <w:t>4</w:t>
        </w:r>
        <w:r w:rsidR="00537185">
          <w:rPr>
            <w:noProof/>
            <w:webHidden/>
          </w:rPr>
          <w:fldChar w:fldCharType="end"/>
        </w:r>
      </w:hyperlink>
    </w:p>
    <w:p w:rsidR="00A838A6" w:rsidRDefault="00434048">
      <w:pPr>
        <w:pStyle w:val="TOC1"/>
        <w:tabs>
          <w:tab w:val="right" w:leader="dot" w:pos="9350"/>
        </w:tabs>
        <w:rPr>
          <w:rFonts w:eastAsia="SimSun" w:cs="Arial"/>
          <w:noProof/>
          <w:szCs w:val="22"/>
          <w:lang w:bidi="ar-SA"/>
        </w:rPr>
      </w:pPr>
      <w:hyperlink w:anchor="_Toc120523332" w:history="1">
        <w:r w:rsidR="00537185">
          <w:rPr>
            <w:rStyle w:val="Hyperlink"/>
            <w:rFonts w:hint="eastAsia"/>
            <w:noProof/>
            <w:rtl/>
          </w:rPr>
          <w:t>وجه</w:t>
        </w:r>
        <w:r w:rsidR="00537185">
          <w:rPr>
            <w:rStyle w:val="Hyperlink"/>
            <w:noProof/>
            <w:rtl/>
          </w:rPr>
          <w:t xml:space="preserve"> </w:t>
        </w:r>
        <w:r w:rsidR="00537185">
          <w:rPr>
            <w:rStyle w:val="Hyperlink"/>
            <w:rFonts w:hint="eastAsia"/>
            <w:noProof/>
            <w:rtl/>
          </w:rPr>
          <w:t>سوم</w:t>
        </w:r>
        <w:r w:rsidR="00537185">
          <w:rPr>
            <w:rStyle w:val="Hyperlink"/>
            <w:noProof/>
            <w:rtl/>
          </w:rPr>
          <w:t xml:space="preserve">: </w:t>
        </w:r>
        <w:r w:rsidR="00537185">
          <w:rPr>
            <w:rStyle w:val="Hyperlink"/>
            <w:rFonts w:hint="eastAsia"/>
            <w:noProof/>
            <w:rtl/>
          </w:rPr>
          <w:t>قصور</w:t>
        </w:r>
        <w:r w:rsidR="00537185">
          <w:rPr>
            <w:rStyle w:val="Hyperlink"/>
            <w:noProof/>
            <w:rtl/>
          </w:rPr>
          <w:t xml:space="preserve"> </w:t>
        </w:r>
        <w:r w:rsidR="00537185">
          <w:rPr>
            <w:rStyle w:val="Hyperlink"/>
            <w:rFonts w:hint="eastAsia"/>
            <w:noProof/>
            <w:rtl/>
          </w:rPr>
          <w:t>مقتض</w:t>
        </w:r>
        <w:r w:rsidR="00537185">
          <w:rPr>
            <w:rStyle w:val="Hyperlink"/>
            <w:rFonts w:hint="cs"/>
            <w:noProof/>
            <w:rtl/>
          </w:rPr>
          <w:t>ی</w:t>
        </w:r>
        <w:r w:rsidR="00537185">
          <w:rPr>
            <w:rStyle w:val="Hyperlink"/>
            <w:noProof/>
            <w:rtl/>
          </w:rPr>
          <w:t xml:space="preserve"> </w:t>
        </w:r>
        <w:r w:rsidR="00537185">
          <w:rPr>
            <w:rStyle w:val="Hyperlink"/>
            <w:rFonts w:hint="eastAsia"/>
            <w:noProof/>
            <w:rtl/>
          </w:rPr>
          <w:t>حج</w:t>
        </w:r>
        <w:r w:rsidR="00537185">
          <w:rPr>
            <w:rStyle w:val="Hyperlink"/>
            <w:rFonts w:hint="cs"/>
            <w:noProof/>
            <w:rtl/>
          </w:rPr>
          <w:t>ی</w:t>
        </w:r>
        <w:r w:rsidR="00537185">
          <w:rPr>
            <w:rStyle w:val="Hyperlink"/>
            <w:rFonts w:hint="eastAsia"/>
            <w:noProof/>
            <w:rtl/>
          </w:rPr>
          <w:t>ت</w:t>
        </w:r>
        <w:r w:rsidR="00537185">
          <w:rPr>
            <w:noProof/>
            <w:webHidden/>
          </w:rPr>
          <w:tab/>
        </w:r>
        <w:r w:rsidR="00537185">
          <w:rPr>
            <w:noProof/>
            <w:webHidden/>
          </w:rPr>
          <w:fldChar w:fldCharType="begin"/>
        </w:r>
        <w:r w:rsidR="00537185">
          <w:rPr>
            <w:noProof/>
            <w:webHidden/>
          </w:rPr>
          <w:instrText xml:space="preserve"> PAGEREF _Toc120523332 \h </w:instrText>
        </w:r>
        <w:r w:rsidR="00537185">
          <w:rPr>
            <w:noProof/>
            <w:webHidden/>
          </w:rPr>
        </w:r>
        <w:r w:rsidR="00537185">
          <w:rPr>
            <w:noProof/>
            <w:webHidden/>
          </w:rPr>
          <w:fldChar w:fldCharType="separate"/>
        </w:r>
        <w:r w:rsidR="0098695E">
          <w:rPr>
            <w:noProof/>
            <w:webHidden/>
            <w:rtl/>
          </w:rPr>
          <w:t>5</w:t>
        </w:r>
        <w:r w:rsidR="00537185">
          <w:rPr>
            <w:noProof/>
            <w:webHidden/>
          </w:rPr>
          <w:fldChar w:fldCharType="end"/>
        </w:r>
      </w:hyperlink>
    </w:p>
    <w:p w:rsidR="00A838A6" w:rsidRDefault="00434048">
      <w:pPr>
        <w:pStyle w:val="TOC2"/>
        <w:tabs>
          <w:tab w:val="right" w:leader="dot" w:pos="9350"/>
        </w:tabs>
        <w:rPr>
          <w:rFonts w:eastAsia="SimSun" w:cs="Arial"/>
          <w:noProof/>
          <w:szCs w:val="22"/>
          <w:lang w:bidi="ar-SA"/>
        </w:rPr>
      </w:pPr>
      <w:hyperlink w:anchor="_Toc120523333" w:history="1">
        <w:r w:rsidR="00537185">
          <w:rPr>
            <w:rStyle w:val="Hyperlink"/>
            <w:rFonts w:hint="eastAsia"/>
            <w:noProof/>
            <w:rtl/>
          </w:rPr>
          <w:t>مراد</w:t>
        </w:r>
        <w:r w:rsidR="00537185">
          <w:rPr>
            <w:rStyle w:val="Hyperlink"/>
            <w:noProof/>
            <w:rtl/>
          </w:rPr>
          <w:t xml:space="preserve"> </w:t>
        </w:r>
        <w:r w:rsidR="00537185">
          <w:rPr>
            <w:rStyle w:val="Hyperlink"/>
            <w:rFonts w:hint="eastAsia"/>
            <w:noProof/>
            <w:rtl/>
          </w:rPr>
          <w:t>آخوند</w:t>
        </w:r>
        <w:r w:rsidR="00537185">
          <w:rPr>
            <w:rStyle w:val="Hyperlink"/>
            <w:noProof/>
            <w:rtl/>
          </w:rPr>
          <w:t xml:space="preserve"> </w:t>
        </w:r>
        <w:r w:rsidR="00537185">
          <w:rPr>
            <w:rStyle w:val="Hyperlink"/>
            <w:rFonts w:hint="eastAsia"/>
            <w:noProof/>
            <w:rtl/>
          </w:rPr>
          <w:t>از</w:t>
        </w:r>
        <w:r w:rsidR="00537185">
          <w:rPr>
            <w:rStyle w:val="Hyperlink"/>
            <w:noProof/>
            <w:rtl/>
          </w:rPr>
          <w:t xml:space="preserve"> «</w:t>
        </w:r>
        <w:r w:rsidR="00537185">
          <w:rPr>
            <w:rStyle w:val="Hyperlink"/>
            <w:rFonts w:hint="eastAsia"/>
            <w:noProof/>
            <w:rtl/>
          </w:rPr>
          <w:t>در</w:t>
        </w:r>
        <w:r w:rsidR="00537185">
          <w:rPr>
            <w:rStyle w:val="Hyperlink"/>
            <w:noProof/>
            <w:rtl/>
          </w:rPr>
          <w:t xml:space="preserve"> </w:t>
        </w:r>
        <w:r w:rsidR="00537185">
          <w:rPr>
            <w:rStyle w:val="Hyperlink"/>
            <w:rFonts w:hint="eastAsia"/>
            <w:noProof/>
            <w:rtl/>
          </w:rPr>
          <w:t>معرض</w:t>
        </w:r>
        <w:r w:rsidR="00537185">
          <w:rPr>
            <w:rStyle w:val="Hyperlink"/>
            <w:noProof/>
            <w:rtl/>
          </w:rPr>
          <w:t xml:space="preserve"> </w:t>
        </w:r>
        <w:r w:rsidR="00537185">
          <w:rPr>
            <w:rStyle w:val="Hyperlink"/>
            <w:rFonts w:hint="eastAsia"/>
            <w:noProof/>
            <w:rtl/>
          </w:rPr>
          <w:t>تخص</w:t>
        </w:r>
        <w:r w:rsidR="00537185">
          <w:rPr>
            <w:rStyle w:val="Hyperlink"/>
            <w:rFonts w:hint="cs"/>
            <w:noProof/>
            <w:rtl/>
          </w:rPr>
          <w:t>ی</w:t>
        </w:r>
        <w:r w:rsidR="00537185">
          <w:rPr>
            <w:rStyle w:val="Hyperlink"/>
            <w:rFonts w:hint="eastAsia"/>
            <w:noProof/>
            <w:rtl/>
          </w:rPr>
          <w:t>ص</w:t>
        </w:r>
        <w:r w:rsidR="00537185">
          <w:rPr>
            <w:rStyle w:val="Hyperlink"/>
            <w:noProof/>
            <w:rtl/>
          </w:rPr>
          <w:t xml:space="preserve"> </w:t>
        </w:r>
        <w:r w:rsidR="00537185">
          <w:rPr>
            <w:rStyle w:val="Hyperlink"/>
            <w:rFonts w:hint="eastAsia"/>
            <w:noProof/>
            <w:rtl/>
          </w:rPr>
          <w:t>بودن</w:t>
        </w:r>
        <w:r w:rsidR="00537185">
          <w:rPr>
            <w:rStyle w:val="Hyperlink"/>
            <w:noProof/>
            <w:rtl/>
          </w:rPr>
          <w:t xml:space="preserve"> </w:t>
        </w:r>
        <w:r w:rsidR="00537185">
          <w:rPr>
            <w:rStyle w:val="Hyperlink"/>
            <w:rFonts w:hint="eastAsia"/>
            <w:noProof/>
            <w:rtl/>
          </w:rPr>
          <w:t>عمومات»</w:t>
        </w:r>
        <w:r w:rsidR="00537185">
          <w:rPr>
            <w:noProof/>
            <w:webHidden/>
          </w:rPr>
          <w:tab/>
        </w:r>
        <w:r w:rsidR="00537185">
          <w:rPr>
            <w:noProof/>
            <w:webHidden/>
          </w:rPr>
          <w:fldChar w:fldCharType="begin"/>
        </w:r>
        <w:r w:rsidR="00537185">
          <w:rPr>
            <w:noProof/>
            <w:webHidden/>
          </w:rPr>
          <w:instrText xml:space="preserve"> PAGEREF _Toc120523333 \h </w:instrText>
        </w:r>
        <w:r w:rsidR="00537185">
          <w:rPr>
            <w:noProof/>
            <w:webHidden/>
          </w:rPr>
        </w:r>
        <w:r w:rsidR="00537185">
          <w:rPr>
            <w:noProof/>
            <w:webHidden/>
          </w:rPr>
          <w:fldChar w:fldCharType="separate"/>
        </w:r>
        <w:r w:rsidR="0098695E">
          <w:rPr>
            <w:noProof/>
            <w:webHidden/>
            <w:rtl/>
          </w:rPr>
          <w:t>5</w:t>
        </w:r>
        <w:r w:rsidR="00537185">
          <w:rPr>
            <w:noProof/>
            <w:webHidden/>
          </w:rPr>
          <w:fldChar w:fldCharType="end"/>
        </w:r>
      </w:hyperlink>
    </w:p>
    <w:p w:rsidR="00A838A6" w:rsidRDefault="00434048">
      <w:pPr>
        <w:pStyle w:val="TOC2"/>
        <w:tabs>
          <w:tab w:val="right" w:leader="dot" w:pos="9350"/>
        </w:tabs>
        <w:rPr>
          <w:rFonts w:eastAsia="SimSun" w:cs="Arial"/>
          <w:noProof/>
          <w:szCs w:val="22"/>
          <w:lang w:bidi="ar-SA"/>
        </w:rPr>
      </w:pPr>
      <w:hyperlink w:anchor="_Toc120523334" w:history="1">
        <w:r w:rsidR="00537185">
          <w:rPr>
            <w:rStyle w:val="Hyperlink"/>
            <w:rFonts w:hint="eastAsia"/>
            <w:noProof/>
            <w:rtl/>
          </w:rPr>
          <w:t>احتمال</w:t>
        </w:r>
        <w:r w:rsidR="00537185">
          <w:rPr>
            <w:rStyle w:val="Hyperlink"/>
            <w:noProof/>
            <w:rtl/>
          </w:rPr>
          <w:t xml:space="preserve"> </w:t>
        </w:r>
        <w:r w:rsidR="00537185">
          <w:rPr>
            <w:rStyle w:val="Hyperlink"/>
            <w:rFonts w:hint="eastAsia"/>
            <w:noProof/>
            <w:rtl/>
          </w:rPr>
          <w:t>اول</w:t>
        </w:r>
        <w:r w:rsidR="00537185">
          <w:rPr>
            <w:rStyle w:val="Hyperlink"/>
            <w:noProof/>
            <w:rtl/>
          </w:rPr>
          <w:t xml:space="preserve">: </w:t>
        </w:r>
        <w:r w:rsidR="00537185">
          <w:rPr>
            <w:rStyle w:val="Hyperlink"/>
            <w:rFonts w:hint="eastAsia"/>
            <w:noProof/>
            <w:rtl/>
          </w:rPr>
          <w:t>المعرض</w:t>
        </w:r>
        <w:r w:rsidR="00537185">
          <w:rPr>
            <w:rStyle w:val="Hyperlink"/>
            <w:rFonts w:hint="cs"/>
            <w:noProof/>
            <w:rtl/>
          </w:rPr>
          <w:t>ی</w:t>
        </w:r>
        <w:r w:rsidR="00537185">
          <w:rPr>
            <w:rStyle w:val="Hyperlink"/>
            <w:rFonts w:hint="eastAsia"/>
            <w:noProof/>
            <w:rtl/>
          </w:rPr>
          <w:t>ة</w:t>
        </w:r>
        <w:r w:rsidR="00537185">
          <w:rPr>
            <w:rStyle w:val="Hyperlink"/>
            <w:noProof/>
            <w:rtl/>
          </w:rPr>
          <w:t xml:space="preserve"> </w:t>
        </w:r>
        <w:r w:rsidR="00537185">
          <w:rPr>
            <w:rStyle w:val="Hyperlink"/>
            <w:rFonts w:hint="eastAsia"/>
            <w:noProof/>
            <w:rtl/>
          </w:rPr>
          <w:t>بمعن</w:t>
        </w:r>
        <w:r w:rsidR="00537185">
          <w:rPr>
            <w:rStyle w:val="Hyperlink"/>
            <w:rFonts w:hint="cs"/>
            <w:noProof/>
            <w:rtl/>
          </w:rPr>
          <w:t>ی</w:t>
        </w:r>
        <w:r w:rsidR="00537185">
          <w:rPr>
            <w:rStyle w:val="Hyperlink"/>
            <w:noProof/>
            <w:rtl/>
          </w:rPr>
          <w:t xml:space="preserve"> </w:t>
        </w:r>
        <w:r w:rsidR="00537185">
          <w:rPr>
            <w:rStyle w:val="Hyperlink"/>
            <w:rFonts w:hint="eastAsia"/>
            <w:noProof/>
            <w:rtl/>
          </w:rPr>
          <w:t>الاحتمال</w:t>
        </w:r>
        <w:r w:rsidR="00537185">
          <w:rPr>
            <w:rStyle w:val="Hyperlink"/>
            <w:noProof/>
            <w:rtl/>
          </w:rPr>
          <w:t xml:space="preserve"> </w:t>
        </w:r>
        <w:r w:rsidR="00537185">
          <w:rPr>
            <w:rStyle w:val="Hyperlink"/>
            <w:rFonts w:hint="eastAsia"/>
            <w:noProof/>
            <w:rtl/>
          </w:rPr>
          <w:t>العقلائ</w:t>
        </w:r>
        <w:r w:rsidR="00537185">
          <w:rPr>
            <w:rStyle w:val="Hyperlink"/>
            <w:rFonts w:hint="cs"/>
            <w:noProof/>
            <w:rtl/>
          </w:rPr>
          <w:t>ی</w:t>
        </w:r>
        <w:r w:rsidR="00537185">
          <w:rPr>
            <w:noProof/>
            <w:webHidden/>
          </w:rPr>
          <w:tab/>
        </w:r>
        <w:r w:rsidR="00537185">
          <w:rPr>
            <w:noProof/>
            <w:webHidden/>
          </w:rPr>
          <w:fldChar w:fldCharType="begin"/>
        </w:r>
        <w:r w:rsidR="00537185">
          <w:rPr>
            <w:noProof/>
            <w:webHidden/>
          </w:rPr>
          <w:instrText xml:space="preserve"> PAGEREF _Toc120523334 \h </w:instrText>
        </w:r>
        <w:r w:rsidR="00537185">
          <w:rPr>
            <w:noProof/>
            <w:webHidden/>
          </w:rPr>
        </w:r>
        <w:r w:rsidR="00537185">
          <w:rPr>
            <w:noProof/>
            <w:webHidden/>
          </w:rPr>
          <w:fldChar w:fldCharType="separate"/>
        </w:r>
        <w:r w:rsidR="0098695E">
          <w:rPr>
            <w:noProof/>
            <w:webHidden/>
            <w:rtl/>
          </w:rPr>
          <w:t>5</w:t>
        </w:r>
        <w:r w:rsidR="00537185">
          <w:rPr>
            <w:noProof/>
            <w:webHidden/>
          </w:rPr>
          <w:fldChar w:fldCharType="end"/>
        </w:r>
      </w:hyperlink>
    </w:p>
    <w:bookmarkStart w:id="2" w:name="_GoBack"/>
    <w:bookmarkEnd w:id="2"/>
    <w:p w:rsidR="00A838A6" w:rsidRDefault="00434048">
      <w:pPr>
        <w:pStyle w:val="TOC2"/>
        <w:tabs>
          <w:tab w:val="right" w:leader="dot" w:pos="9350"/>
        </w:tabs>
        <w:rPr>
          <w:rFonts w:eastAsia="SimSun" w:cs="Arial"/>
          <w:noProof/>
          <w:szCs w:val="22"/>
          <w:lang w:bidi="ar-SA"/>
        </w:rPr>
      </w:pPr>
      <w:r>
        <w:fldChar w:fldCharType="begin"/>
      </w:r>
      <w:r>
        <w:instrText xml:space="preserve"> HYPERLINK \l "_Toc120523336" </w:instrText>
      </w:r>
      <w:r>
        <w:fldChar w:fldCharType="separate"/>
      </w:r>
      <w:r w:rsidR="00537185">
        <w:rPr>
          <w:rStyle w:val="Hyperlink"/>
          <w:rFonts w:hint="eastAsia"/>
          <w:noProof/>
          <w:rtl/>
        </w:rPr>
        <w:t>بررس</w:t>
      </w:r>
      <w:r w:rsidR="00537185">
        <w:rPr>
          <w:rStyle w:val="Hyperlink"/>
          <w:rFonts w:hint="cs"/>
          <w:noProof/>
          <w:rtl/>
        </w:rPr>
        <w:t>ی</w:t>
      </w:r>
      <w:r w:rsidR="00537185">
        <w:rPr>
          <w:rStyle w:val="Hyperlink"/>
          <w:noProof/>
          <w:rtl/>
        </w:rPr>
        <w:t xml:space="preserve"> </w:t>
      </w:r>
      <w:r w:rsidR="00537185">
        <w:rPr>
          <w:rStyle w:val="Hyperlink"/>
          <w:rFonts w:hint="eastAsia"/>
          <w:noProof/>
          <w:rtl/>
        </w:rPr>
        <w:t>احتمال</w:t>
      </w:r>
      <w:r w:rsidR="00537185">
        <w:rPr>
          <w:rStyle w:val="Hyperlink"/>
          <w:noProof/>
          <w:rtl/>
        </w:rPr>
        <w:t xml:space="preserve"> </w:t>
      </w:r>
      <w:r w:rsidR="00537185">
        <w:rPr>
          <w:rStyle w:val="Hyperlink"/>
          <w:rFonts w:hint="eastAsia"/>
          <w:noProof/>
          <w:rtl/>
        </w:rPr>
        <w:t>اول</w:t>
      </w:r>
      <w:r w:rsidR="00537185">
        <w:rPr>
          <w:noProof/>
          <w:webHidden/>
        </w:rPr>
        <w:tab/>
      </w:r>
      <w:r w:rsidR="00537185">
        <w:rPr>
          <w:noProof/>
          <w:webHidden/>
        </w:rPr>
        <w:fldChar w:fldCharType="begin"/>
      </w:r>
      <w:r w:rsidR="00537185">
        <w:rPr>
          <w:noProof/>
          <w:webHidden/>
        </w:rPr>
        <w:instrText xml:space="preserve"> PAGEREF _Toc120523336 \h </w:instrText>
      </w:r>
      <w:r w:rsidR="00537185">
        <w:rPr>
          <w:noProof/>
          <w:webHidden/>
        </w:rPr>
      </w:r>
      <w:r w:rsidR="00537185">
        <w:rPr>
          <w:noProof/>
          <w:webHidden/>
        </w:rPr>
        <w:fldChar w:fldCharType="separate"/>
      </w:r>
      <w:r w:rsidR="0098695E">
        <w:rPr>
          <w:noProof/>
          <w:webHidden/>
          <w:rtl/>
        </w:rPr>
        <w:t>6</w:t>
      </w:r>
      <w:r w:rsidR="00537185">
        <w:rPr>
          <w:noProof/>
          <w:webHidden/>
        </w:rPr>
        <w:fldChar w:fldCharType="end"/>
      </w:r>
      <w:r>
        <w:rPr>
          <w:noProof/>
        </w:rPr>
        <w:fldChar w:fldCharType="end"/>
      </w:r>
    </w:p>
    <w:p w:rsidR="00A838A6" w:rsidRDefault="00434048">
      <w:pPr>
        <w:pStyle w:val="TOC2"/>
        <w:tabs>
          <w:tab w:val="right" w:leader="dot" w:pos="9350"/>
        </w:tabs>
        <w:rPr>
          <w:rFonts w:eastAsia="SimSun" w:cs="Arial"/>
          <w:noProof/>
          <w:szCs w:val="22"/>
          <w:lang w:bidi="ar-SA"/>
        </w:rPr>
      </w:pPr>
      <w:hyperlink w:anchor="_Toc120523337" w:history="1">
        <w:r w:rsidR="00537185">
          <w:rPr>
            <w:rStyle w:val="Hyperlink"/>
            <w:rFonts w:hint="eastAsia"/>
            <w:noProof/>
            <w:rtl/>
          </w:rPr>
          <w:t>احتمال</w:t>
        </w:r>
        <w:r w:rsidR="00537185">
          <w:rPr>
            <w:rStyle w:val="Hyperlink"/>
            <w:noProof/>
            <w:rtl/>
          </w:rPr>
          <w:t xml:space="preserve"> </w:t>
        </w:r>
        <w:r w:rsidR="00537185">
          <w:rPr>
            <w:rStyle w:val="Hyperlink"/>
            <w:rFonts w:hint="eastAsia"/>
            <w:noProof/>
            <w:rtl/>
          </w:rPr>
          <w:t>دوم</w:t>
        </w:r>
        <w:r w:rsidR="00537185">
          <w:rPr>
            <w:rStyle w:val="Hyperlink"/>
            <w:noProof/>
            <w:rtl/>
          </w:rPr>
          <w:t xml:space="preserve">: </w:t>
        </w:r>
        <w:r w:rsidR="00537185">
          <w:rPr>
            <w:rStyle w:val="Hyperlink"/>
            <w:rFonts w:hint="eastAsia"/>
            <w:noProof/>
            <w:rtl/>
          </w:rPr>
          <w:t>کلام</w:t>
        </w:r>
        <w:r w:rsidR="00537185">
          <w:rPr>
            <w:rStyle w:val="Hyperlink"/>
            <w:noProof/>
            <w:rtl/>
          </w:rPr>
          <w:t xml:space="preserve"> </w:t>
        </w:r>
        <w:r w:rsidR="00537185">
          <w:rPr>
            <w:rStyle w:val="Hyperlink"/>
            <w:rFonts w:hint="eastAsia"/>
            <w:noProof/>
            <w:rtl/>
          </w:rPr>
          <w:t>محقق</w:t>
        </w:r>
        <w:r w:rsidR="00537185">
          <w:rPr>
            <w:rStyle w:val="Hyperlink"/>
            <w:noProof/>
            <w:rtl/>
          </w:rPr>
          <w:t xml:space="preserve"> </w:t>
        </w:r>
        <w:r w:rsidR="00537185">
          <w:rPr>
            <w:rStyle w:val="Hyperlink"/>
            <w:rFonts w:hint="eastAsia"/>
            <w:noProof/>
            <w:rtl/>
          </w:rPr>
          <w:t>بروجرد</w:t>
        </w:r>
        <w:r w:rsidR="00537185">
          <w:rPr>
            <w:rStyle w:val="Hyperlink"/>
            <w:rFonts w:hint="cs"/>
            <w:noProof/>
            <w:rtl/>
          </w:rPr>
          <w:t>ی</w:t>
        </w:r>
        <w:r w:rsidR="00537185">
          <w:rPr>
            <w:rStyle w:val="Hyperlink"/>
            <w:noProof/>
            <w:rtl/>
          </w:rPr>
          <w:t xml:space="preserve"> </w:t>
        </w:r>
        <w:r w:rsidR="00537185">
          <w:rPr>
            <w:rStyle w:val="Hyperlink"/>
            <w:rFonts w:hint="eastAsia"/>
            <w:noProof/>
            <w:rtl/>
          </w:rPr>
          <w:t>رحمه</w:t>
        </w:r>
        <w:r w:rsidR="00537185">
          <w:rPr>
            <w:rStyle w:val="Hyperlink"/>
            <w:noProof/>
            <w:rtl/>
          </w:rPr>
          <w:t xml:space="preserve"> </w:t>
        </w:r>
        <w:r w:rsidR="00537185">
          <w:rPr>
            <w:rStyle w:val="Hyperlink"/>
            <w:rFonts w:hint="eastAsia"/>
            <w:noProof/>
            <w:rtl/>
          </w:rPr>
          <w:t>الله</w:t>
        </w:r>
        <w:r w:rsidR="00537185">
          <w:rPr>
            <w:noProof/>
            <w:webHidden/>
          </w:rPr>
          <w:tab/>
        </w:r>
        <w:r w:rsidR="00537185">
          <w:rPr>
            <w:noProof/>
            <w:webHidden/>
          </w:rPr>
          <w:fldChar w:fldCharType="begin"/>
        </w:r>
        <w:r w:rsidR="00537185">
          <w:rPr>
            <w:noProof/>
            <w:webHidden/>
          </w:rPr>
          <w:instrText xml:space="preserve"> PAGEREF _Toc120523337 \h </w:instrText>
        </w:r>
        <w:r w:rsidR="00537185">
          <w:rPr>
            <w:noProof/>
            <w:webHidden/>
          </w:rPr>
        </w:r>
        <w:r w:rsidR="00537185">
          <w:rPr>
            <w:noProof/>
            <w:webHidden/>
          </w:rPr>
          <w:fldChar w:fldCharType="separate"/>
        </w:r>
        <w:r w:rsidR="0098695E">
          <w:rPr>
            <w:noProof/>
            <w:webHidden/>
            <w:rtl/>
          </w:rPr>
          <w:t>6</w:t>
        </w:r>
        <w:r w:rsidR="00537185">
          <w:rPr>
            <w:noProof/>
            <w:webHidden/>
          </w:rPr>
          <w:fldChar w:fldCharType="end"/>
        </w:r>
      </w:hyperlink>
    </w:p>
    <w:p w:rsidR="00A838A6" w:rsidRDefault="00434048">
      <w:pPr>
        <w:pStyle w:val="TOC2"/>
        <w:tabs>
          <w:tab w:val="right" w:leader="dot" w:pos="9350"/>
        </w:tabs>
        <w:rPr>
          <w:rFonts w:eastAsia="SimSun" w:cs="Arial"/>
          <w:noProof/>
          <w:szCs w:val="22"/>
          <w:lang w:bidi="ar-SA"/>
        </w:rPr>
      </w:pPr>
      <w:hyperlink w:anchor="_Toc120523338" w:history="1">
        <w:r w:rsidR="00537185">
          <w:rPr>
            <w:rStyle w:val="Hyperlink"/>
            <w:rFonts w:hint="eastAsia"/>
            <w:noProof/>
            <w:rtl/>
          </w:rPr>
          <w:t>بررس</w:t>
        </w:r>
        <w:r w:rsidR="00537185">
          <w:rPr>
            <w:rStyle w:val="Hyperlink"/>
            <w:rFonts w:hint="cs"/>
            <w:noProof/>
            <w:rtl/>
          </w:rPr>
          <w:t>ی</w:t>
        </w:r>
        <w:r w:rsidR="00537185">
          <w:rPr>
            <w:rStyle w:val="Hyperlink"/>
            <w:noProof/>
            <w:rtl/>
          </w:rPr>
          <w:t xml:space="preserve"> </w:t>
        </w:r>
        <w:r w:rsidR="00537185">
          <w:rPr>
            <w:rStyle w:val="Hyperlink"/>
            <w:rFonts w:hint="eastAsia"/>
            <w:noProof/>
            <w:rtl/>
          </w:rPr>
          <w:t>احتمال</w:t>
        </w:r>
        <w:r w:rsidR="00537185">
          <w:rPr>
            <w:rStyle w:val="Hyperlink"/>
            <w:noProof/>
            <w:rtl/>
          </w:rPr>
          <w:t xml:space="preserve"> </w:t>
        </w:r>
        <w:r w:rsidR="00537185">
          <w:rPr>
            <w:rStyle w:val="Hyperlink"/>
            <w:rFonts w:hint="eastAsia"/>
            <w:noProof/>
            <w:rtl/>
          </w:rPr>
          <w:t>دوم</w:t>
        </w:r>
        <w:r w:rsidR="00537185">
          <w:rPr>
            <w:noProof/>
            <w:webHidden/>
          </w:rPr>
          <w:tab/>
        </w:r>
        <w:r w:rsidR="00537185">
          <w:rPr>
            <w:noProof/>
            <w:webHidden/>
          </w:rPr>
          <w:fldChar w:fldCharType="begin"/>
        </w:r>
        <w:r w:rsidR="00537185">
          <w:rPr>
            <w:noProof/>
            <w:webHidden/>
          </w:rPr>
          <w:instrText xml:space="preserve"> PAGEREF _Toc120523338 \h </w:instrText>
        </w:r>
        <w:r w:rsidR="00537185">
          <w:rPr>
            <w:noProof/>
            <w:webHidden/>
          </w:rPr>
        </w:r>
        <w:r w:rsidR="00537185">
          <w:rPr>
            <w:noProof/>
            <w:webHidden/>
          </w:rPr>
          <w:fldChar w:fldCharType="separate"/>
        </w:r>
        <w:r w:rsidR="0098695E">
          <w:rPr>
            <w:noProof/>
            <w:webHidden/>
            <w:rtl/>
          </w:rPr>
          <w:t>6</w:t>
        </w:r>
        <w:r w:rsidR="00537185">
          <w:rPr>
            <w:noProof/>
            <w:webHidden/>
          </w:rPr>
          <w:fldChar w:fldCharType="end"/>
        </w:r>
      </w:hyperlink>
    </w:p>
    <w:p w:rsidR="00A838A6" w:rsidRDefault="00434048">
      <w:pPr>
        <w:pStyle w:val="TOC2"/>
        <w:tabs>
          <w:tab w:val="right" w:leader="dot" w:pos="9350"/>
        </w:tabs>
        <w:rPr>
          <w:rFonts w:eastAsia="SimSun" w:cs="Arial"/>
          <w:noProof/>
          <w:szCs w:val="22"/>
          <w:lang w:bidi="ar-SA"/>
        </w:rPr>
      </w:pPr>
      <w:hyperlink w:anchor="_Toc120523339" w:history="1">
        <w:r w:rsidR="00537185">
          <w:rPr>
            <w:rStyle w:val="Hyperlink"/>
            <w:rFonts w:hint="eastAsia"/>
            <w:noProof/>
            <w:rtl/>
          </w:rPr>
          <w:t>مساله</w:t>
        </w:r>
        <w:r w:rsidR="00537185">
          <w:rPr>
            <w:rStyle w:val="Hyperlink"/>
            <w:noProof/>
            <w:rtl/>
          </w:rPr>
          <w:t xml:space="preserve"> </w:t>
        </w:r>
        <w:r w:rsidR="00537185">
          <w:rPr>
            <w:rStyle w:val="Hyperlink"/>
            <w:rFonts w:hint="eastAsia"/>
            <w:noProof/>
            <w:rtl/>
          </w:rPr>
          <w:t>فقه</w:t>
        </w:r>
        <w:r w:rsidR="00537185">
          <w:rPr>
            <w:rStyle w:val="Hyperlink"/>
            <w:rFonts w:hint="cs"/>
            <w:noProof/>
            <w:rtl/>
          </w:rPr>
          <w:t>ی</w:t>
        </w:r>
        <w:r w:rsidR="00537185">
          <w:rPr>
            <w:rStyle w:val="Hyperlink"/>
            <w:noProof/>
            <w:rtl/>
          </w:rPr>
          <w:t xml:space="preserve">: </w:t>
        </w:r>
        <w:r w:rsidR="00537185">
          <w:rPr>
            <w:rStyle w:val="Hyperlink"/>
            <w:rFonts w:hint="eastAsia"/>
            <w:noProof/>
            <w:rtl/>
          </w:rPr>
          <w:t>ازدواج</w:t>
        </w:r>
        <w:r w:rsidR="00537185">
          <w:rPr>
            <w:rStyle w:val="Hyperlink"/>
            <w:noProof/>
            <w:rtl/>
          </w:rPr>
          <w:t xml:space="preserve"> </w:t>
        </w:r>
        <w:r w:rsidR="00537185">
          <w:rPr>
            <w:rStyle w:val="Hyperlink"/>
            <w:rFonts w:hint="eastAsia"/>
            <w:noProof/>
            <w:rtl/>
          </w:rPr>
          <w:t>با</w:t>
        </w:r>
        <w:r w:rsidR="00537185">
          <w:rPr>
            <w:rStyle w:val="Hyperlink"/>
            <w:noProof/>
            <w:rtl/>
          </w:rPr>
          <w:t xml:space="preserve"> </w:t>
        </w:r>
        <w:r w:rsidR="00537185">
          <w:rPr>
            <w:rStyle w:val="Hyperlink"/>
            <w:rFonts w:hint="eastAsia"/>
            <w:noProof/>
            <w:rtl/>
          </w:rPr>
          <w:t>زن</w:t>
        </w:r>
        <w:r w:rsidR="00537185">
          <w:rPr>
            <w:rStyle w:val="Hyperlink"/>
            <w:noProof/>
            <w:rtl/>
          </w:rPr>
          <w:t xml:space="preserve"> </w:t>
        </w:r>
        <w:r w:rsidR="00537185">
          <w:rPr>
            <w:rStyle w:val="Hyperlink"/>
            <w:rFonts w:hint="eastAsia"/>
            <w:noProof/>
            <w:rtl/>
          </w:rPr>
          <w:t>غ</w:t>
        </w:r>
        <w:r w:rsidR="00537185">
          <w:rPr>
            <w:rStyle w:val="Hyperlink"/>
            <w:rFonts w:hint="cs"/>
            <w:noProof/>
            <w:rtl/>
          </w:rPr>
          <w:t>ی</w:t>
        </w:r>
        <w:r w:rsidR="00537185">
          <w:rPr>
            <w:rStyle w:val="Hyperlink"/>
            <w:rFonts w:hint="eastAsia"/>
            <w:noProof/>
            <w:rtl/>
          </w:rPr>
          <w:t>ر</w:t>
        </w:r>
        <w:r w:rsidR="00537185">
          <w:rPr>
            <w:rStyle w:val="Hyperlink"/>
            <w:noProof/>
            <w:rtl/>
          </w:rPr>
          <w:t xml:space="preserve"> </w:t>
        </w:r>
        <w:r w:rsidR="00537185">
          <w:rPr>
            <w:rStyle w:val="Hyperlink"/>
            <w:rFonts w:hint="eastAsia"/>
            <w:noProof/>
            <w:rtl/>
          </w:rPr>
          <w:t>مسلمان</w:t>
        </w:r>
        <w:r w:rsidR="00537185">
          <w:rPr>
            <w:noProof/>
            <w:webHidden/>
          </w:rPr>
          <w:tab/>
        </w:r>
        <w:r w:rsidR="00537185">
          <w:rPr>
            <w:noProof/>
            <w:webHidden/>
          </w:rPr>
          <w:fldChar w:fldCharType="begin"/>
        </w:r>
        <w:r w:rsidR="00537185">
          <w:rPr>
            <w:noProof/>
            <w:webHidden/>
          </w:rPr>
          <w:instrText xml:space="preserve"> PAGEREF _Toc120523339 \h </w:instrText>
        </w:r>
        <w:r w:rsidR="00537185">
          <w:rPr>
            <w:noProof/>
            <w:webHidden/>
          </w:rPr>
        </w:r>
        <w:r w:rsidR="00537185">
          <w:rPr>
            <w:noProof/>
            <w:webHidden/>
          </w:rPr>
          <w:fldChar w:fldCharType="separate"/>
        </w:r>
        <w:r w:rsidR="0098695E">
          <w:rPr>
            <w:noProof/>
            <w:webHidden/>
            <w:rtl/>
          </w:rPr>
          <w:t>7</w:t>
        </w:r>
        <w:r w:rsidR="00537185">
          <w:rPr>
            <w:noProof/>
            <w:webHidden/>
          </w:rPr>
          <w:fldChar w:fldCharType="end"/>
        </w:r>
      </w:hyperlink>
    </w:p>
    <w:p w:rsidR="00A838A6" w:rsidRDefault="00537185">
      <w:r>
        <w:rPr>
          <w:b/>
          <w:bCs/>
          <w:noProof/>
        </w:rPr>
        <w:fldChar w:fldCharType="end"/>
      </w:r>
    </w:p>
    <w:p w:rsidR="00A838A6" w:rsidRDefault="00537185">
      <w:pPr>
        <w:pStyle w:val="Heading1"/>
        <w:rPr>
          <w:rtl/>
        </w:rPr>
      </w:pPr>
      <w:bookmarkStart w:id="3" w:name="_Toc120523327"/>
      <w:r>
        <w:rPr>
          <w:rFonts w:hint="cs"/>
          <w:rtl/>
        </w:rPr>
        <w:t>خلاصه جلسه گذشته</w:t>
      </w:r>
      <w:bookmarkEnd w:id="3"/>
    </w:p>
    <w:p w:rsidR="00A838A6" w:rsidRDefault="00537185">
      <w:pPr>
        <w:bidi w:val="0"/>
        <w:spacing w:after="0" w:line="240" w:lineRule="auto"/>
        <w:jc w:val="right"/>
        <w:rPr>
          <w:rFonts w:ascii="Times New Roman" w:hAnsi="Times New Roman" w:cs="Times New Roman"/>
          <w:sz w:val="24"/>
          <w:szCs w:val="24"/>
          <w:rtl/>
          <w:lang w:bidi="ar-SA"/>
        </w:rPr>
      </w:pPr>
      <w:r>
        <w:rPr>
          <w:rFonts w:hint="cs"/>
          <w:rtl/>
        </w:rPr>
        <w:t>بحث در جواب محقق عراقی رحمه الله از اشکال دوم بود که ایشان فرمودند: علم اجمالی به وجود مخصص نسبت به عمومات در کتب معتبره، به صرف علم تفصیلی به مقدار متیقن از مخصص منفصل منحل نمی شود مگر با فحص از جمیع روایات کتب معتبره. مثلا اگر علم اجمالی دارید به این که یا خطاب عام «اکرم کل عالم» تخصیص خورده به «لایجب اکرام زید العالم» و یا خطاب «اکرم کل هاشمی» تخصیص خورده به «لایجب اکرام عمرو الهاشمی» و بعد از فحص مخصص اول یعنی «لایجب اکرام زید العالم» را پیدا کردید، این علم تفصیلی موجب انحلال علم اجمالی نمی شود چون بالوجدان این جا علم به انطباق معلوم بالاجمال بر مخصص «اکرم کل عالم» ندارید زیرا ممکن است آن معلوم بالاجمال منطبق بر مخصص «اکرم کل هاشمی» باشد</w:t>
      </w:r>
      <w:r>
        <w:rPr>
          <w:rStyle w:val="FootnoteReference"/>
          <w:rFonts w:ascii="NoorLotus" w:hAnsi="NoorLotus"/>
          <w:sz w:val="28"/>
          <w:rtl/>
        </w:rPr>
        <w:footnoteReference w:id="1"/>
      </w:r>
      <w:r>
        <w:rPr>
          <w:rFonts w:hint="cs"/>
          <w:rtl/>
        </w:rPr>
        <w:t>.</w:t>
      </w:r>
    </w:p>
    <w:p w:rsidR="00A838A6" w:rsidRDefault="00537185">
      <w:pPr>
        <w:pStyle w:val="Heading2"/>
        <w:rPr>
          <w:rtl/>
        </w:rPr>
      </w:pPr>
      <w:bookmarkStart w:id="4" w:name="_Toc120523328"/>
      <w:r>
        <w:rPr>
          <w:rFonts w:hint="cs"/>
          <w:rtl/>
        </w:rPr>
        <w:lastRenderedPageBreak/>
        <w:t>بررسی کلام محقق عراقی رحمه الله</w:t>
      </w:r>
      <w:bookmarkEnd w:id="4"/>
    </w:p>
    <w:p w:rsidR="00A838A6" w:rsidRDefault="00537185">
      <w:pPr>
        <w:rPr>
          <w:rtl/>
        </w:rPr>
      </w:pPr>
      <w:r>
        <w:rPr>
          <w:rFonts w:hint="cs"/>
          <w:rtl/>
        </w:rPr>
        <w:t>مرحوم شاهرودی رحمه الله نیز این ادعا را برخلاف شهید صدر رحمه الله</w:t>
      </w:r>
      <w:r>
        <w:rPr>
          <w:rStyle w:val="FootnoteReference"/>
          <w:rtl/>
        </w:rPr>
        <w:footnoteReference w:id="2"/>
      </w:r>
      <w:r>
        <w:rPr>
          <w:rFonts w:hint="cs"/>
          <w:rtl/>
        </w:rPr>
        <w:t xml:space="preserve"> پذیرفتند، ایشان توجیهاتی برای اثبات این مطلب بیان می کنند. مثلا می گویند: اگر معصوم علیه السلام بگوید: «انسان در مسجد هست» و معصوم دیگر بگوید: «انسان طویل القامة در مسجد است» با این خبر دوم علم اجمالی به وجود انسان در مسجد منحل نمی شود چون بالوجدان احتمال می دهیم که معلوم بالاجمال انسان قصیر القامة باشد</w:t>
      </w:r>
      <w:r>
        <w:rPr>
          <w:rStyle w:val="FootnoteReference"/>
          <w:rtl/>
        </w:rPr>
        <w:footnoteReference w:id="3"/>
      </w:r>
      <w:r>
        <w:rPr>
          <w:rFonts w:hint="cs"/>
          <w:rtl/>
        </w:rPr>
        <w:t>.</w:t>
      </w:r>
    </w:p>
    <w:p w:rsidR="00A838A6" w:rsidRDefault="00537185">
      <w:pPr>
        <w:rPr>
          <w:rtl/>
        </w:rPr>
      </w:pPr>
      <w:r>
        <w:rPr>
          <w:rFonts w:hint="cs"/>
          <w:rtl/>
        </w:rPr>
        <w:t>ولی به نظر ما علم اجمالی در مواردی که عنوان ندارد، بالوجدان با علم تفصیلی منحل می شود و بعد از آن قضیه ی مانعة الخلو تشکیل نمی شود، یعنی بعد از علم تفصیلی به وجود انسان طویل القامة در مسجد دیگر نمی توان گفت«</w:t>
      </w:r>
      <w:r>
        <w:rPr>
          <w:rFonts w:ascii="NoorLotus" w:hAnsi="NoorLotus"/>
          <w:sz w:val="28"/>
          <w:rtl/>
        </w:rPr>
        <w:t xml:space="preserve"> إما طویل القامة او قصیر القامة‌</w:t>
      </w:r>
      <w:r>
        <w:rPr>
          <w:rFonts w:hint="cs"/>
          <w:rtl/>
        </w:rPr>
        <w:t>» چون علم تفصیلی به وجود انسان طویل القامة در مسجد پیدا شد.</w:t>
      </w:r>
    </w:p>
    <w:p w:rsidR="00A838A6" w:rsidRDefault="00537185">
      <w:pPr>
        <w:rPr>
          <w:rtl/>
        </w:rPr>
      </w:pPr>
      <w:r>
        <w:rPr>
          <w:rFonts w:hint="cs"/>
          <w:rtl/>
        </w:rPr>
        <w:t xml:space="preserve">ولی اگر مثال عوض شود و موردی باشد که علم اجمالی عنوان داشته باشد، شهید صدر رحمه الله نیز قائل به عدم انحلال علم اجمالی خواهد شد. مثل وجود علم اجمالی به صدور مخصص منفصل از امام صادق علیه السلام و بعد علم تفصیلی پیدا شود به مخصص «اکرم کل عالم» </w:t>
      </w:r>
      <w:r>
        <w:rPr>
          <w:rFonts w:hint="cs"/>
          <w:rtl/>
          <w:lang w:bidi="ar-DZ"/>
        </w:rPr>
        <w:t xml:space="preserve">از معصوم </w:t>
      </w:r>
      <w:r>
        <w:rPr>
          <w:rFonts w:hint="cs"/>
          <w:rtl/>
        </w:rPr>
        <w:t xml:space="preserve">ولی نمی دانیم این مخصص همان مخصص معلوم بالاجمال است که از امام صادق علیه السلام صادر شد و یا مخصصی که از امام صادق علیه السلام صادر شد مربوط به خطاب عام «اکرم کل هاشمی» است، در این جا بالوجدان علم اجمالی منحل نمی شود چون </w:t>
      </w:r>
      <w:r>
        <w:rPr>
          <w:rFonts w:hint="cs"/>
          <w:rtl/>
          <w:lang w:bidi="ar-DZ"/>
        </w:rPr>
        <w:t>معلوم بالاجمال</w:t>
      </w:r>
      <w:r>
        <w:rPr>
          <w:rFonts w:hint="cs"/>
          <w:rtl/>
        </w:rPr>
        <w:t xml:space="preserve"> دارای عنوان است و این عنوان منطبق بر این فرد معلوم بالتفصیل نیست.</w:t>
      </w:r>
    </w:p>
    <w:p w:rsidR="00A838A6" w:rsidRDefault="00537185">
      <w:pPr>
        <w:pStyle w:val="Heading2"/>
        <w:rPr>
          <w:rtl/>
        </w:rPr>
      </w:pPr>
      <w:bookmarkStart w:id="5" w:name="_Toc120523329"/>
      <w:r>
        <w:rPr>
          <w:rFonts w:hint="cs"/>
          <w:rtl/>
        </w:rPr>
        <w:t>انحلال عقلائی علم اجمالی</w:t>
      </w:r>
      <w:bookmarkEnd w:id="5"/>
    </w:p>
    <w:p w:rsidR="00A838A6" w:rsidRDefault="00537185">
      <w:pPr>
        <w:rPr>
          <w:rtl/>
        </w:rPr>
      </w:pPr>
      <w:r>
        <w:rPr>
          <w:rFonts w:hint="cs"/>
          <w:rtl/>
        </w:rPr>
        <w:t>ما در این موارد به تبع مرحوم امام رحمه الله</w:t>
      </w:r>
      <w:r>
        <w:t xml:space="preserve"> </w:t>
      </w:r>
      <w:r>
        <w:rPr>
          <w:rFonts w:hint="cs"/>
          <w:rtl/>
        </w:rPr>
        <w:t xml:space="preserve">قائل شدیم به این که این عناوین غیر دخیله در تکلیف، در تنجیز عقلائی علم اجمالی الغاء می شوند لذا مهم علم اجمالی به نجاست «احد الانائین» است و اما عنوان اناء زید و یا سبب آن نجاست، تاثیری در تکلیف ندارد، و این انحلال عقلائی حقیقی علم اجمالی است منتهی نه حقیقی وجدانی بلکه چون آن </w:t>
      </w:r>
      <w:r>
        <w:rPr>
          <w:rFonts w:hint="cs"/>
          <w:rtl/>
          <w:lang w:bidi="ar-DZ"/>
        </w:rPr>
        <w:t xml:space="preserve">عنوان معلوم بالاجمال </w:t>
      </w:r>
      <w:r>
        <w:rPr>
          <w:rFonts w:hint="cs"/>
          <w:rtl/>
        </w:rPr>
        <w:t>موضوع اثر نیست عقلاء به آن اعتناء نمی کنند.، بنابراین بعد از علم تفصیلی به نجاست اناء الف عقلاء مانعی از جریان اصالة الطهارة در ظرف ب نمی بینند. ولی شهید صدر رحمه الله و دیگران این بیان را قبول ندارند.</w:t>
      </w:r>
    </w:p>
    <w:p w:rsidR="00A838A6" w:rsidRDefault="00537185">
      <w:pPr>
        <w:pStyle w:val="Heading2"/>
      </w:pPr>
      <w:bookmarkStart w:id="6" w:name="_Toc120523330"/>
      <w:r>
        <w:rPr>
          <w:rFonts w:hint="cs"/>
          <w:rtl/>
        </w:rPr>
        <w:t>اشکال شهید صدر به آقا ضیاء رحمهما الله</w:t>
      </w:r>
      <w:bookmarkEnd w:id="6"/>
    </w:p>
    <w:p w:rsidR="00A838A6" w:rsidRDefault="00537185">
      <w:pPr>
        <w:rPr>
          <w:rtl/>
        </w:rPr>
      </w:pPr>
      <w:r>
        <w:rPr>
          <w:rFonts w:hint="cs"/>
          <w:rtl/>
        </w:rPr>
        <w:t>شهید صدر رحمه الله دو اشکال به محقق عراقی رحمه الله می کنند:</w:t>
      </w:r>
    </w:p>
    <w:p w:rsidR="00A838A6" w:rsidRDefault="00537185">
      <w:pPr>
        <w:rPr>
          <w:rtl/>
        </w:rPr>
      </w:pPr>
      <w:r>
        <w:rPr>
          <w:rFonts w:hint="cs"/>
          <w:rtl/>
        </w:rPr>
        <w:lastRenderedPageBreak/>
        <w:t>اشکال اول: اشکال مبنایی</w:t>
      </w:r>
    </w:p>
    <w:p w:rsidR="00A838A6" w:rsidRDefault="00537185">
      <w:pPr>
        <w:rPr>
          <w:rtl/>
        </w:rPr>
      </w:pPr>
      <w:r>
        <w:rPr>
          <w:rFonts w:hint="cs"/>
          <w:rtl/>
        </w:rPr>
        <w:t xml:space="preserve"> در مواردی که علم اجمالی دارای عنوان نیست، با علم تفصیلی به مقدار متیقن علم اجمالی منحل می شود. </w:t>
      </w:r>
    </w:p>
    <w:p w:rsidR="00A838A6" w:rsidRDefault="00537185">
      <w:pPr>
        <w:rPr>
          <w:rtl/>
        </w:rPr>
      </w:pPr>
      <w:r>
        <w:rPr>
          <w:rFonts w:hint="cs"/>
          <w:rtl/>
        </w:rPr>
        <w:t>اشکال دوم: اشکال بنایی</w:t>
      </w:r>
    </w:p>
    <w:p w:rsidR="00A838A6" w:rsidRDefault="00537185">
      <w:pPr>
        <w:rPr>
          <w:rtl/>
        </w:rPr>
      </w:pPr>
      <w:r>
        <w:rPr>
          <w:rFonts w:hint="cs"/>
          <w:rtl/>
        </w:rPr>
        <w:t xml:space="preserve">در مواردی که علم اجمالی دارای عنوان است، </w:t>
      </w:r>
      <w:r>
        <w:rPr>
          <w:rtl/>
        </w:rPr>
        <w:t>(</w:t>
      </w:r>
      <w:r>
        <w:rPr>
          <w:rFonts w:hint="cs"/>
          <w:rtl/>
          <w:lang w:bidi="ar-DZ"/>
        </w:rPr>
        <w:t>در جایی که اصول عملیه در اطراف علم اجمالی جاری می شود</w:t>
      </w:r>
      <w:r>
        <w:rPr>
          <w:rtl/>
          <w:lang w:bidi="ar-DZ"/>
        </w:rPr>
        <w:t xml:space="preserve">) </w:t>
      </w:r>
      <w:r>
        <w:rPr>
          <w:rFonts w:hint="cs"/>
          <w:rtl/>
        </w:rPr>
        <w:t xml:space="preserve">با علم تفصیلی به مقدار متیقن منحل نمی شود ولی این </w:t>
      </w:r>
      <w:r>
        <w:rPr>
          <w:rFonts w:hint="cs"/>
          <w:rtl/>
          <w:lang w:bidi="ar-DZ"/>
        </w:rPr>
        <w:t xml:space="preserve">مطلب </w:t>
      </w:r>
      <w:r>
        <w:rPr>
          <w:rFonts w:hint="cs"/>
          <w:rtl/>
        </w:rPr>
        <w:t xml:space="preserve">نسبت </w:t>
      </w:r>
      <w:r>
        <w:rPr>
          <w:rFonts w:hint="cs"/>
          <w:rtl/>
          <w:lang w:bidi="ar-DZ"/>
        </w:rPr>
        <w:t>به ا</w:t>
      </w:r>
      <w:r>
        <w:rPr>
          <w:rFonts w:hint="cs"/>
          <w:rtl/>
        </w:rPr>
        <w:t xml:space="preserve">صالة العموم نمی آید و آن با اصول عملیه فرق می کند، چون در اصول عملیه اگر علم اجمالی عنوان داشته باشد چون حدوث علم تفصیلی مقارن با حدوث علم اجمالی به نجاست اناء زید نیست اصالة الطهارة در ظرف الف قبل از علم تفصیلی تا زمان حدوث علم تفصیلی به نجاست آن با اصالة الطهارة در ظرف ب الی الابد تعارض می کنند. </w:t>
      </w:r>
    </w:p>
    <w:p w:rsidR="00A838A6" w:rsidRDefault="00537185">
      <w:pPr>
        <w:rPr>
          <w:rtl/>
        </w:rPr>
      </w:pPr>
      <w:r>
        <w:rPr>
          <w:rFonts w:hint="cs"/>
          <w:rtl/>
        </w:rPr>
        <w:t xml:space="preserve">ولی در اصول لفظیه بعد ازظفر به مخصص نسبت به خطاب عام «اکرم کل عالم» متوجه می شویم که عموم این خطاب از زمان حدوث علم اجمالی به تخصیص احد العامین معتبر نبود و از اول موضوع برای اصالة العموم نبود. چون عامی که مخصص منفصل واصل بالاجمال دارد حجت نیست، لذا کشف می شود که آن از اول موضوع برای اصالة العموم نبود منتهی اشتباه حجت به لاحجت شده بود و ما نمی دانستیم کدام خطاب عام مخصص منفصل دارد، بنابراین جریان اصالة العموم در خطاب «اکرم کل هاشمی» در علم خداوند از روز اول مانعی نداشت. و این با اصل عملی فرق می کند چون اصالة الطهارة در ظرف الف قبل از علم تفصیلی موضوع داشت و بخاطر علم اجمالی تعارض و تساقط کردند ویا بنابر مسلک علیت، علم اجمالی به نجاست احد الانائین در ساعت اول نسبت به اناء الف و در ظرف ب به لحاظ جمیع ساعات صلاحیت تنجیز دارد، لذا این علم اجمالی منجز است و مانع از جریان اصل در ظرف ب می شود. </w:t>
      </w:r>
    </w:p>
    <w:p w:rsidR="00A838A6" w:rsidRDefault="00537185">
      <w:pPr>
        <w:rPr>
          <w:rtl/>
        </w:rPr>
      </w:pPr>
      <w:r>
        <w:rPr>
          <w:rFonts w:hint="cs"/>
          <w:rtl/>
        </w:rPr>
        <w:t>ولی در مقام نسبت به سقوط اصالة العموم خطاب «اکرم کل عالم» مخصص تفصیلی هست که آن واصل بالاجمال نیز بود لذا آن از اول موضوع برای اصالة العموم نبود، و اصالة العموم در «اکرم کل هاشمی» بدون مانع جاری می شود.</w:t>
      </w:r>
      <w:r>
        <w:rPr>
          <w:rStyle w:val="FootnoteReference"/>
          <w:rtl/>
        </w:rPr>
        <w:footnoteReference w:id="4"/>
      </w:r>
    </w:p>
    <w:p w:rsidR="00A838A6" w:rsidRDefault="00537185">
      <w:pPr>
        <w:pStyle w:val="Heading2"/>
        <w:rPr>
          <w:rtl/>
        </w:rPr>
      </w:pPr>
      <w:bookmarkStart w:id="7" w:name="_Toc120523331"/>
      <w:r>
        <w:rPr>
          <w:rFonts w:hint="cs"/>
          <w:rtl/>
        </w:rPr>
        <w:t>بررسی مناقشه شهید صدر رحمه الله به کلام محقق عراقی رحمه الله</w:t>
      </w:r>
      <w:bookmarkEnd w:id="7"/>
    </w:p>
    <w:p w:rsidR="00A838A6" w:rsidRDefault="00537185">
      <w:pPr>
        <w:rPr>
          <w:rtl/>
        </w:rPr>
      </w:pPr>
      <w:r>
        <w:rPr>
          <w:rFonts w:hint="cs"/>
          <w:rtl/>
        </w:rPr>
        <w:t xml:space="preserve">ما در دوره های قبل و همچنین در جلسه قبل این بیان را پذیرفتیم ولی به نظر </w:t>
      </w:r>
      <w:r>
        <w:rPr>
          <w:rFonts w:hint="cs"/>
          <w:rtl/>
          <w:lang w:bidi="ar-DZ"/>
        </w:rPr>
        <w:t>می رسد که بیان ایشان</w:t>
      </w:r>
      <w:r>
        <w:rPr>
          <w:rFonts w:hint="cs"/>
          <w:rtl/>
        </w:rPr>
        <w:t xml:space="preserve"> قابل مناقشه است، چون اگر مبنا</w:t>
      </w:r>
      <w:r>
        <w:rPr>
          <w:rFonts w:hint="cs"/>
          <w:rtl/>
          <w:lang w:bidi="ar-DZ"/>
        </w:rPr>
        <w:t>ی</w:t>
      </w:r>
      <w:r>
        <w:rPr>
          <w:rFonts w:hint="cs"/>
          <w:rtl/>
        </w:rPr>
        <w:t xml:space="preserve"> محقق عراقی رحمه الله پذیرفته شود جواب از آن سخت خواهد بود(جواب بنایی به ایشان سخت است) چون ایشان می تواند در جواب این اشکال بگوید: علم تفصیلی به مخصص منفصل خطاب «اکرم کل عالم» کشف از عدم حجیت آن قبل از علم تفصیلی نمی کند، چون عامی که مخصص منفصل واصل بالاجمال داشته باشد حجت نیست و این که آن عنوان معلوم بالاجمال منطبق بر این خطاب عام باشد معلوم نیست زیرا ممکن است آن عام دوم نیز مخصص منفصل واصل بالاجمال داشته باشد چون علم اجمالی منطبق الاحتمال بر آن است، و ملاک منجزیت مخصص منفصل خطاب عام«اکرم کل عالم» قبل از علم تفصیلی به</w:t>
      </w:r>
      <w:r>
        <w:rPr>
          <w:rFonts w:hint="cs"/>
          <w:rtl/>
          <w:lang w:bidi="ar-DZ"/>
        </w:rPr>
        <w:t xml:space="preserve"> </w:t>
      </w:r>
      <w:r>
        <w:rPr>
          <w:rFonts w:hint="cs"/>
          <w:rtl/>
        </w:rPr>
        <w:t>آن، علم اجمالی بود و همین علم اجمالی اگر معلوم بالاجمال منطبق بر</w:t>
      </w:r>
      <w:r>
        <w:rPr>
          <w:rFonts w:hint="cs"/>
          <w:rtl/>
          <w:lang w:bidi="ar-DZ"/>
        </w:rPr>
        <w:t xml:space="preserve"> مخصص خطاب عام</w:t>
      </w:r>
      <w:r>
        <w:rPr>
          <w:rFonts w:hint="cs"/>
          <w:rtl/>
        </w:rPr>
        <w:t xml:space="preserve"> «اکرم کل هاشمی» باشد، منجز آن مخصص منفصل نیز </w:t>
      </w:r>
      <w:r>
        <w:rPr>
          <w:rFonts w:hint="cs"/>
          <w:rtl/>
          <w:lang w:bidi="ar-DZ"/>
        </w:rPr>
        <w:t>هست</w:t>
      </w:r>
      <w:r>
        <w:rPr>
          <w:rFonts w:hint="cs"/>
          <w:rtl/>
        </w:rPr>
        <w:t xml:space="preserve">. </w:t>
      </w:r>
    </w:p>
    <w:p w:rsidR="00A838A6" w:rsidRDefault="00537185">
      <w:pPr>
        <w:rPr>
          <w:rtl/>
        </w:rPr>
      </w:pPr>
      <w:r>
        <w:rPr>
          <w:rFonts w:hint="cs"/>
          <w:rtl/>
        </w:rPr>
        <w:t xml:space="preserve">ان قلت: نسبت به خطاب «اکرم کل </w:t>
      </w:r>
      <w:r>
        <w:rPr>
          <w:rFonts w:hint="cs"/>
          <w:rtl/>
          <w:lang w:bidi="ar-DZ"/>
        </w:rPr>
        <w:t>هاشمی</w:t>
      </w:r>
      <w:r>
        <w:rPr>
          <w:rFonts w:hint="cs"/>
          <w:rtl/>
        </w:rPr>
        <w:t>» استصحاب عدم مخصص منفصل جاری می شود.</w:t>
      </w:r>
    </w:p>
    <w:p w:rsidR="00A838A6" w:rsidRDefault="00537185">
      <w:pPr>
        <w:rPr>
          <w:rtl/>
        </w:rPr>
      </w:pPr>
      <w:r>
        <w:rPr>
          <w:rFonts w:hint="cs"/>
          <w:rtl/>
        </w:rPr>
        <w:t>قلت: این استصحاب با استصحاب عدم مخصص منفصل برای «اکرم کل عالم» قبل از علم تفصیلی به مخصص منفصل آن، تعارض می کند.</w:t>
      </w:r>
    </w:p>
    <w:p w:rsidR="00A838A6" w:rsidRDefault="00537185">
      <w:pPr>
        <w:rPr>
          <w:rtl/>
        </w:rPr>
      </w:pPr>
      <w:r>
        <w:rPr>
          <w:rFonts w:hint="cs"/>
          <w:rtl/>
        </w:rPr>
        <w:t>این بیانات بنابر مبنای خود شهید صدر رحمه الله است که «واقع مخصص منفصل الواصل اجمالا» مانع است نه نفس علم اجمالی به تخصیص ولی اگر خود علم اجمالی مانع باشد، آن مشترک بین این دو عام است و دفاع از محقق عراقی راحت تر خواهد بود.</w:t>
      </w:r>
    </w:p>
    <w:p w:rsidR="00A838A6" w:rsidRDefault="00537185">
      <w:pPr>
        <w:rPr>
          <w:rtl/>
        </w:rPr>
      </w:pPr>
      <w:r>
        <w:rPr>
          <w:rFonts w:ascii="NoorLotus" w:hAnsi="NoorLotus" w:hint="cs"/>
          <w:sz w:val="28"/>
          <w:rtl/>
        </w:rPr>
        <w:t>بنابراین</w:t>
      </w:r>
      <w:r>
        <w:rPr>
          <w:rFonts w:ascii="NoorLotus" w:hAnsi="NoorLotus"/>
          <w:sz w:val="28"/>
          <w:rtl/>
        </w:rPr>
        <w:t xml:space="preserve"> جواب بنایی از اشکال محقق عراقی</w:t>
      </w:r>
      <w:r>
        <w:rPr>
          <w:rFonts w:ascii="NoorLotus" w:hAnsi="NoorLotus" w:hint="cs"/>
          <w:sz w:val="28"/>
          <w:rtl/>
        </w:rPr>
        <w:t xml:space="preserve"> رحمه الله</w:t>
      </w:r>
      <w:r>
        <w:rPr>
          <w:rFonts w:ascii="NoorLotus" w:hAnsi="NoorLotus"/>
          <w:sz w:val="28"/>
          <w:rtl/>
        </w:rPr>
        <w:t xml:space="preserve"> </w:t>
      </w:r>
      <w:r>
        <w:rPr>
          <w:rFonts w:ascii="NoorLotus" w:hAnsi="NoorLotus" w:hint="cs"/>
          <w:sz w:val="28"/>
          <w:rtl/>
        </w:rPr>
        <w:t xml:space="preserve">مشکل است، البته شهید صدر رحمه الله </w:t>
      </w:r>
      <w:r>
        <w:rPr>
          <w:rFonts w:ascii="NoorLotus" w:hAnsi="NoorLotus"/>
          <w:sz w:val="28"/>
          <w:rtl/>
        </w:rPr>
        <w:t xml:space="preserve">جواب دومی </w:t>
      </w:r>
      <w:r>
        <w:rPr>
          <w:rFonts w:ascii="NoorLotus" w:hAnsi="NoorLotus" w:hint="cs"/>
          <w:sz w:val="28"/>
          <w:rtl/>
        </w:rPr>
        <w:t>نیز بیان کردند</w:t>
      </w:r>
      <w:r>
        <w:rPr>
          <w:rStyle w:val="FootnoteReference"/>
          <w:rFonts w:ascii="NoorLotus" w:hAnsi="NoorLotus"/>
          <w:sz w:val="28"/>
          <w:rtl/>
        </w:rPr>
        <w:footnoteReference w:id="5"/>
      </w:r>
      <w:r>
        <w:rPr>
          <w:rFonts w:ascii="NoorLotus" w:hAnsi="NoorLotus"/>
          <w:sz w:val="28"/>
          <w:rtl/>
        </w:rPr>
        <w:t xml:space="preserve"> که ما به آن </w:t>
      </w:r>
      <w:r>
        <w:rPr>
          <w:rFonts w:ascii="NoorLotus" w:hAnsi="NoorLotus" w:hint="cs"/>
          <w:sz w:val="28"/>
          <w:rtl/>
        </w:rPr>
        <w:t>نیز</w:t>
      </w:r>
      <w:r>
        <w:rPr>
          <w:rFonts w:ascii="NoorLotus" w:hAnsi="NoorLotus"/>
          <w:sz w:val="28"/>
          <w:rtl/>
        </w:rPr>
        <w:t xml:space="preserve"> اشکال داریم و لکن بخاطر این‌که بحث بیشتر از این طول نکشد این مطلب را ادامه نمی‌دهیم</w:t>
      </w:r>
      <w:r>
        <w:rPr>
          <w:rFonts w:ascii="NoorLotus" w:hAnsi="NoorLotus" w:hint="cs"/>
          <w:sz w:val="28"/>
          <w:rtl/>
        </w:rPr>
        <w:t>.</w:t>
      </w:r>
    </w:p>
    <w:p w:rsidR="00A838A6" w:rsidRDefault="00537185">
      <w:pPr>
        <w:pStyle w:val="Heading1"/>
        <w:rPr>
          <w:rtl/>
        </w:rPr>
      </w:pPr>
      <w:bookmarkStart w:id="8" w:name="_Toc120523332"/>
      <w:r>
        <w:rPr>
          <w:rFonts w:hint="cs"/>
          <w:rtl/>
        </w:rPr>
        <w:t>وجه سوم: قصور مقتضی حجیت</w:t>
      </w:r>
      <w:bookmarkEnd w:id="8"/>
    </w:p>
    <w:p w:rsidR="00A838A6" w:rsidRDefault="00537185">
      <w:pPr>
        <w:rPr>
          <w:rtl/>
        </w:rPr>
      </w:pPr>
      <w:r>
        <w:rPr>
          <w:rFonts w:hint="cs"/>
          <w:rtl/>
        </w:rPr>
        <w:t>مرحوم آخوند رحمه الله فرمودند: عمومات در کتاب و سنت در معرض تخصیص هستند، و ما</w:t>
      </w:r>
      <w:r>
        <w:rPr>
          <w:rFonts w:hint="cs"/>
          <w:rtl/>
          <w:lang w:bidi="ar-DZ"/>
        </w:rPr>
        <w:t xml:space="preserve"> اگر</w:t>
      </w:r>
      <w:r>
        <w:rPr>
          <w:rFonts w:hint="cs"/>
          <w:rtl/>
        </w:rPr>
        <w:t xml:space="preserve"> یقین </w:t>
      </w:r>
      <w:r>
        <w:rPr>
          <w:rFonts w:hint="cs"/>
          <w:rtl/>
          <w:lang w:bidi="ar-DZ"/>
        </w:rPr>
        <w:t xml:space="preserve">نداشته باشیم </w:t>
      </w:r>
      <w:r>
        <w:rPr>
          <w:rFonts w:hint="cs"/>
          <w:rtl/>
        </w:rPr>
        <w:t>به این که عقلاء در این موارد قبل از فحص به عمومات عمل</w:t>
      </w:r>
      <w:r>
        <w:rPr>
          <w:rFonts w:hint="cs"/>
          <w:rtl/>
          <w:lang w:bidi="ar-DZ"/>
        </w:rPr>
        <w:t xml:space="preserve"> نمی</w:t>
      </w:r>
      <w:r>
        <w:rPr>
          <w:rFonts w:hint="cs"/>
          <w:rtl/>
        </w:rPr>
        <w:t xml:space="preserve"> کنند </w:t>
      </w:r>
      <w:r>
        <w:rPr>
          <w:rFonts w:hint="cs"/>
          <w:rtl/>
          <w:lang w:bidi="ar-DZ"/>
        </w:rPr>
        <w:t xml:space="preserve"> لا اقل </w:t>
      </w:r>
      <w:r>
        <w:rPr>
          <w:rFonts w:hint="cs"/>
          <w:rtl/>
        </w:rPr>
        <w:t>شک در عمل عقلاء به این عمومات قبل از فحص</w:t>
      </w:r>
      <w:r>
        <w:rPr>
          <w:rFonts w:hint="cs"/>
          <w:rtl/>
          <w:lang w:bidi="ar-DZ"/>
        </w:rPr>
        <w:t xml:space="preserve"> داریم که با وجود این شک </w:t>
      </w:r>
      <w:r>
        <w:rPr>
          <w:rFonts w:hint="cs"/>
          <w:rtl/>
        </w:rPr>
        <w:t xml:space="preserve"> نمی توان به این عمومات تمسک کرد چون شک در حجیت مساوق با قطع به عدم حجیت است، و اجماع بر عدم جواز عمل به عمومات قبل از فحص برای شک در حجیت کافی است</w:t>
      </w:r>
      <w:r>
        <w:rPr>
          <w:rStyle w:val="FootnoteReference"/>
          <w:rtl/>
        </w:rPr>
        <w:footnoteReference w:id="6"/>
      </w:r>
      <w:r>
        <w:rPr>
          <w:rFonts w:hint="cs"/>
          <w:rtl/>
        </w:rPr>
        <w:t xml:space="preserve">. </w:t>
      </w:r>
    </w:p>
    <w:p w:rsidR="00A838A6" w:rsidRDefault="00537185">
      <w:pPr>
        <w:pStyle w:val="Heading2"/>
        <w:rPr>
          <w:rtl/>
        </w:rPr>
      </w:pPr>
      <w:bookmarkStart w:id="9" w:name="_Toc120523333"/>
      <w:r>
        <w:rPr>
          <w:rFonts w:hint="cs"/>
          <w:rtl/>
        </w:rPr>
        <w:t>مراد آخوند از «در معرض تخصیص بودن عمومات»</w:t>
      </w:r>
      <w:bookmarkEnd w:id="9"/>
    </w:p>
    <w:p w:rsidR="00A838A6" w:rsidRDefault="00537185">
      <w:pPr>
        <w:rPr>
          <w:rtl/>
        </w:rPr>
      </w:pPr>
      <w:r>
        <w:rPr>
          <w:rFonts w:hint="cs"/>
          <w:rtl/>
        </w:rPr>
        <w:t xml:space="preserve">در این که مراد ایشان از در معرض تخصیص بودن عمومات در کتاب و سنت چیست، چند احتمال وجود دارد: </w:t>
      </w:r>
    </w:p>
    <w:p w:rsidR="00A838A6" w:rsidRDefault="00537185">
      <w:pPr>
        <w:pStyle w:val="Heading2"/>
        <w:rPr>
          <w:rtl/>
        </w:rPr>
      </w:pPr>
      <w:bookmarkStart w:id="10" w:name="_Toc120523334"/>
      <w:r>
        <w:rPr>
          <w:rFonts w:hint="cs"/>
          <w:rtl/>
        </w:rPr>
        <w:t xml:space="preserve">احتمال اول: </w:t>
      </w:r>
      <w:r>
        <w:rPr>
          <w:rtl/>
        </w:rPr>
        <w:t>المعرضیة بمعنی الاحتمال العقلائی</w:t>
      </w:r>
      <w:bookmarkEnd w:id="10"/>
    </w:p>
    <w:p w:rsidR="00A838A6" w:rsidRDefault="00537185" w:rsidP="00DC7755">
      <w:pPr>
        <w:rPr>
          <w:rtl/>
        </w:rPr>
      </w:pPr>
      <w:r>
        <w:rPr>
          <w:rFonts w:hint="cs"/>
          <w:rtl/>
        </w:rPr>
        <w:t xml:space="preserve"> عامی که عقلائیا محتمل است مخصص داشته باشد.</w:t>
      </w:r>
    </w:p>
    <w:p w:rsidR="00A838A6" w:rsidRDefault="00537185">
      <w:pPr>
        <w:rPr>
          <w:rtl/>
        </w:rPr>
      </w:pPr>
      <w:r>
        <w:rPr>
          <w:rFonts w:hint="cs"/>
          <w:rtl/>
          <w:lang w:bidi="ar-DZ"/>
        </w:rPr>
        <w:t xml:space="preserve">شبیه آنچه برخی فقها در مورد لزوم یادگیری مسائل در معرض ابتلا فرموده اند </w:t>
      </w:r>
      <w:r>
        <w:rPr>
          <w:rFonts w:hint="cs"/>
          <w:rtl/>
        </w:rPr>
        <w:t>محقق حکیم رحمه الله در مسأله 18 منهاج می فرمایند: «</w:t>
      </w:r>
      <w:r>
        <w:rPr>
          <w:rFonts w:ascii="NoorLotus" w:hAnsi="NoorLotus"/>
          <w:sz w:val="28"/>
          <w:rtl/>
        </w:rPr>
        <w:t>یجب تعلم مسائل الشک و السهو التی هی فی معرض الابتلاء</w:t>
      </w:r>
      <w:r>
        <w:rPr>
          <w:rFonts w:ascii="NoorLotus" w:hAnsi="NoorLotus" w:hint="cs"/>
          <w:sz w:val="28"/>
          <w:rtl/>
        </w:rPr>
        <w:t>.</w:t>
      </w:r>
      <w:r>
        <w:rPr>
          <w:rStyle w:val="FootnoteReference"/>
          <w:rFonts w:ascii="NoorLotus" w:hAnsi="NoorLotus"/>
          <w:sz w:val="28"/>
          <w:rtl/>
        </w:rPr>
        <w:footnoteReference w:id="7"/>
      </w:r>
      <w:r>
        <w:rPr>
          <w:rFonts w:hint="cs"/>
          <w:rtl/>
        </w:rPr>
        <w:t>»</w:t>
      </w:r>
      <w:r>
        <w:rPr>
          <w:rFonts w:hint="cs"/>
          <w:rtl/>
          <w:lang w:bidi="ar-DZ"/>
        </w:rPr>
        <w:t xml:space="preserve">  آیت الله خویی و آیت الله تبریزی رحمهما الله و آقای سیستانی حفظه الله نیز در منهاج الصالحین همین را فرموده اند</w:t>
      </w:r>
      <w:r>
        <w:rPr>
          <w:rtl/>
          <w:lang w:bidi="ar-DZ"/>
        </w:rPr>
        <w:t>.</w:t>
      </w:r>
      <w:r>
        <w:rPr>
          <w:rFonts w:hint="cs"/>
          <w:rtl/>
          <w:lang w:bidi="ar-DZ"/>
        </w:rPr>
        <w:t xml:space="preserve"> </w:t>
      </w:r>
      <w:r>
        <w:rPr>
          <w:rFonts w:hint="cs"/>
          <w:rtl/>
        </w:rPr>
        <w:t xml:space="preserve"> </w:t>
      </w:r>
    </w:p>
    <w:p w:rsidR="00A838A6" w:rsidRDefault="00537185">
      <w:pPr>
        <w:rPr>
          <w:rtl/>
        </w:rPr>
      </w:pPr>
      <w:r>
        <w:rPr>
          <w:rFonts w:hint="cs"/>
          <w:rtl/>
        </w:rPr>
        <w:t>مراد از معرض الابتلاء این است که احتمال عقلایی دهد که به آن مبتلی شود.</w:t>
      </w:r>
    </w:p>
    <w:p w:rsidR="00A838A6" w:rsidRDefault="00537185">
      <w:pPr>
        <w:rPr>
          <w:rtl/>
        </w:rPr>
      </w:pPr>
      <w:r>
        <w:rPr>
          <w:rFonts w:hint="cs"/>
          <w:rtl/>
        </w:rPr>
        <w:t>آیت الله سیستانی حفظه الله نیز در رساله فارسی می فرمایند: «</w:t>
      </w:r>
      <w:r>
        <w:rPr>
          <w:rFonts w:ascii="NoorLotus" w:hAnsi="NoorLotus"/>
          <w:sz w:val="28"/>
          <w:rtl/>
        </w:rPr>
        <w:t>مسائلی را که احتمال می‌‌دهد به واسطه یاد نگرفتن آن‌ها در معصیت واقع شود باید یاد بگیرد</w:t>
      </w:r>
      <w:r>
        <w:rPr>
          <w:rFonts w:ascii="NoorLotus" w:hAnsi="NoorLotus" w:hint="cs"/>
          <w:sz w:val="28"/>
          <w:rtl/>
        </w:rPr>
        <w:t>.</w:t>
      </w:r>
      <w:r>
        <w:rPr>
          <w:rStyle w:val="FootnoteReference"/>
          <w:rFonts w:ascii="NoorLotus" w:hAnsi="NoorLotus"/>
          <w:sz w:val="28"/>
          <w:rtl/>
        </w:rPr>
        <w:footnoteReference w:id="8"/>
      </w:r>
      <w:r>
        <w:rPr>
          <w:rFonts w:ascii="NoorLotus" w:hAnsi="NoorLotus" w:hint="cs"/>
          <w:sz w:val="28"/>
          <w:rtl/>
        </w:rPr>
        <w:t>»</w:t>
      </w:r>
    </w:p>
    <w:p w:rsidR="00A838A6" w:rsidRDefault="00537185">
      <w:pPr>
        <w:rPr>
          <w:rtl/>
        </w:rPr>
      </w:pPr>
      <w:r>
        <w:rPr>
          <w:rFonts w:hint="cs"/>
          <w:rtl/>
        </w:rPr>
        <w:t>البته امام رحمه الله در تحریر الوسیله می فرمایند: «</w:t>
      </w:r>
      <w:r>
        <w:rPr>
          <w:rFonts w:ascii="NoorLotus" w:hAnsi="NoorLotus"/>
          <w:sz w:val="28"/>
          <w:rtl/>
        </w:rPr>
        <w:t>یجب تعلم مسائل الشک و السهو و غیرها مما هو محل الابتلاء‌ غالبا الا اذا اطمئن من نفسه بعدم الابتلاء بها</w:t>
      </w:r>
      <w:r>
        <w:rPr>
          <w:rFonts w:ascii="NoorLotus" w:hAnsi="NoorLotus" w:hint="cs"/>
          <w:sz w:val="28"/>
          <w:rtl/>
        </w:rPr>
        <w:t>.</w:t>
      </w:r>
      <w:r>
        <w:rPr>
          <w:rStyle w:val="FootnoteReference"/>
          <w:rFonts w:ascii="NoorLotus" w:hAnsi="NoorLotus"/>
          <w:sz w:val="28"/>
          <w:rtl/>
        </w:rPr>
        <w:footnoteReference w:id="9"/>
      </w:r>
      <w:r>
        <w:rPr>
          <w:rFonts w:hint="cs"/>
          <w:rtl/>
        </w:rPr>
        <w:t>»</w:t>
      </w:r>
    </w:p>
    <w:p w:rsidR="00A838A6" w:rsidRDefault="00537185">
      <w:pPr>
        <w:rPr>
          <w:rtl/>
        </w:rPr>
      </w:pPr>
      <w:r>
        <w:rPr>
          <w:rFonts w:hint="cs"/>
          <w:rtl/>
        </w:rPr>
        <w:t>قید «غالبا» در عروه نیز بیان شد</w:t>
      </w:r>
      <w:r>
        <w:rPr>
          <w:rStyle w:val="FootnoteReference"/>
          <w:rtl/>
        </w:rPr>
        <w:footnoteReference w:id="10"/>
      </w:r>
      <w:r>
        <w:rPr>
          <w:rFonts w:hint="cs"/>
          <w:rtl/>
        </w:rPr>
        <w:t xml:space="preserve"> ولی وجهی برای این قید وجود ندارد چون ملاک احتمال عقلائی ابتلاء است، و با وجود این احتمال «هلا تعلمت» شامل او می شود و دلالت دارد بر این که اگر یاد نگیرید و به خلاف واقع بیفتید، معذور نیستید. </w:t>
      </w:r>
    </w:p>
    <w:p w:rsidR="00A838A6" w:rsidRDefault="00537185">
      <w:pPr>
        <w:pStyle w:val="Heading2"/>
        <w:rPr>
          <w:rtl/>
        </w:rPr>
      </w:pPr>
      <w:bookmarkStart w:id="11" w:name="_Toc120523336"/>
      <w:r>
        <w:rPr>
          <w:rFonts w:hint="cs"/>
          <w:rtl/>
        </w:rPr>
        <w:t>بررسی احتمال اول</w:t>
      </w:r>
      <w:bookmarkEnd w:id="11"/>
    </w:p>
    <w:p w:rsidR="00A838A6" w:rsidRDefault="00537185">
      <w:pPr>
        <w:rPr>
          <w:rtl/>
        </w:rPr>
      </w:pPr>
      <w:r>
        <w:rPr>
          <w:rFonts w:hint="cs"/>
          <w:rtl/>
        </w:rPr>
        <w:t>اگر مراد آخوند رحمه الله این معنا باشد، کلامشان تمام نیست چون صرف احتمال عقلائی وجود مخصص برای خطاب عام موجب لزوم فحص نمی شود. شاهد آن این است که عام هایی که در فتوای یک مرجع و یا مولای عرفی وجود دارد با وجود احتمال عقلایی مخصص برای آن نیز فحص لازم نیس</w:t>
      </w:r>
      <w:r>
        <w:rPr>
          <w:rFonts w:hint="cs"/>
          <w:rtl/>
          <w:lang w:bidi="ar-DZ"/>
        </w:rPr>
        <w:t>ت و کسی در این موارد به لزوم فحص ملتزم نشده</w:t>
      </w:r>
      <w:r>
        <w:rPr>
          <w:rtl/>
          <w:lang w:bidi="ar-DZ"/>
        </w:rPr>
        <w:t xml:space="preserve"> است.</w:t>
      </w:r>
    </w:p>
    <w:p w:rsidR="00A838A6" w:rsidRDefault="00537185">
      <w:pPr>
        <w:pStyle w:val="Heading2"/>
        <w:rPr>
          <w:rtl/>
        </w:rPr>
      </w:pPr>
      <w:bookmarkStart w:id="12" w:name="_Toc120523337"/>
      <w:r>
        <w:rPr>
          <w:rFonts w:hint="cs"/>
          <w:rtl/>
        </w:rPr>
        <w:t>احتمال دوم: کلام محقق بروجردی رحمه الله</w:t>
      </w:r>
      <w:bookmarkEnd w:id="12"/>
    </w:p>
    <w:p w:rsidR="00A838A6" w:rsidRDefault="00537185">
      <w:pPr>
        <w:rPr>
          <w:rtl/>
        </w:rPr>
      </w:pPr>
      <w:r>
        <w:rPr>
          <w:rFonts w:hint="cs"/>
          <w:rtl/>
        </w:rPr>
        <w:t>گاهی مولی، تکالیفی را که از عبد می خواهد به او ایصال می کند</w:t>
      </w:r>
    </w:p>
    <w:p w:rsidR="00A838A6" w:rsidRDefault="00537185">
      <w:pPr>
        <w:rPr>
          <w:rtl/>
        </w:rPr>
      </w:pPr>
      <w:r>
        <w:rPr>
          <w:rFonts w:hint="cs"/>
          <w:rtl/>
        </w:rPr>
        <w:t>ولی گاهی مولی، مقننن است و خطاب قانون را به تک تک مکلفین ایصال نمی کند بلکه در معرض وصول قرار می دهد و خود مکلف باید از این خطاب فحص کند</w:t>
      </w:r>
      <w:r>
        <w:rPr>
          <w:rtl/>
        </w:rPr>
        <w:t xml:space="preserve"> </w:t>
      </w:r>
      <w:r>
        <w:rPr>
          <w:rFonts w:hint="cs"/>
          <w:rtl/>
          <w:lang w:bidi="ar-DZ"/>
        </w:rPr>
        <w:t>و</w:t>
      </w:r>
      <w:r>
        <w:rPr>
          <w:rFonts w:hint="cs"/>
          <w:rtl/>
        </w:rPr>
        <w:t xml:space="preserve"> الا معذور نیست.</w:t>
      </w:r>
      <w:r>
        <w:rPr>
          <w:rStyle w:val="FootnoteReference"/>
          <w:rtl/>
        </w:rPr>
        <w:footnoteReference w:id="11"/>
      </w:r>
      <w:r>
        <w:rPr>
          <w:rFonts w:hint="cs"/>
          <w:rtl/>
        </w:rPr>
        <w:t xml:space="preserve"> </w:t>
      </w:r>
    </w:p>
    <w:p w:rsidR="00A838A6" w:rsidRDefault="00537185">
      <w:pPr>
        <w:pStyle w:val="Heading2"/>
        <w:rPr>
          <w:rtl/>
        </w:rPr>
      </w:pPr>
      <w:bookmarkStart w:id="13" w:name="_Toc120523338"/>
      <w:r>
        <w:rPr>
          <w:rFonts w:hint="cs"/>
          <w:rtl/>
        </w:rPr>
        <w:t>بررسی احتمال دوم</w:t>
      </w:r>
      <w:bookmarkEnd w:id="13"/>
    </w:p>
    <w:p w:rsidR="00A838A6" w:rsidRDefault="00537185">
      <w:pPr>
        <w:rPr>
          <w:rtl/>
        </w:rPr>
      </w:pPr>
      <w:r>
        <w:rPr>
          <w:rFonts w:hint="cs"/>
          <w:rtl/>
        </w:rPr>
        <w:t xml:space="preserve">وقتی مولی خطاب قانون را در معرض وصول قرار می دهد، همین که ما خطاب عام را تعلم کنیم  و مخصص های متصل احتمالی آن را بررسی کنیم کافی </w:t>
      </w:r>
      <w:r>
        <w:rPr>
          <w:rFonts w:hint="cs"/>
          <w:rtl/>
          <w:lang w:bidi="ar-DZ"/>
        </w:rPr>
        <w:t>ا</w:t>
      </w:r>
      <w:r>
        <w:rPr>
          <w:rFonts w:hint="cs"/>
          <w:rtl/>
        </w:rPr>
        <w:t xml:space="preserve">ست و نیاز به فحص از مخصص منفصل نیست، و لذا قوانینی که تصویب می شود و در معرض وصول مردم قرار می دهند وقتی مردم این قوانین را می شنوند و در محلش مخصص برای آن پیدا نمی کنند می توانند به آن عمل کنند و لازم نیست فحص از مخصص منفصل کنند، و اگر مردم به آن عمل کنند معذور خواهند بود. </w:t>
      </w:r>
    </w:p>
    <w:p w:rsidR="00A838A6" w:rsidRDefault="00537185">
      <w:pPr>
        <w:pStyle w:val="Heading2"/>
        <w:rPr>
          <w:rtl/>
        </w:rPr>
      </w:pPr>
      <w:bookmarkStart w:id="14" w:name="_Toc120523339"/>
      <w:r>
        <w:rPr>
          <w:rFonts w:hint="cs"/>
          <w:rtl/>
        </w:rPr>
        <w:t>مساله فقهی: ازدواج با زن غیر مسلمان</w:t>
      </w:r>
      <w:bookmarkEnd w:id="14"/>
    </w:p>
    <w:p w:rsidR="00A838A6" w:rsidRDefault="00537185">
      <w:pPr>
        <w:rPr>
          <w:rtl/>
        </w:rPr>
      </w:pPr>
      <w:r>
        <w:rPr>
          <w:rFonts w:hint="cs"/>
          <w:rtl/>
        </w:rPr>
        <w:t xml:space="preserve">در بحث نکاح بعضی از فقهاء </w:t>
      </w:r>
      <w:r w:rsidR="007B7851">
        <w:rPr>
          <w:rFonts w:hint="cs"/>
          <w:rtl/>
        </w:rPr>
        <w:t xml:space="preserve">در باب نکاح رساله </w:t>
      </w:r>
      <w:r>
        <w:rPr>
          <w:rFonts w:hint="cs"/>
          <w:rtl/>
        </w:rPr>
        <w:t>نگفت</w:t>
      </w:r>
      <w:r w:rsidR="007B7851">
        <w:rPr>
          <w:rFonts w:hint="cs"/>
          <w:rtl/>
        </w:rPr>
        <w:t>ه ا</w:t>
      </w:r>
      <w:r>
        <w:rPr>
          <w:rFonts w:hint="cs"/>
          <w:rtl/>
        </w:rPr>
        <w:t xml:space="preserve">ند: مردی که زن مسلمان دارد حرام </w:t>
      </w:r>
      <w:r>
        <w:rPr>
          <w:rFonts w:hint="cs"/>
          <w:rtl/>
          <w:lang w:bidi="ar-DZ"/>
        </w:rPr>
        <w:t xml:space="preserve">است با </w:t>
      </w:r>
      <w:r>
        <w:rPr>
          <w:rFonts w:hint="cs"/>
          <w:rtl/>
        </w:rPr>
        <w:t xml:space="preserve">زن غیر مسلمان </w:t>
      </w:r>
      <w:r>
        <w:rPr>
          <w:rFonts w:hint="cs"/>
          <w:rtl/>
          <w:lang w:bidi="ar-DZ"/>
        </w:rPr>
        <w:t>ازدواج کند</w:t>
      </w:r>
      <w:r>
        <w:rPr>
          <w:rFonts w:hint="cs"/>
          <w:rtl/>
        </w:rPr>
        <w:t>، ولی در کتاب حدود و تعزیرات می گویند: «</w:t>
      </w:r>
      <w:r>
        <w:rPr>
          <w:rFonts w:ascii="NoorLotus" w:hAnsi="NoorLotus"/>
          <w:sz w:val="28"/>
          <w:rtl/>
        </w:rPr>
        <w:t>من تزوج ذمیة علی مسلمة و دخل بها اجری علیه الح</w:t>
      </w:r>
      <w:r>
        <w:rPr>
          <w:rFonts w:ascii="NoorLotus" w:hAnsi="NoorLotus" w:hint="cs"/>
          <w:sz w:val="28"/>
          <w:rtl/>
        </w:rPr>
        <w:t>د.</w:t>
      </w:r>
      <w:r>
        <w:rPr>
          <w:rStyle w:val="FootnoteReference"/>
          <w:rFonts w:ascii="NoorLotus" w:hAnsi="NoorLotus"/>
          <w:sz w:val="28"/>
          <w:rtl/>
        </w:rPr>
        <w:footnoteReference w:id="12"/>
      </w:r>
      <w:r>
        <w:rPr>
          <w:rFonts w:hint="cs"/>
          <w:rtl/>
        </w:rPr>
        <w:t>» (قدر متیقن از آن</w:t>
      </w:r>
      <w:r>
        <w:rPr>
          <w:rFonts w:hint="cs"/>
          <w:rtl/>
          <w:lang w:bidi="ar-DZ"/>
        </w:rPr>
        <w:t xml:space="preserve">، </w:t>
      </w:r>
      <w:r>
        <w:rPr>
          <w:rFonts w:hint="cs"/>
          <w:rtl/>
        </w:rPr>
        <w:t>صورتی است که بدون اذن زن مسلمانش ازدواج کند ولی آیت الله سیستانی حفظه الله فرمودند:</w:t>
      </w:r>
      <w:r>
        <w:rPr>
          <w:rFonts w:ascii="NoorLotus" w:hAnsi="NoorLotus"/>
          <w:sz w:val="28"/>
          <w:rtl/>
        </w:rPr>
        <w:t xml:space="preserve"> با اذن او هم احتیاط واجب این است که</w:t>
      </w:r>
      <w:r>
        <w:rPr>
          <w:rFonts w:ascii="NoorLotus" w:hAnsi="NoorLotus" w:hint="cs"/>
          <w:sz w:val="28"/>
          <w:rtl/>
          <w:lang w:bidi="ar-DZ"/>
        </w:rPr>
        <w:t xml:space="preserve"> عقد نکاح</w:t>
      </w:r>
      <w:r>
        <w:rPr>
          <w:rFonts w:ascii="NoorLotus" w:hAnsi="NoorLotus"/>
          <w:sz w:val="28"/>
          <w:rtl/>
        </w:rPr>
        <w:t xml:space="preserve"> نافذ نیست</w:t>
      </w:r>
      <w:r>
        <w:rPr>
          <w:rFonts w:ascii="NoorLotus" w:hAnsi="NoorLotus" w:hint="cs"/>
          <w:sz w:val="28"/>
          <w:rtl/>
        </w:rPr>
        <w:t xml:space="preserve">) </w:t>
      </w:r>
      <w:r>
        <w:rPr>
          <w:rFonts w:hint="cs"/>
          <w:rtl/>
        </w:rPr>
        <w:t>در این صورت افراد</w:t>
      </w:r>
      <w:r>
        <w:rPr>
          <w:rFonts w:hint="cs"/>
          <w:rtl/>
          <w:lang w:bidi="ar-DZ"/>
        </w:rPr>
        <w:t xml:space="preserve">ی </w:t>
      </w:r>
      <w:r>
        <w:rPr>
          <w:rtl/>
          <w:lang w:bidi="ar-DZ"/>
        </w:rPr>
        <w:t>(</w:t>
      </w:r>
      <w:r>
        <w:rPr>
          <w:rFonts w:hint="cs"/>
          <w:rtl/>
          <w:lang w:bidi="ar-DZ"/>
        </w:rPr>
        <w:t>که تنها بحث نکاح رساله را دیده اند</w:t>
      </w:r>
      <w:r>
        <w:rPr>
          <w:rtl/>
          <w:lang w:bidi="ar-DZ"/>
        </w:rPr>
        <w:t>)</w:t>
      </w:r>
      <w:r>
        <w:rPr>
          <w:rFonts w:hint="cs"/>
          <w:rtl/>
        </w:rPr>
        <w:t xml:space="preserve"> با عمل به همان چیزی که در بحث محرمات نکاح هست، معذور هستند</w:t>
      </w:r>
      <w:r>
        <w:rPr>
          <w:rFonts w:hint="cs"/>
          <w:rtl/>
          <w:lang w:bidi="ar-DZ"/>
        </w:rPr>
        <w:t xml:space="preserve"> و لازم نیست تمام رساله را ببینند تا مخصص آن را پیدا کنند</w:t>
      </w:r>
      <w:r>
        <w:rPr>
          <w:rFonts w:hint="cs"/>
          <w:rtl/>
        </w:rPr>
        <w:t xml:space="preserve">، و مراد از در معرض وصول بودن این است که در باب و جایگاه خودش در معرض وصول باشد نه در باب دیگر، و وقتی در همان باب خودش ذکر شود مخصص متصل است. </w:t>
      </w:r>
    </w:p>
    <w:sectPr w:rsidR="00A838A6">
      <w:headerReference w:type="default" r:id="rId9"/>
      <w:footerReference w:type="default" r:id="rId10"/>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185" w:rsidRDefault="00537185">
      <w:pPr>
        <w:spacing w:after="0" w:line="240" w:lineRule="auto"/>
      </w:pPr>
      <w:r>
        <w:separator/>
      </w:r>
    </w:p>
  </w:endnote>
  <w:endnote w:type="continuationSeparator" w:id="0">
    <w:p w:rsidR="00537185" w:rsidRDefault="00537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orLotus">
    <w:altName w:val="Segoe UI Semilight"/>
    <w:panose1 w:val="02000400000000000000"/>
    <w:charset w:val="00"/>
    <w:family w:val="auto"/>
    <w:pitch w:val="variable"/>
    <w:sig w:usb0="00000000" w:usb1="80002000" w:usb2="00000008" w:usb3="00000000" w:csb0="00000043"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oorKoodak">
    <w:altName w:val="Segoe UI Semilight"/>
    <w:charset w:val="00"/>
    <w:family w:val="auto"/>
    <w:pitch w:val="variable"/>
    <w:sig w:usb0="00000000" w:usb1="80002000" w:usb2="00000008" w:usb3="00000000" w:csb0="0000004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8A6" w:rsidRDefault="00537185">
    <w:pPr>
      <w:pStyle w:val="Footer"/>
      <w:jc w:val="center"/>
    </w:pPr>
    <w:r>
      <w:fldChar w:fldCharType="begin"/>
    </w:r>
    <w:r>
      <w:instrText xml:space="preserve"> PAGE   \* MERGEFORMAT </w:instrText>
    </w:r>
    <w:r>
      <w:fldChar w:fldCharType="separate"/>
    </w:r>
    <w:r w:rsidR="00434048">
      <w:rPr>
        <w:noProof/>
        <w:rtl/>
      </w:rPr>
      <w:t>1</w:t>
    </w:r>
    <w:r>
      <w:rPr>
        <w:noProof/>
      </w:rPr>
      <w:fldChar w:fldCharType="end"/>
    </w:r>
  </w:p>
  <w:p w:rsidR="00A838A6" w:rsidRDefault="00A838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185" w:rsidRDefault="00537185">
      <w:pPr>
        <w:spacing w:after="0" w:line="240" w:lineRule="auto"/>
      </w:pPr>
      <w:r>
        <w:separator/>
      </w:r>
    </w:p>
  </w:footnote>
  <w:footnote w:type="continuationSeparator" w:id="0">
    <w:p w:rsidR="00537185" w:rsidRDefault="00537185">
      <w:pPr>
        <w:spacing w:after="0" w:line="240" w:lineRule="auto"/>
      </w:pPr>
      <w:r>
        <w:continuationSeparator/>
      </w:r>
    </w:p>
  </w:footnote>
  <w:footnote w:id="1">
    <w:p w:rsidR="00A838A6" w:rsidRDefault="00537185">
      <w:pPr>
        <w:pStyle w:val="FootnoteText"/>
      </w:pPr>
      <w:r>
        <w:rPr>
          <w:rStyle w:val="FootnoteReference"/>
          <w:rtl/>
        </w:rPr>
        <w:footnoteRef/>
      </w:r>
      <w:r>
        <w:rPr>
          <w:rtl/>
        </w:rPr>
        <w:t xml:space="preserve"> - مقالات الاصول،</w:t>
      </w:r>
      <w:r>
        <w:rPr>
          <w:rFonts w:hint="cs"/>
        </w:rPr>
        <w:t xml:space="preserve"> </w:t>
      </w:r>
      <w:r>
        <w:rPr>
          <w:rtl/>
        </w:rPr>
        <w:t>عراقی، ضیاء الدین، ج1، ص456.</w:t>
      </w:r>
    </w:p>
  </w:footnote>
  <w:footnote w:id="2">
    <w:p w:rsidR="00A838A6" w:rsidRDefault="00537185">
      <w:pPr>
        <w:pStyle w:val="FootnoteText"/>
      </w:pPr>
      <w:r>
        <w:rPr>
          <w:rStyle w:val="FootnoteReference"/>
        </w:rPr>
        <w:footnoteRef/>
      </w:r>
      <w:r>
        <w:rPr>
          <w:rtl/>
        </w:rPr>
        <w:t xml:space="preserve"> </w:t>
      </w:r>
      <w:r>
        <w:rPr>
          <w:rFonts w:hint="cs"/>
          <w:rtl/>
        </w:rPr>
        <w:t>بحوث فی علم الاصول، صدر، محمد باقر، ج3، ص360؛  مباحث الاصول، صدر، محمد باقر، ج3، ق2، ص361.</w:t>
      </w:r>
    </w:p>
  </w:footnote>
  <w:footnote w:id="3">
    <w:p w:rsidR="00A838A6" w:rsidRDefault="00537185">
      <w:pPr>
        <w:pStyle w:val="FootnoteText"/>
        <w:rPr>
          <w:rtl/>
        </w:rPr>
      </w:pPr>
      <w:r>
        <w:rPr>
          <w:rStyle w:val="FootnoteReference"/>
        </w:rPr>
        <w:footnoteRef/>
      </w:r>
      <w:r>
        <w:rPr>
          <w:rtl/>
        </w:rPr>
        <w:t xml:space="preserve"> </w:t>
      </w:r>
      <w:r>
        <w:rPr>
          <w:rFonts w:hint="cs"/>
          <w:rtl/>
        </w:rPr>
        <w:t>اضواء و آراء ؛ تعلیقات علی کتابنا بحوث فی علم الاصول، هاشمی شاهرودی، محمود، ج3، ص40.</w:t>
      </w:r>
    </w:p>
  </w:footnote>
  <w:footnote w:id="4">
    <w:p w:rsidR="00A838A6" w:rsidRDefault="00537185">
      <w:pPr>
        <w:pStyle w:val="FootnoteText"/>
        <w:rPr>
          <w:rtl/>
        </w:rPr>
      </w:pPr>
      <w:r>
        <w:rPr>
          <w:rStyle w:val="FootnoteReference"/>
        </w:rPr>
        <w:footnoteRef/>
      </w:r>
      <w:r>
        <w:rPr>
          <w:rtl/>
        </w:rPr>
        <w:t xml:space="preserve"> </w:t>
      </w:r>
      <w:r>
        <w:rPr>
          <w:rFonts w:hint="cs"/>
          <w:rtl/>
        </w:rPr>
        <w:t>بحوث فی علم الاصول، صدر، محمد باقر، ج3،  ص361.</w:t>
      </w:r>
    </w:p>
  </w:footnote>
  <w:footnote w:id="5">
    <w:p w:rsidR="00A838A6" w:rsidRDefault="00537185">
      <w:pPr>
        <w:pStyle w:val="FootnoteText"/>
        <w:rPr>
          <w:rtl/>
        </w:rPr>
      </w:pPr>
      <w:r>
        <w:rPr>
          <w:rStyle w:val="FootnoteReference"/>
        </w:rPr>
        <w:footnoteRef/>
      </w:r>
      <w:r>
        <w:rPr>
          <w:rtl/>
        </w:rPr>
        <w:t xml:space="preserve"> </w:t>
      </w:r>
      <w:r>
        <w:rPr>
          <w:rFonts w:hint="cs"/>
          <w:rtl/>
        </w:rPr>
        <w:t>بحوث فی علم الاصول، صدر، محمد باقر، ج3،  ص362.</w:t>
      </w:r>
    </w:p>
  </w:footnote>
  <w:footnote w:id="6">
    <w:p w:rsidR="00A838A6" w:rsidRDefault="00537185">
      <w:pPr>
        <w:pStyle w:val="FootnoteText"/>
      </w:pPr>
      <w:r>
        <w:rPr>
          <w:rStyle w:val="FootnoteReference"/>
        </w:rPr>
        <w:footnoteRef/>
      </w:r>
      <w:r>
        <w:rPr>
          <w:rtl/>
        </w:rPr>
        <w:t xml:space="preserve"> </w:t>
      </w:r>
      <w:r>
        <w:rPr>
          <w:rFonts w:hint="cs"/>
          <w:rtl/>
        </w:rPr>
        <w:t>کفایة الاصول(طبع آل البیت)، آخوند خراسانی، محمد کاظم بن حسین، ص226.</w:t>
      </w:r>
    </w:p>
  </w:footnote>
  <w:footnote w:id="7">
    <w:p w:rsidR="00A838A6" w:rsidRDefault="00537185">
      <w:pPr>
        <w:pStyle w:val="FootnoteText"/>
      </w:pPr>
      <w:r>
        <w:rPr>
          <w:rStyle w:val="FootnoteReference"/>
        </w:rPr>
        <w:footnoteRef/>
      </w:r>
      <w:r>
        <w:rPr>
          <w:rtl/>
        </w:rPr>
        <w:t xml:space="preserve"> </w:t>
      </w:r>
      <w:r>
        <w:rPr>
          <w:rFonts w:hint="cs"/>
          <w:rtl/>
        </w:rPr>
        <w:t>منهاج الصالحین(المحشی)، حکیم، سید محسن طباطبایی، ج1، ص9.</w:t>
      </w:r>
    </w:p>
  </w:footnote>
  <w:footnote w:id="8">
    <w:p w:rsidR="00A838A6" w:rsidRDefault="00537185">
      <w:pPr>
        <w:pStyle w:val="FootnoteText"/>
      </w:pPr>
      <w:r>
        <w:rPr>
          <w:rStyle w:val="FootnoteReference"/>
        </w:rPr>
        <w:footnoteRef/>
      </w:r>
      <w:r>
        <w:rPr>
          <w:rtl/>
        </w:rPr>
        <w:t xml:space="preserve"> </w:t>
      </w:r>
      <w:r>
        <w:rPr>
          <w:rFonts w:hint="cs"/>
          <w:rtl/>
        </w:rPr>
        <w:t>توضیح المسائل آیت الله العظمی سیستانی مطابق با تجدید نظر و اضافات، ص8.</w:t>
      </w:r>
    </w:p>
  </w:footnote>
  <w:footnote w:id="9">
    <w:p w:rsidR="00A838A6" w:rsidRDefault="00537185">
      <w:pPr>
        <w:pStyle w:val="FootnoteText"/>
      </w:pPr>
      <w:r>
        <w:rPr>
          <w:rStyle w:val="FootnoteReference"/>
        </w:rPr>
        <w:footnoteRef/>
      </w:r>
      <w:r>
        <w:rPr>
          <w:rtl/>
        </w:rPr>
        <w:t xml:space="preserve"> </w:t>
      </w:r>
      <w:r>
        <w:rPr>
          <w:rFonts w:hint="cs"/>
          <w:rtl/>
        </w:rPr>
        <w:t>تحریر الوسیلة، خمینی، سید روح الله موسوی، ج1،  ص9.</w:t>
      </w:r>
    </w:p>
  </w:footnote>
  <w:footnote w:id="10">
    <w:p w:rsidR="00A838A6" w:rsidRDefault="00537185">
      <w:pPr>
        <w:pStyle w:val="FootnoteText"/>
      </w:pPr>
      <w:r>
        <w:rPr>
          <w:rStyle w:val="FootnoteReference"/>
        </w:rPr>
        <w:footnoteRef/>
      </w:r>
      <w:r>
        <w:rPr>
          <w:rtl/>
        </w:rPr>
        <w:t xml:space="preserve"> </w:t>
      </w:r>
      <w:r>
        <w:rPr>
          <w:rFonts w:hint="cs"/>
          <w:rtl/>
        </w:rPr>
        <w:t>العروة الوثقی(للسید الیزدی)، یزدی، محمد کاظم طباطبایی، ج1، ص11.</w:t>
      </w:r>
    </w:p>
  </w:footnote>
  <w:footnote w:id="11">
    <w:p w:rsidR="00A838A6" w:rsidRDefault="00537185">
      <w:pPr>
        <w:pStyle w:val="FootnoteText"/>
        <w:rPr>
          <w:rtl/>
        </w:rPr>
      </w:pPr>
      <w:r>
        <w:rPr>
          <w:rStyle w:val="FootnoteReference"/>
        </w:rPr>
        <w:footnoteRef/>
      </w:r>
      <w:r>
        <w:rPr>
          <w:rtl/>
        </w:rPr>
        <w:t xml:space="preserve"> </w:t>
      </w:r>
      <w:r>
        <w:rPr>
          <w:rFonts w:hint="cs"/>
          <w:rtl/>
        </w:rPr>
        <w:t>نهایة الاصول، بروجردی، حسین، ص347.</w:t>
      </w:r>
    </w:p>
  </w:footnote>
  <w:footnote w:id="12">
    <w:p w:rsidR="00A838A6" w:rsidRDefault="00537185">
      <w:pPr>
        <w:pStyle w:val="FootnoteText"/>
        <w:rPr>
          <w:rFonts w:ascii="NoorLotus" w:hAnsi="NoorLotus"/>
          <w:rtl/>
        </w:rPr>
      </w:pPr>
      <w:r>
        <w:rPr>
          <w:rStyle w:val="FootnoteReference"/>
        </w:rPr>
        <w:footnoteRef/>
      </w:r>
      <w:r>
        <w:rPr>
          <w:rtl/>
        </w:rPr>
        <w:t xml:space="preserve"> </w:t>
      </w:r>
      <w:r>
        <w:rPr>
          <w:rFonts w:ascii="NoorLotus" w:hAnsi="NoorLotus"/>
          <w:rtl/>
        </w:rPr>
        <w:t>تکملة المنهاج، خویی، سید ابوالقاسم موسوی، ص40.</w:t>
      </w:r>
    </w:p>
    <w:p w:rsidR="00A838A6" w:rsidRDefault="00537185">
      <w:pPr>
        <w:pStyle w:val="FootnoteText"/>
        <w:rPr>
          <w:rFonts w:ascii="NoorLotus" w:hAnsi="NoorLotus"/>
        </w:rPr>
      </w:pPr>
      <w:r>
        <w:rPr>
          <w:rFonts w:ascii="NoorLotus" w:hAnsi="NoorLotus"/>
          <w:rtl/>
        </w:rPr>
        <w:t>متن منهاج:« من تزوج ذمية على مسلمة فجامعها عالما بالتحريم قبل إجازة المرأة المسلمة، كان عليه ثمن حد الزاني و إن لم ترض المرأة بذلك فرق بينهما»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8A6" w:rsidRDefault="00537185">
    <w:pPr>
      <w:pStyle w:val="Header"/>
      <w:pBdr>
        <w:top w:val="double" w:sz="4" w:space="1" w:color="auto"/>
        <w:left w:val="double" w:sz="4" w:space="4" w:color="auto"/>
        <w:bottom w:val="double" w:sz="4" w:space="4" w:color="auto"/>
        <w:right w:val="double" w:sz="4" w:space="4" w:color="auto"/>
      </w:pBdr>
      <w:tabs>
        <w:tab w:val="left" w:pos="720"/>
      </w:tabs>
      <w:rPr>
        <w:b/>
        <w:bCs/>
        <w:sz w:val="20"/>
        <w:szCs w:val="24"/>
      </w:rPr>
    </w:pPr>
    <w:r>
      <w:rPr>
        <w:rFonts w:hint="cs"/>
        <w:b/>
        <w:bCs/>
        <w:sz w:val="20"/>
        <w:szCs w:val="24"/>
        <w:rtl/>
      </w:rPr>
      <w:tab/>
    </w:r>
    <w:r>
      <w:rPr>
        <w:rFonts w:hint="cs"/>
        <w:b/>
        <w:bCs/>
        <w:sz w:val="20"/>
        <w:szCs w:val="24"/>
        <w:rtl/>
      </w:rPr>
      <w:tab/>
      <w:t>بسم الله الرحمن الرحیم</w:t>
    </w:r>
    <w:r>
      <w:rPr>
        <w:b/>
        <w:bCs/>
        <w:sz w:val="20"/>
        <w:szCs w:val="24"/>
        <w:rtl/>
      </w:rPr>
      <w:tab/>
    </w:r>
    <w:r>
      <w:rPr>
        <w:b/>
        <w:bCs/>
        <w:sz w:val="20"/>
        <w:szCs w:val="24"/>
        <w:rtl/>
      </w:rPr>
      <w:tab/>
    </w:r>
    <w:r>
      <w:rPr>
        <w:b/>
        <w:bCs/>
        <w:sz w:val="20"/>
        <w:szCs w:val="24"/>
      </w:rPr>
      <w:tab/>
    </w:r>
    <w:r>
      <w:rPr>
        <w:b/>
        <w:bCs/>
        <w:sz w:val="20"/>
        <w:szCs w:val="24"/>
      </w:rPr>
      <w:tab/>
    </w:r>
    <w:r>
      <w:rPr>
        <w:b/>
        <w:bCs/>
        <w:sz w:val="20"/>
        <w:szCs w:val="24"/>
        <w:rtl/>
      </w:rPr>
      <w:t>بسم الله الرحمن الرحیم</w:t>
    </w:r>
  </w:p>
  <w:p w:rsidR="00A838A6" w:rsidRDefault="00537185">
    <w:pPr>
      <w:pStyle w:val="Header"/>
      <w:pBdr>
        <w:top w:val="double" w:sz="4" w:space="1" w:color="auto"/>
        <w:left w:val="double" w:sz="4" w:space="4" w:color="auto"/>
        <w:bottom w:val="double" w:sz="4" w:space="4" w:color="auto"/>
        <w:right w:val="double" w:sz="4" w:space="4" w:color="auto"/>
      </w:pBdr>
      <w:tabs>
        <w:tab w:val="left" w:pos="720"/>
        <w:tab w:val="left" w:pos="4395"/>
      </w:tabs>
      <w:rPr>
        <w:rFonts w:ascii="NoorLotus" w:hAnsi="NoorLotus"/>
        <w:sz w:val="18"/>
        <w:szCs w:val="18"/>
      </w:rPr>
    </w:pPr>
    <w:r>
      <w:rPr>
        <w:rFonts w:ascii="NoorLotus" w:hAnsi="NoorLotus"/>
        <w:b/>
        <w:bCs/>
        <w:sz w:val="18"/>
        <w:szCs w:val="18"/>
        <w:rtl/>
      </w:rPr>
      <w:t>درس خارج اصول استاد شهیدی پور حفظه الله(دوره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Pr>
      <w:t xml:space="preserve"> </w:t>
    </w:r>
    <w:r>
      <w:rPr>
        <w:rFonts w:ascii="NoorLotus" w:hAnsi="NoorLotus"/>
        <w:sz w:val="18"/>
        <w:szCs w:val="18"/>
      </w:rPr>
      <w:tab/>
    </w:r>
    <w:r>
      <w:rPr>
        <w:rFonts w:ascii="NoorLotus" w:hAnsi="NoorLotus" w:hint="cs"/>
        <w:sz w:val="18"/>
        <w:szCs w:val="18"/>
        <w:rtl/>
      </w:rPr>
      <w:t>جلسه52</w:t>
    </w:r>
    <w:r>
      <w:rPr>
        <w:rFonts w:ascii="NoorLotus" w:hAnsi="NoorLotus"/>
        <w:sz w:val="18"/>
        <w:szCs w:val="18"/>
        <w:rtl/>
      </w:rPr>
      <w:t>(تاریخ</w:t>
    </w:r>
    <w:r>
      <w:rPr>
        <w:rFonts w:ascii="NoorLotus" w:hAnsi="NoorLotus" w:hint="cs"/>
        <w:sz w:val="18"/>
        <w:szCs w:val="18"/>
        <w:rtl/>
      </w:rPr>
      <w:t>:</w:t>
    </w:r>
    <w:r>
      <w:rPr>
        <w:rFonts w:ascii="NoorLotus" w:hAnsi="NoorLotus"/>
        <w:sz w:val="18"/>
        <w:szCs w:val="18"/>
      </w:rPr>
      <w:t>7</w:t>
    </w:r>
    <w:r>
      <w:rPr>
        <w:rFonts w:ascii="NoorLotus" w:hAnsi="NoorLotus"/>
        <w:sz w:val="18"/>
        <w:szCs w:val="18"/>
        <w:rtl/>
      </w:rPr>
      <w:t>/</w:t>
    </w:r>
    <w:r>
      <w:rPr>
        <w:rFonts w:ascii="NoorLotus" w:hAnsi="NoorLotus" w:hint="cs"/>
        <w:sz w:val="18"/>
        <w:szCs w:val="18"/>
        <w:rtl/>
      </w:rPr>
      <w:t>9</w:t>
    </w:r>
    <w:r>
      <w:rPr>
        <w:rFonts w:ascii="NoorLotus" w:hAnsi="NoorLotus"/>
        <w:sz w:val="18"/>
        <w:szCs w:val="18"/>
        <w:rtl/>
      </w:rPr>
      <w:t>/1401)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05F5A"/>
    <w:multiLevelType w:val="hybridMultilevel"/>
    <w:tmpl w:val="E776304C"/>
    <w:lvl w:ilvl="0" w:tplc="81BEB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8A6"/>
    <w:rsid w:val="00434048"/>
    <w:rsid w:val="00537185"/>
    <w:rsid w:val="00787A13"/>
    <w:rsid w:val="007B7851"/>
    <w:rsid w:val="0098695E"/>
    <w:rsid w:val="00A838A6"/>
    <w:rsid w:val="00DC77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160" w:line="256" w:lineRule="auto"/>
    </w:pPr>
    <w:rPr>
      <w:rFonts w:cs="NoorLotus"/>
      <w:szCs w:val="28"/>
      <w:lang w:bidi="fa-IR"/>
    </w:rPr>
  </w:style>
  <w:style w:type="paragraph" w:styleId="Heading1">
    <w:name w:val="heading 1"/>
    <w:basedOn w:val="Normal"/>
    <w:next w:val="Normal"/>
    <w:link w:val="Heading1Char"/>
    <w:uiPriority w:val="9"/>
    <w:qFormat/>
    <w:pPr>
      <w:keepNext/>
      <w:keepLines/>
      <w:spacing w:after="0" w:line="259" w:lineRule="auto"/>
      <w:outlineLvl w:val="0"/>
    </w:pPr>
    <w:rPr>
      <w:rFonts w:ascii="NoorLotus" w:eastAsia="NoorLotus" w:hAnsi="NoorLotus"/>
      <w:b/>
      <w:bCs/>
      <w:sz w:val="32"/>
      <w:szCs w:val="36"/>
    </w:rPr>
  </w:style>
  <w:style w:type="paragraph" w:styleId="Heading2">
    <w:name w:val="heading 2"/>
    <w:basedOn w:val="Normal"/>
    <w:next w:val="Normal"/>
    <w:link w:val="Heading2Char"/>
    <w:uiPriority w:val="9"/>
    <w:qFormat/>
    <w:pPr>
      <w:keepNext/>
      <w:keepLines/>
      <w:spacing w:before="40" w:after="0"/>
      <w:outlineLvl w:val="1"/>
    </w:pPr>
    <w:rPr>
      <w:rFonts w:ascii="Calibri Light" w:eastAsia="SimSun" w:hAnsi="Calibri Light" w:cs="NoorKoodak"/>
      <w:bCs/>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NoorLotus" w:eastAsia="NoorLotus" w:hAnsi="NoorLotus" w:cs="NoorLotus"/>
      <w:b/>
      <w:bCs/>
      <w:sz w:val="32"/>
      <w:szCs w:val="36"/>
    </w:rPr>
  </w:style>
  <w:style w:type="character" w:customStyle="1" w:styleId="Heading2Char">
    <w:name w:val="Heading 2 Char"/>
    <w:basedOn w:val="DefaultParagraphFont"/>
    <w:link w:val="Heading2"/>
    <w:uiPriority w:val="9"/>
    <w:rPr>
      <w:rFonts w:ascii="Calibri Light" w:eastAsia="SimSun" w:hAnsi="Calibri Light" w:cs="NoorKoodak"/>
      <w:bCs/>
      <w:sz w:val="26"/>
      <w:szCs w:val="32"/>
      <w:lang w:bidi="fa-IR"/>
    </w:rPr>
  </w:style>
  <w:style w:type="character" w:styleId="Hyperlink">
    <w:name w:val="Hyperlink"/>
    <w:basedOn w:val="DefaultParagraphFont"/>
    <w:uiPriority w:val="99"/>
    <w:rPr>
      <w:color w:val="0563C1"/>
      <w:u w:val="single"/>
    </w:rPr>
  </w:style>
  <w:style w:type="paragraph" w:styleId="TOC1">
    <w:name w:val="toc 1"/>
    <w:basedOn w:val="Normal"/>
    <w:next w:val="Normal"/>
    <w:uiPriority w:val="39"/>
    <w:pPr>
      <w:spacing w:after="100"/>
    </w:pPr>
  </w:style>
  <w:style w:type="paragraph" w:styleId="TOC2">
    <w:name w:val="toc 2"/>
    <w:basedOn w:val="Normal"/>
    <w:next w:val="Normal"/>
    <w:uiPriority w:val="39"/>
    <w:pPr>
      <w:spacing w:after="100"/>
      <w:ind w:left="220"/>
    </w:p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rFonts w:ascii="Calibri" w:eastAsia="Calibri" w:hAnsi="Calibri" w:cs="NoorLotus"/>
      <w:sz w:val="20"/>
      <w:szCs w:val="20"/>
      <w:lang w:bidi="fa-IR"/>
    </w:rPr>
  </w:style>
  <w:style w:type="paragraph" w:styleId="TOCHeading">
    <w:name w:val="TOC Heading"/>
    <w:basedOn w:val="Heading1"/>
    <w:next w:val="Normal"/>
    <w:uiPriority w:val="39"/>
    <w:qFormat/>
    <w:pPr>
      <w:bidi w:val="0"/>
      <w:spacing w:before="240" w:line="256" w:lineRule="auto"/>
      <w:outlineLvl w:val="9"/>
    </w:pPr>
    <w:rPr>
      <w:rFonts w:ascii="Calibri Light" w:eastAsia="SimSun" w:hAnsi="Calibri Light" w:cs="Times New Roman"/>
      <w:b w:val="0"/>
      <w:color w:val="2E74B5"/>
      <w:szCs w:val="32"/>
    </w:rPr>
  </w:style>
  <w:style w:type="character" w:styleId="FootnoteReference">
    <w:name w:val="footnote reference"/>
    <w:basedOn w:val="DefaultParagraphFont"/>
    <w:uiPriority w:val="99"/>
    <w:rPr>
      <w:vertAlign w:val="superscript"/>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Calibri" w:hAnsi="Calibri" w:cs="NoorLotus"/>
      <w:szCs w:val="28"/>
      <w:lang w:bidi="fa-IR"/>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eastAsia="Calibri" w:hAnsi="Calibri" w:cs="NoorLotus"/>
      <w:szCs w:val="28"/>
      <w:lang w:bidi="fa-IR"/>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lang w:bidi="fa-IR"/>
    </w:rPr>
  </w:style>
  <w:style w:type="paragraph" w:styleId="NormalWeb">
    <w:name w:val="Normal (Web)"/>
    <w:basedOn w:val="Normal"/>
    <w:uiPriority w:val="99"/>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NoSpacing">
    <w:name w:val="No Spacing"/>
    <w:link w:val="NoSpacingChar"/>
    <w:uiPriority w:val="1"/>
    <w:qFormat/>
    <w:pPr>
      <w:bidi/>
      <w:spacing w:after="0" w:line="240" w:lineRule="auto"/>
    </w:pPr>
    <w:rPr>
      <w:rFonts w:cs="NoorLotus"/>
      <w:szCs w:val="28"/>
      <w:lang w:bidi="fa-IR"/>
    </w:rPr>
  </w:style>
  <w:style w:type="character" w:customStyle="1" w:styleId="NoSpacingChar">
    <w:name w:val="No Spacing Char"/>
    <w:basedOn w:val="DefaultParagraphFont"/>
    <w:link w:val="NoSpacing"/>
    <w:uiPriority w:val="1"/>
    <w:rsid w:val="007B7851"/>
    <w:rPr>
      <w:rFonts w:cs="NoorLotus"/>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160" w:line="256" w:lineRule="auto"/>
    </w:pPr>
    <w:rPr>
      <w:rFonts w:cs="NoorLotus"/>
      <w:szCs w:val="28"/>
      <w:lang w:bidi="fa-IR"/>
    </w:rPr>
  </w:style>
  <w:style w:type="paragraph" w:styleId="Heading1">
    <w:name w:val="heading 1"/>
    <w:basedOn w:val="Normal"/>
    <w:next w:val="Normal"/>
    <w:link w:val="Heading1Char"/>
    <w:uiPriority w:val="9"/>
    <w:qFormat/>
    <w:pPr>
      <w:keepNext/>
      <w:keepLines/>
      <w:spacing w:after="0" w:line="259" w:lineRule="auto"/>
      <w:outlineLvl w:val="0"/>
    </w:pPr>
    <w:rPr>
      <w:rFonts w:ascii="NoorLotus" w:eastAsia="NoorLotus" w:hAnsi="NoorLotus"/>
      <w:b/>
      <w:bCs/>
      <w:sz w:val="32"/>
      <w:szCs w:val="36"/>
    </w:rPr>
  </w:style>
  <w:style w:type="paragraph" w:styleId="Heading2">
    <w:name w:val="heading 2"/>
    <w:basedOn w:val="Normal"/>
    <w:next w:val="Normal"/>
    <w:link w:val="Heading2Char"/>
    <w:uiPriority w:val="9"/>
    <w:qFormat/>
    <w:pPr>
      <w:keepNext/>
      <w:keepLines/>
      <w:spacing w:before="40" w:after="0"/>
      <w:outlineLvl w:val="1"/>
    </w:pPr>
    <w:rPr>
      <w:rFonts w:ascii="Calibri Light" w:eastAsia="SimSun" w:hAnsi="Calibri Light" w:cs="NoorKoodak"/>
      <w:bCs/>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NoorLotus" w:eastAsia="NoorLotus" w:hAnsi="NoorLotus" w:cs="NoorLotus"/>
      <w:b/>
      <w:bCs/>
      <w:sz w:val="32"/>
      <w:szCs w:val="36"/>
    </w:rPr>
  </w:style>
  <w:style w:type="character" w:customStyle="1" w:styleId="Heading2Char">
    <w:name w:val="Heading 2 Char"/>
    <w:basedOn w:val="DefaultParagraphFont"/>
    <w:link w:val="Heading2"/>
    <w:uiPriority w:val="9"/>
    <w:rPr>
      <w:rFonts w:ascii="Calibri Light" w:eastAsia="SimSun" w:hAnsi="Calibri Light" w:cs="NoorKoodak"/>
      <w:bCs/>
      <w:sz w:val="26"/>
      <w:szCs w:val="32"/>
      <w:lang w:bidi="fa-IR"/>
    </w:rPr>
  </w:style>
  <w:style w:type="character" w:styleId="Hyperlink">
    <w:name w:val="Hyperlink"/>
    <w:basedOn w:val="DefaultParagraphFont"/>
    <w:uiPriority w:val="99"/>
    <w:rPr>
      <w:color w:val="0563C1"/>
      <w:u w:val="single"/>
    </w:rPr>
  </w:style>
  <w:style w:type="paragraph" w:styleId="TOC1">
    <w:name w:val="toc 1"/>
    <w:basedOn w:val="Normal"/>
    <w:next w:val="Normal"/>
    <w:uiPriority w:val="39"/>
    <w:pPr>
      <w:spacing w:after="100"/>
    </w:pPr>
  </w:style>
  <w:style w:type="paragraph" w:styleId="TOC2">
    <w:name w:val="toc 2"/>
    <w:basedOn w:val="Normal"/>
    <w:next w:val="Normal"/>
    <w:uiPriority w:val="39"/>
    <w:pPr>
      <w:spacing w:after="100"/>
      <w:ind w:left="220"/>
    </w:p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rFonts w:ascii="Calibri" w:eastAsia="Calibri" w:hAnsi="Calibri" w:cs="NoorLotus"/>
      <w:sz w:val="20"/>
      <w:szCs w:val="20"/>
      <w:lang w:bidi="fa-IR"/>
    </w:rPr>
  </w:style>
  <w:style w:type="paragraph" w:styleId="TOCHeading">
    <w:name w:val="TOC Heading"/>
    <w:basedOn w:val="Heading1"/>
    <w:next w:val="Normal"/>
    <w:uiPriority w:val="39"/>
    <w:qFormat/>
    <w:pPr>
      <w:bidi w:val="0"/>
      <w:spacing w:before="240" w:line="256" w:lineRule="auto"/>
      <w:outlineLvl w:val="9"/>
    </w:pPr>
    <w:rPr>
      <w:rFonts w:ascii="Calibri Light" w:eastAsia="SimSun" w:hAnsi="Calibri Light" w:cs="Times New Roman"/>
      <w:b w:val="0"/>
      <w:color w:val="2E74B5"/>
      <w:szCs w:val="32"/>
    </w:rPr>
  </w:style>
  <w:style w:type="character" w:styleId="FootnoteReference">
    <w:name w:val="footnote reference"/>
    <w:basedOn w:val="DefaultParagraphFont"/>
    <w:uiPriority w:val="99"/>
    <w:rPr>
      <w:vertAlign w:val="superscript"/>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Calibri" w:hAnsi="Calibri" w:cs="NoorLotus"/>
      <w:szCs w:val="28"/>
      <w:lang w:bidi="fa-IR"/>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eastAsia="Calibri" w:hAnsi="Calibri" w:cs="NoorLotus"/>
      <w:szCs w:val="28"/>
      <w:lang w:bidi="fa-IR"/>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lang w:bidi="fa-IR"/>
    </w:rPr>
  </w:style>
  <w:style w:type="paragraph" w:styleId="NormalWeb">
    <w:name w:val="Normal (Web)"/>
    <w:basedOn w:val="Normal"/>
    <w:uiPriority w:val="99"/>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NoSpacing">
    <w:name w:val="No Spacing"/>
    <w:link w:val="NoSpacingChar"/>
    <w:uiPriority w:val="1"/>
    <w:qFormat/>
    <w:pPr>
      <w:bidi/>
      <w:spacing w:after="0" w:line="240" w:lineRule="auto"/>
    </w:pPr>
    <w:rPr>
      <w:rFonts w:cs="NoorLotus"/>
      <w:szCs w:val="28"/>
      <w:lang w:bidi="fa-IR"/>
    </w:rPr>
  </w:style>
  <w:style w:type="character" w:customStyle="1" w:styleId="NoSpacingChar">
    <w:name w:val="No Spacing Char"/>
    <w:basedOn w:val="DefaultParagraphFont"/>
    <w:link w:val="NoSpacing"/>
    <w:uiPriority w:val="1"/>
    <w:rsid w:val="007B7851"/>
    <w:rPr>
      <w:rFonts w:cs="NoorLotus"/>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39323-20DA-468B-A5ED-437F97791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محمدمهدی عمادی</cp:lastModifiedBy>
  <cp:revision>7</cp:revision>
  <cp:lastPrinted>2022-11-28T02:50:00Z</cp:lastPrinted>
  <dcterms:created xsi:type="dcterms:W3CDTF">2022-11-28T19:57:00Z</dcterms:created>
  <dcterms:modified xsi:type="dcterms:W3CDTF">2022-12-01T07:42:00Z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8c4644a8fa72492fbbd9c289f9f8744f</vt:lpwstr>
  </property>
</Properties>
</file>