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Cs/>
          <w:rtl/>
        </w:rPr>
        <w:id w:val="-1560856552"/>
        <w:docPartObj>
          <w:docPartGallery w:val="Table of Contents"/>
          <w:docPartUnique/>
        </w:docPartObj>
      </w:sdtPr>
      <w:sdtEndPr>
        <w:rPr>
          <w:b/>
          <w:bCs w:val="0"/>
          <w:noProof/>
        </w:rPr>
      </w:sdtEndPr>
      <w:sdtContent>
        <w:p w:rsidR="00FF569A" w:rsidRDefault="00FF569A" w:rsidP="00FF569A">
          <w:r>
            <w:rPr>
              <w:rtl/>
            </w:rPr>
            <w:t>بسمه تعالی</w:t>
          </w:r>
        </w:p>
        <w:p w:rsidR="00F06BD0" w:rsidRDefault="00FF569A" w:rsidP="00FF569A">
          <w:pPr>
            <w:pStyle w:val="TOCHeading"/>
            <w:bidi/>
            <w:rPr>
              <w:rFonts w:hint="cs"/>
              <w:rtl/>
            </w:rPr>
          </w:pPr>
          <w:bookmarkStart w:id="0" w:name="_Toc119843303"/>
          <w:bookmarkStart w:id="1" w:name="_Toc120372668"/>
          <w:r>
            <w:rPr>
              <w:color w:val="FF0000"/>
              <w:rtl/>
            </w:rPr>
            <w:t>مو</w:t>
          </w:r>
          <w:bookmarkStart w:id="2" w:name="_GoBack"/>
          <w:bookmarkEnd w:id="2"/>
          <w:r>
            <w:rPr>
              <w:color w:val="FF0000"/>
              <w:rtl/>
            </w:rPr>
            <w:t xml:space="preserve">ضوع: </w:t>
          </w:r>
          <w:bookmarkEnd w:id="0"/>
          <w:r>
            <w:rPr>
              <w:rtl/>
            </w:rPr>
            <w:t>لزوم فحص از مخصص / عام و خا</w:t>
          </w:r>
          <w:bookmarkEnd w:id="1"/>
          <w:r>
            <w:rPr>
              <w:rFonts w:hint="cs"/>
              <w:rtl/>
            </w:rPr>
            <w:t>ص</w:t>
          </w:r>
        </w:p>
        <w:p w:rsidR="00FF569A" w:rsidRDefault="00FF569A" w:rsidP="00FF569A">
          <w:pPr>
            <w:rPr>
              <w:rFonts w:hint="cs"/>
              <w:rtl/>
            </w:rPr>
          </w:pPr>
        </w:p>
        <w:p w:rsidR="00FF569A" w:rsidRPr="00FF569A" w:rsidRDefault="00FF569A" w:rsidP="00FF569A">
          <w:r>
            <w:rPr>
              <w:rFonts w:hint="cs"/>
              <w:rtl/>
            </w:rPr>
            <w:t>فهرست مطالب:</w:t>
          </w:r>
        </w:p>
        <w:p w:rsidR="00F06BD0" w:rsidRDefault="00F06BD0" w:rsidP="00F06BD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0694065" w:history="1">
            <w:r w:rsidRPr="00C30533">
              <w:rPr>
                <w:rStyle w:val="Hyperlink"/>
                <w:rFonts w:hint="eastAsia"/>
                <w:noProof/>
                <w:rtl/>
              </w:rPr>
              <w:t>لزوم</w:t>
            </w:r>
            <w:r w:rsidRPr="00C30533">
              <w:rPr>
                <w:rStyle w:val="Hyperlink"/>
                <w:noProof/>
                <w:rtl/>
              </w:rPr>
              <w:t xml:space="preserve"> </w:t>
            </w:r>
            <w:r w:rsidRPr="00C30533">
              <w:rPr>
                <w:rStyle w:val="Hyperlink"/>
                <w:rFonts w:hint="eastAsia"/>
                <w:noProof/>
                <w:rtl/>
              </w:rPr>
              <w:t>فحص</w:t>
            </w:r>
            <w:r w:rsidRPr="00C30533">
              <w:rPr>
                <w:rStyle w:val="Hyperlink"/>
                <w:noProof/>
                <w:rtl/>
              </w:rPr>
              <w:t xml:space="preserve"> </w:t>
            </w:r>
            <w:r w:rsidRPr="00C30533">
              <w:rPr>
                <w:rStyle w:val="Hyperlink"/>
                <w:rFonts w:hint="eastAsia"/>
                <w:noProof/>
                <w:rtl/>
              </w:rPr>
              <w:t>از</w:t>
            </w:r>
            <w:r w:rsidRPr="00C30533">
              <w:rPr>
                <w:rStyle w:val="Hyperlink"/>
                <w:noProof/>
                <w:rtl/>
              </w:rPr>
              <w:t xml:space="preserve"> </w:t>
            </w:r>
            <w:r w:rsidRPr="00C30533">
              <w:rPr>
                <w:rStyle w:val="Hyperlink"/>
                <w:rFonts w:hint="eastAsia"/>
                <w:noProof/>
                <w:rtl/>
              </w:rPr>
              <w:t>مخصص</w:t>
            </w:r>
            <w:r w:rsidRPr="00C30533">
              <w:rPr>
                <w:rStyle w:val="Hyperlink"/>
                <w:noProof/>
                <w:rtl/>
              </w:rPr>
              <w:t xml:space="preserve"> </w:t>
            </w:r>
            <w:r w:rsidRPr="00C30533">
              <w:rPr>
                <w:rStyle w:val="Hyperlink"/>
                <w:rFonts w:hint="eastAsia"/>
                <w:noProof/>
                <w:rtl/>
              </w:rPr>
              <w:t>منفصل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_Toc120694065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76E6"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6BD0" w:rsidRDefault="001673FA" w:rsidP="00F06BD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0694066" w:history="1">
            <w:r w:rsidR="00F06BD0" w:rsidRPr="00C30533">
              <w:rPr>
                <w:rStyle w:val="Hyperlink"/>
                <w:rFonts w:hint="eastAsia"/>
                <w:noProof/>
                <w:rtl/>
              </w:rPr>
              <w:t>تفاوت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زمان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ائمه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عل</w:t>
            </w:r>
            <w:r w:rsidR="00F06BD0" w:rsidRPr="00C30533">
              <w:rPr>
                <w:rStyle w:val="Hyperlink"/>
                <w:rFonts w:hint="cs"/>
                <w:noProof/>
                <w:rtl/>
              </w:rPr>
              <w:t>ی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هم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السلام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با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زمان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ما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در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لزوم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فحص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از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مخصص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منفصل</w:t>
            </w:r>
            <w:r w:rsidR="00F06BD0">
              <w:rPr>
                <w:noProof/>
                <w:webHidden/>
              </w:rPr>
              <w:tab/>
            </w:r>
            <w:r w:rsidR="00F06BD0">
              <w:rPr>
                <w:noProof/>
                <w:webHidden/>
              </w:rPr>
              <w:fldChar w:fldCharType="begin"/>
            </w:r>
            <w:r w:rsidR="00F06BD0">
              <w:rPr>
                <w:noProof/>
                <w:webHidden/>
              </w:rPr>
              <w:instrText xml:space="preserve"> PAGEREF _Toc120694066 \h </w:instrText>
            </w:r>
            <w:r w:rsidR="00F06BD0">
              <w:rPr>
                <w:noProof/>
                <w:webHidden/>
              </w:rPr>
            </w:r>
            <w:r w:rsidR="00F06BD0">
              <w:rPr>
                <w:noProof/>
                <w:webHidden/>
              </w:rPr>
              <w:fldChar w:fldCharType="separate"/>
            </w:r>
            <w:r w:rsidR="005476E6">
              <w:rPr>
                <w:noProof/>
                <w:webHidden/>
                <w:rtl/>
              </w:rPr>
              <w:t>2</w:t>
            </w:r>
            <w:r w:rsidR="00F06BD0">
              <w:rPr>
                <w:noProof/>
                <w:webHidden/>
              </w:rPr>
              <w:fldChar w:fldCharType="end"/>
            </w:r>
          </w:hyperlink>
        </w:p>
        <w:p w:rsidR="00F06BD0" w:rsidRDefault="001673FA" w:rsidP="00F06BD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0694067" w:history="1">
            <w:r w:rsidR="00F06BD0" w:rsidRPr="00C30533">
              <w:rPr>
                <w:rStyle w:val="Hyperlink"/>
                <w:rFonts w:hint="eastAsia"/>
                <w:noProof/>
                <w:rtl/>
              </w:rPr>
              <w:t>کلام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محقق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داماد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رحمه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الله</w:t>
            </w:r>
            <w:r w:rsidR="00F06BD0" w:rsidRPr="00C30533">
              <w:rPr>
                <w:rStyle w:val="Hyperlink"/>
                <w:noProof/>
                <w:rtl/>
              </w:rPr>
              <w:t xml:space="preserve">: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ادله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cs"/>
                <w:noProof/>
                <w:rtl/>
              </w:rPr>
              <w:t>ی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تعبد</w:t>
            </w:r>
            <w:r w:rsidR="00F06BD0" w:rsidRPr="00C30533">
              <w:rPr>
                <w:rStyle w:val="Hyperlink"/>
                <w:rFonts w:hint="cs"/>
                <w:noProof/>
                <w:rtl/>
              </w:rPr>
              <w:t>ی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ه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بر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لزوم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فحص</w:t>
            </w:r>
            <w:r w:rsidR="00F06BD0">
              <w:rPr>
                <w:noProof/>
                <w:webHidden/>
              </w:rPr>
              <w:tab/>
            </w:r>
            <w:r w:rsidR="00F06BD0">
              <w:rPr>
                <w:noProof/>
                <w:webHidden/>
              </w:rPr>
              <w:fldChar w:fldCharType="begin"/>
            </w:r>
            <w:r w:rsidR="00F06BD0">
              <w:rPr>
                <w:noProof/>
                <w:webHidden/>
              </w:rPr>
              <w:instrText xml:space="preserve"> PAGEREF _Toc120694067 \h </w:instrText>
            </w:r>
            <w:r w:rsidR="00F06BD0">
              <w:rPr>
                <w:noProof/>
                <w:webHidden/>
              </w:rPr>
            </w:r>
            <w:r w:rsidR="00F06BD0">
              <w:rPr>
                <w:noProof/>
                <w:webHidden/>
              </w:rPr>
              <w:fldChar w:fldCharType="separate"/>
            </w:r>
            <w:r w:rsidR="005476E6">
              <w:rPr>
                <w:noProof/>
                <w:webHidden/>
                <w:rtl/>
              </w:rPr>
              <w:t>2</w:t>
            </w:r>
            <w:r w:rsidR="00F06BD0">
              <w:rPr>
                <w:noProof/>
                <w:webHidden/>
              </w:rPr>
              <w:fldChar w:fldCharType="end"/>
            </w:r>
          </w:hyperlink>
        </w:p>
        <w:p w:rsidR="00F06BD0" w:rsidRDefault="001673FA" w:rsidP="00F06BD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0694068" w:history="1">
            <w:r w:rsidR="00F06BD0" w:rsidRPr="00C30533">
              <w:rPr>
                <w:rStyle w:val="Hyperlink"/>
                <w:rFonts w:hint="eastAsia"/>
                <w:noProof/>
                <w:rtl/>
              </w:rPr>
              <w:t>مقدار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فحص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لازم</w:t>
            </w:r>
            <w:r w:rsidR="00F06BD0">
              <w:rPr>
                <w:noProof/>
                <w:webHidden/>
              </w:rPr>
              <w:tab/>
            </w:r>
            <w:r w:rsidR="00F06BD0">
              <w:rPr>
                <w:noProof/>
                <w:webHidden/>
              </w:rPr>
              <w:fldChar w:fldCharType="begin"/>
            </w:r>
            <w:r w:rsidR="00F06BD0">
              <w:rPr>
                <w:noProof/>
                <w:webHidden/>
              </w:rPr>
              <w:instrText xml:space="preserve"> PAGEREF _Toc120694068 \h </w:instrText>
            </w:r>
            <w:r w:rsidR="00F06BD0">
              <w:rPr>
                <w:noProof/>
                <w:webHidden/>
              </w:rPr>
            </w:r>
            <w:r w:rsidR="00F06BD0">
              <w:rPr>
                <w:noProof/>
                <w:webHidden/>
              </w:rPr>
              <w:fldChar w:fldCharType="separate"/>
            </w:r>
            <w:r w:rsidR="005476E6">
              <w:rPr>
                <w:noProof/>
                <w:webHidden/>
                <w:rtl/>
              </w:rPr>
              <w:t>3</w:t>
            </w:r>
            <w:r w:rsidR="00F06BD0">
              <w:rPr>
                <w:noProof/>
                <w:webHidden/>
              </w:rPr>
              <w:fldChar w:fldCharType="end"/>
            </w:r>
          </w:hyperlink>
        </w:p>
        <w:p w:rsidR="00F06BD0" w:rsidRDefault="001673FA" w:rsidP="00F06BD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0694069" w:history="1">
            <w:r w:rsidR="00F06BD0" w:rsidRPr="00C30533">
              <w:rPr>
                <w:rStyle w:val="Hyperlink"/>
                <w:rFonts w:hint="eastAsia"/>
                <w:noProof/>
                <w:rtl/>
              </w:rPr>
              <w:t>کلام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مرحوم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آخوند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رحمه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الله</w:t>
            </w:r>
            <w:r w:rsidR="00F06BD0">
              <w:rPr>
                <w:noProof/>
                <w:webHidden/>
              </w:rPr>
              <w:tab/>
            </w:r>
            <w:r w:rsidR="00F06BD0">
              <w:rPr>
                <w:noProof/>
                <w:webHidden/>
              </w:rPr>
              <w:fldChar w:fldCharType="begin"/>
            </w:r>
            <w:r w:rsidR="00F06BD0">
              <w:rPr>
                <w:noProof/>
                <w:webHidden/>
              </w:rPr>
              <w:instrText xml:space="preserve"> PAGEREF _Toc120694069 \h </w:instrText>
            </w:r>
            <w:r w:rsidR="00F06BD0">
              <w:rPr>
                <w:noProof/>
                <w:webHidden/>
              </w:rPr>
            </w:r>
            <w:r w:rsidR="00F06BD0">
              <w:rPr>
                <w:noProof/>
                <w:webHidden/>
              </w:rPr>
              <w:fldChar w:fldCharType="separate"/>
            </w:r>
            <w:r w:rsidR="005476E6">
              <w:rPr>
                <w:noProof/>
                <w:webHidden/>
                <w:rtl/>
              </w:rPr>
              <w:t>3</w:t>
            </w:r>
            <w:r w:rsidR="00F06BD0">
              <w:rPr>
                <w:noProof/>
                <w:webHidden/>
              </w:rPr>
              <w:fldChar w:fldCharType="end"/>
            </w:r>
          </w:hyperlink>
        </w:p>
        <w:p w:rsidR="00F06BD0" w:rsidRDefault="001673FA" w:rsidP="00F06BD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0694070" w:history="1">
            <w:r w:rsidR="00F06BD0" w:rsidRPr="00C30533">
              <w:rPr>
                <w:rStyle w:val="Hyperlink"/>
                <w:rFonts w:hint="eastAsia"/>
                <w:noProof/>
                <w:rtl/>
              </w:rPr>
              <w:t>بررس</w:t>
            </w:r>
            <w:r w:rsidR="00F06BD0" w:rsidRPr="00C30533">
              <w:rPr>
                <w:rStyle w:val="Hyperlink"/>
                <w:rFonts w:hint="cs"/>
                <w:noProof/>
                <w:rtl/>
              </w:rPr>
              <w:t>ی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کلام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مرحوم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آخوند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رحمه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الله</w:t>
            </w:r>
            <w:r w:rsidR="00F06BD0">
              <w:rPr>
                <w:noProof/>
                <w:webHidden/>
              </w:rPr>
              <w:tab/>
            </w:r>
            <w:r w:rsidR="00F06BD0">
              <w:rPr>
                <w:noProof/>
                <w:webHidden/>
              </w:rPr>
              <w:fldChar w:fldCharType="begin"/>
            </w:r>
            <w:r w:rsidR="00F06BD0">
              <w:rPr>
                <w:noProof/>
                <w:webHidden/>
              </w:rPr>
              <w:instrText xml:space="preserve"> PAGEREF _Toc120694070 \h </w:instrText>
            </w:r>
            <w:r w:rsidR="00F06BD0">
              <w:rPr>
                <w:noProof/>
                <w:webHidden/>
              </w:rPr>
            </w:r>
            <w:r w:rsidR="00F06BD0">
              <w:rPr>
                <w:noProof/>
                <w:webHidden/>
              </w:rPr>
              <w:fldChar w:fldCharType="separate"/>
            </w:r>
            <w:r w:rsidR="005476E6">
              <w:rPr>
                <w:noProof/>
                <w:webHidden/>
                <w:rtl/>
              </w:rPr>
              <w:t>4</w:t>
            </w:r>
            <w:r w:rsidR="00F06BD0">
              <w:rPr>
                <w:noProof/>
                <w:webHidden/>
              </w:rPr>
              <w:fldChar w:fldCharType="end"/>
            </w:r>
          </w:hyperlink>
        </w:p>
        <w:p w:rsidR="00F06BD0" w:rsidRDefault="001673FA" w:rsidP="00F06BD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0694071" w:history="1">
            <w:r w:rsidR="00F06BD0" w:rsidRPr="00C30533">
              <w:rPr>
                <w:rStyle w:val="Hyperlink"/>
                <w:rFonts w:hint="eastAsia"/>
                <w:noProof/>
                <w:rtl/>
              </w:rPr>
              <w:t>فحص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از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مخصص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متصل</w:t>
            </w:r>
            <w:r w:rsidR="00F06BD0">
              <w:rPr>
                <w:noProof/>
                <w:webHidden/>
              </w:rPr>
              <w:tab/>
            </w:r>
            <w:r w:rsidR="00F06BD0">
              <w:rPr>
                <w:noProof/>
                <w:webHidden/>
              </w:rPr>
              <w:fldChar w:fldCharType="begin"/>
            </w:r>
            <w:r w:rsidR="00F06BD0">
              <w:rPr>
                <w:noProof/>
                <w:webHidden/>
              </w:rPr>
              <w:instrText xml:space="preserve"> PAGEREF _Toc120694071 \h </w:instrText>
            </w:r>
            <w:r w:rsidR="00F06BD0">
              <w:rPr>
                <w:noProof/>
                <w:webHidden/>
              </w:rPr>
            </w:r>
            <w:r w:rsidR="00F06BD0">
              <w:rPr>
                <w:noProof/>
                <w:webHidden/>
              </w:rPr>
              <w:fldChar w:fldCharType="separate"/>
            </w:r>
            <w:r w:rsidR="005476E6">
              <w:rPr>
                <w:noProof/>
                <w:webHidden/>
                <w:rtl/>
              </w:rPr>
              <w:t>4</w:t>
            </w:r>
            <w:r w:rsidR="00F06BD0">
              <w:rPr>
                <w:noProof/>
                <w:webHidden/>
              </w:rPr>
              <w:fldChar w:fldCharType="end"/>
            </w:r>
          </w:hyperlink>
        </w:p>
        <w:p w:rsidR="00F06BD0" w:rsidRDefault="001673FA" w:rsidP="00F06BD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0694072" w:history="1">
            <w:r w:rsidR="00F06BD0" w:rsidRPr="00C30533">
              <w:rPr>
                <w:rStyle w:val="Hyperlink"/>
                <w:rFonts w:hint="eastAsia"/>
                <w:noProof/>
                <w:rtl/>
              </w:rPr>
              <w:t>کلام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مرحوم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اخوند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رحمه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الله</w:t>
            </w:r>
            <w:r w:rsidR="00F06BD0" w:rsidRPr="00C30533">
              <w:rPr>
                <w:rStyle w:val="Hyperlink"/>
                <w:noProof/>
                <w:rtl/>
              </w:rPr>
              <w:t xml:space="preserve">: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عدم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لزوم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فحص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از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مخصص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متصل</w:t>
            </w:r>
            <w:r w:rsidR="00F06BD0">
              <w:rPr>
                <w:noProof/>
                <w:webHidden/>
              </w:rPr>
              <w:tab/>
            </w:r>
            <w:r w:rsidR="00F06BD0">
              <w:rPr>
                <w:noProof/>
                <w:webHidden/>
              </w:rPr>
              <w:fldChar w:fldCharType="begin"/>
            </w:r>
            <w:r w:rsidR="00F06BD0">
              <w:rPr>
                <w:noProof/>
                <w:webHidden/>
              </w:rPr>
              <w:instrText xml:space="preserve"> PAGEREF _Toc120694072 \h </w:instrText>
            </w:r>
            <w:r w:rsidR="00F06BD0">
              <w:rPr>
                <w:noProof/>
                <w:webHidden/>
              </w:rPr>
            </w:r>
            <w:r w:rsidR="00F06BD0">
              <w:rPr>
                <w:noProof/>
                <w:webHidden/>
              </w:rPr>
              <w:fldChar w:fldCharType="separate"/>
            </w:r>
            <w:r w:rsidR="005476E6">
              <w:rPr>
                <w:noProof/>
                <w:webHidden/>
                <w:rtl/>
              </w:rPr>
              <w:t>4</w:t>
            </w:r>
            <w:r w:rsidR="00F06BD0">
              <w:rPr>
                <w:noProof/>
                <w:webHidden/>
              </w:rPr>
              <w:fldChar w:fldCharType="end"/>
            </w:r>
          </w:hyperlink>
        </w:p>
        <w:p w:rsidR="00F06BD0" w:rsidRDefault="001673FA" w:rsidP="00F06BD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0694073" w:history="1">
            <w:r w:rsidR="00F06BD0" w:rsidRPr="00C30533">
              <w:rPr>
                <w:rStyle w:val="Hyperlink"/>
                <w:rFonts w:hint="eastAsia"/>
                <w:noProof/>
                <w:rtl/>
              </w:rPr>
              <w:t>بررس</w:t>
            </w:r>
            <w:r w:rsidR="00F06BD0" w:rsidRPr="00C30533">
              <w:rPr>
                <w:rStyle w:val="Hyperlink"/>
                <w:rFonts w:hint="cs"/>
                <w:noProof/>
                <w:rtl/>
              </w:rPr>
              <w:t>ی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کلام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مرحوم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آخوند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رحمه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الله</w:t>
            </w:r>
            <w:r w:rsidR="00F06BD0">
              <w:rPr>
                <w:noProof/>
                <w:webHidden/>
              </w:rPr>
              <w:tab/>
            </w:r>
            <w:r w:rsidR="00F06BD0">
              <w:rPr>
                <w:noProof/>
                <w:webHidden/>
              </w:rPr>
              <w:fldChar w:fldCharType="begin"/>
            </w:r>
            <w:r w:rsidR="00F06BD0">
              <w:rPr>
                <w:noProof/>
                <w:webHidden/>
              </w:rPr>
              <w:instrText xml:space="preserve"> PAGEREF _Toc120694073 \h </w:instrText>
            </w:r>
            <w:r w:rsidR="00F06BD0">
              <w:rPr>
                <w:noProof/>
                <w:webHidden/>
              </w:rPr>
            </w:r>
            <w:r w:rsidR="00F06BD0">
              <w:rPr>
                <w:noProof/>
                <w:webHidden/>
              </w:rPr>
              <w:fldChar w:fldCharType="separate"/>
            </w:r>
            <w:r w:rsidR="005476E6">
              <w:rPr>
                <w:noProof/>
                <w:webHidden/>
                <w:rtl/>
              </w:rPr>
              <w:t>5</w:t>
            </w:r>
            <w:r w:rsidR="00F06BD0">
              <w:rPr>
                <w:noProof/>
                <w:webHidden/>
              </w:rPr>
              <w:fldChar w:fldCharType="end"/>
            </w:r>
          </w:hyperlink>
        </w:p>
        <w:p w:rsidR="00F06BD0" w:rsidRDefault="001673FA" w:rsidP="00F06BD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0694074" w:history="1">
            <w:r w:rsidR="00F06BD0" w:rsidRPr="00C30533">
              <w:rPr>
                <w:rStyle w:val="Hyperlink"/>
                <w:rFonts w:hint="eastAsia"/>
                <w:noProof/>
                <w:rtl/>
              </w:rPr>
              <w:t>اختصاص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خطابات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قرآن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به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مشافه</w:t>
            </w:r>
            <w:r w:rsidR="00F06BD0" w:rsidRPr="00C30533">
              <w:rPr>
                <w:rStyle w:val="Hyperlink"/>
                <w:rFonts w:hint="cs"/>
                <w:noProof/>
                <w:rtl/>
              </w:rPr>
              <w:t>ی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ن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cs"/>
                <w:noProof/>
                <w:rtl/>
              </w:rPr>
              <w:t>ی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ا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حاضر</w:t>
            </w:r>
            <w:r w:rsidR="00F06BD0" w:rsidRPr="00C30533">
              <w:rPr>
                <w:rStyle w:val="Hyperlink"/>
                <w:rFonts w:hint="cs"/>
                <w:noProof/>
                <w:rtl/>
              </w:rPr>
              <w:t>ی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ن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در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زمان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نزول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قرآن</w:t>
            </w:r>
            <w:r w:rsidR="00F06BD0">
              <w:rPr>
                <w:noProof/>
                <w:webHidden/>
              </w:rPr>
              <w:tab/>
            </w:r>
            <w:r w:rsidR="00F06BD0">
              <w:rPr>
                <w:noProof/>
                <w:webHidden/>
              </w:rPr>
              <w:fldChar w:fldCharType="begin"/>
            </w:r>
            <w:r w:rsidR="00F06BD0">
              <w:rPr>
                <w:noProof/>
                <w:webHidden/>
              </w:rPr>
              <w:instrText xml:space="preserve"> PAGEREF _Toc120694074 \h </w:instrText>
            </w:r>
            <w:r w:rsidR="00F06BD0">
              <w:rPr>
                <w:noProof/>
                <w:webHidden/>
              </w:rPr>
            </w:r>
            <w:r w:rsidR="00F06BD0">
              <w:rPr>
                <w:noProof/>
                <w:webHidden/>
              </w:rPr>
              <w:fldChar w:fldCharType="separate"/>
            </w:r>
            <w:r w:rsidR="005476E6">
              <w:rPr>
                <w:noProof/>
                <w:webHidden/>
                <w:rtl/>
              </w:rPr>
              <w:t>6</w:t>
            </w:r>
            <w:r w:rsidR="00F06BD0">
              <w:rPr>
                <w:noProof/>
                <w:webHidden/>
              </w:rPr>
              <w:fldChar w:fldCharType="end"/>
            </w:r>
          </w:hyperlink>
        </w:p>
        <w:p w:rsidR="00F06BD0" w:rsidRDefault="001673FA" w:rsidP="00F06BD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0694075" w:history="1">
            <w:r w:rsidR="00F06BD0" w:rsidRPr="00C30533">
              <w:rPr>
                <w:rStyle w:val="Hyperlink"/>
                <w:rFonts w:hint="eastAsia"/>
                <w:noProof/>
                <w:rtl/>
              </w:rPr>
              <w:t>ثمرات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اختصاص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خطابات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به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مشافه</w:t>
            </w:r>
            <w:r w:rsidR="00F06BD0" w:rsidRPr="00C30533">
              <w:rPr>
                <w:rStyle w:val="Hyperlink"/>
                <w:rFonts w:hint="cs"/>
                <w:noProof/>
                <w:rtl/>
              </w:rPr>
              <w:t>ی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ن</w:t>
            </w:r>
            <w:r w:rsidR="00F06BD0">
              <w:rPr>
                <w:noProof/>
                <w:webHidden/>
              </w:rPr>
              <w:tab/>
            </w:r>
            <w:r w:rsidR="00F06BD0">
              <w:rPr>
                <w:noProof/>
                <w:webHidden/>
              </w:rPr>
              <w:fldChar w:fldCharType="begin"/>
            </w:r>
            <w:r w:rsidR="00F06BD0">
              <w:rPr>
                <w:noProof/>
                <w:webHidden/>
              </w:rPr>
              <w:instrText xml:space="preserve"> PAGEREF _Toc120694075 \h </w:instrText>
            </w:r>
            <w:r w:rsidR="00F06BD0">
              <w:rPr>
                <w:noProof/>
                <w:webHidden/>
              </w:rPr>
            </w:r>
            <w:r w:rsidR="00F06BD0">
              <w:rPr>
                <w:noProof/>
                <w:webHidden/>
              </w:rPr>
              <w:fldChar w:fldCharType="separate"/>
            </w:r>
            <w:r w:rsidR="005476E6">
              <w:rPr>
                <w:noProof/>
                <w:webHidden/>
                <w:rtl/>
              </w:rPr>
              <w:t>6</w:t>
            </w:r>
            <w:r w:rsidR="00F06BD0">
              <w:rPr>
                <w:noProof/>
                <w:webHidden/>
              </w:rPr>
              <w:fldChar w:fldCharType="end"/>
            </w:r>
          </w:hyperlink>
        </w:p>
        <w:p w:rsidR="00F06BD0" w:rsidRDefault="001673FA" w:rsidP="00F06BD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0694076" w:history="1">
            <w:r w:rsidR="00F06BD0" w:rsidRPr="00C30533">
              <w:rPr>
                <w:rStyle w:val="Hyperlink"/>
                <w:rFonts w:hint="eastAsia"/>
                <w:noProof/>
                <w:rtl/>
              </w:rPr>
              <w:t>ثمره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اول</w:t>
            </w:r>
            <w:r w:rsidR="00F06BD0" w:rsidRPr="00C30533">
              <w:rPr>
                <w:rStyle w:val="Hyperlink"/>
                <w:noProof/>
                <w:rtl/>
              </w:rPr>
              <w:t xml:space="preserve">: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عدم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حج</w:t>
            </w:r>
            <w:r w:rsidR="00F06BD0" w:rsidRPr="00C30533">
              <w:rPr>
                <w:rStyle w:val="Hyperlink"/>
                <w:rFonts w:hint="cs"/>
                <w:noProof/>
                <w:rtl/>
              </w:rPr>
              <w:t>ی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ت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ظواهر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قرآن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نسبت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به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معدوم</w:t>
            </w:r>
            <w:r w:rsidR="00F06BD0" w:rsidRPr="00C30533">
              <w:rPr>
                <w:rStyle w:val="Hyperlink"/>
                <w:rFonts w:hint="cs"/>
                <w:noProof/>
                <w:rtl/>
              </w:rPr>
              <w:t>ی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ن</w:t>
            </w:r>
            <w:r w:rsidR="00F06BD0">
              <w:rPr>
                <w:noProof/>
                <w:webHidden/>
              </w:rPr>
              <w:tab/>
            </w:r>
            <w:r w:rsidR="00F06BD0">
              <w:rPr>
                <w:noProof/>
                <w:webHidden/>
              </w:rPr>
              <w:fldChar w:fldCharType="begin"/>
            </w:r>
            <w:r w:rsidR="00F06BD0">
              <w:rPr>
                <w:noProof/>
                <w:webHidden/>
              </w:rPr>
              <w:instrText xml:space="preserve"> PAGEREF _Toc120694076 \h </w:instrText>
            </w:r>
            <w:r w:rsidR="00F06BD0">
              <w:rPr>
                <w:noProof/>
                <w:webHidden/>
              </w:rPr>
            </w:r>
            <w:r w:rsidR="00F06BD0">
              <w:rPr>
                <w:noProof/>
                <w:webHidden/>
              </w:rPr>
              <w:fldChar w:fldCharType="separate"/>
            </w:r>
            <w:r w:rsidR="005476E6">
              <w:rPr>
                <w:noProof/>
                <w:webHidden/>
                <w:rtl/>
              </w:rPr>
              <w:t>6</w:t>
            </w:r>
            <w:r w:rsidR="00F06BD0">
              <w:rPr>
                <w:noProof/>
                <w:webHidden/>
              </w:rPr>
              <w:fldChar w:fldCharType="end"/>
            </w:r>
          </w:hyperlink>
        </w:p>
        <w:p w:rsidR="00F06BD0" w:rsidRDefault="001673FA" w:rsidP="00F06BD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0694077" w:history="1">
            <w:r w:rsidR="00F06BD0" w:rsidRPr="00C30533">
              <w:rPr>
                <w:rStyle w:val="Hyperlink"/>
                <w:rFonts w:hint="eastAsia"/>
                <w:noProof/>
                <w:rtl/>
              </w:rPr>
              <w:t>بررس</w:t>
            </w:r>
            <w:r w:rsidR="00F06BD0" w:rsidRPr="00C30533">
              <w:rPr>
                <w:rStyle w:val="Hyperlink"/>
                <w:rFonts w:hint="cs"/>
                <w:noProof/>
                <w:rtl/>
              </w:rPr>
              <w:t>ی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ثمره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اول</w:t>
            </w:r>
            <w:r w:rsidR="00F06BD0">
              <w:rPr>
                <w:noProof/>
                <w:webHidden/>
              </w:rPr>
              <w:tab/>
            </w:r>
            <w:r w:rsidR="00F06BD0">
              <w:rPr>
                <w:noProof/>
                <w:webHidden/>
              </w:rPr>
              <w:fldChar w:fldCharType="begin"/>
            </w:r>
            <w:r w:rsidR="00F06BD0">
              <w:rPr>
                <w:noProof/>
                <w:webHidden/>
              </w:rPr>
              <w:instrText xml:space="preserve"> PAGEREF _Toc120694077 \h </w:instrText>
            </w:r>
            <w:r w:rsidR="00F06BD0">
              <w:rPr>
                <w:noProof/>
                <w:webHidden/>
              </w:rPr>
            </w:r>
            <w:r w:rsidR="00F06BD0">
              <w:rPr>
                <w:noProof/>
                <w:webHidden/>
              </w:rPr>
              <w:fldChar w:fldCharType="separate"/>
            </w:r>
            <w:r w:rsidR="005476E6">
              <w:rPr>
                <w:noProof/>
                <w:webHidden/>
                <w:rtl/>
              </w:rPr>
              <w:t>6</w:t>
            </w:r>
            <w:r w:rsidR="00F06BD0">
              <w:rPr>
                <w:noProof/>
                <w:webHidden/>
              </w:rPr>
              <w:fldChar w:fldCharType="end"/>
            </w:r>
          </w:hyperlink>
        </w:p>
        <w:p w:rsidR="00F06BD0" w:rsidRDefault="001673FA" w:rsidP="00F06BD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0694078" w:history="1">
            <w:r w:rsidR="00F06BD0" w:rsidRPr="00C30533">
              <w:rPr>
                <w:rStyle w:val="Hyperlink"/>
                <w:rFonts w:hint="eastAsia"/>
                <w:noProof/>
                <w:rtl/>
              </w:rPr>
              <w:t>ثمره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دوم</w:t>
            </w:r>
            <w:r w:rsidR="00F06BD0" w:rsidRPr="00C30533">
              <w:rPr>
                <w:rStyle w:val="Hyperlink"/>
                <w:noProof/>
                <w:rtl/>
              </w:rPr>
              <w:t>:</w:t>
            </w:r>
            <w:r w:rsidR="00F06BD0">
              <w:rPr>
                <w:noProof/>
                <w:webHidden/>
              </w:rPr>
              <w:tab/>
            </w:r>
            <w:r w:rsidR="00F06BD0">
              <w:rPr>
                <w:noProof/>
                <w:webHidden/>
              </w:rPr>
              <w:fldChar w:fldCharType="begin"/>
            </w:r>
            <w:r w:rsidR="00F06BD0">
              <w:rPr>
                <w:noProof/>
                <w:webHidden/>
              </w:rPr>
              <w:instrText xml:space="preserve"> PAGEREF _Toc120694078 \h </w:instrText>
            </w:r>
            <w:r w:rsidR="00F06BD0">
              <w:rPr>
                <w:noProof/>
                <w:webHidden/>
              </w:rPr>
            </w:r>
            <w:r w:rsidR="00F06BD0">
              <w:rPr>
                <w:noProof/>
                <w:webHidden/>
              </w:rPr>
              <w:fldChar w:fldCharType="separate"/>
            </w:r>
            <w:r w:rsidR="005476E6">
              <w:rPr>
                <w:noProof/>
                <w:webHidden/>
                <w:rtl/>
              </w:rPr>
              <w:t>7</w:t>
            </w:r>
            <w:r w:rsidR="00F06BD0">
              <w:rPr>
                <w:noProof/>
                <w:webHidden/>
              </w:rPr>
              <w:fldChar w:fldCharType="end"/>
            </w:r>
          </w:hyperlink>
        </w:p>
        <w:p w:rsidR="00F06BD0" w:rsidRDefault="001673FA" w:rsidP="00F06BD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0694079" w:history="1">
            <w:r w:rsidR="00F06BD0" w:rsidRPr="00C30533">
              <w:rPr>
                <w:rStyle w:val="Hyperlink"/>
                <w:rFonts w:hint="eastAsia"/>
                <w:noProof/>
                <w:rtl/>
              </w:rPr>
              <w:t>تحر</w:t>
            </w:r>
            <w:r w:rsidR="00F06BD0" w:rsidRPr="00C30533">
              <w:rPr>
                <w:rStyle w:val="Hyperlink"/>
                <w:rFonts w:hint="cs"/>
                <w:noProof/>
                <w:rtl/>
              </w:rPr>
              <w:t>ی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ر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محل</w:t>
            </w:r>
            <w:r w:rsidR="00F06BD0" w:rsidRPr="00C30533">
              <w:rPr>
                <w:rStyle w:val="Hyperlink"/>
                <w:noProof/>
                <w:rtl/>
              </w:rPr>
              <w:t xml:space="preserve"> </w:t>
            </w:r>
            <w:r w:rsidR="00F06BD0" w:rsidRPr="00C30533">
              <w:rPr>
                <w:rStyle w:val="Hyperlink"/>
                <w:rFonts w:hint="eastAsia"/>
                <w:noProof/>
                <w:rtl/>
              </w:rPr>
              <w:t>نزاع</w:t>
            </w:r>
            <w:r w:rsidR="00F06BD0">
              <w:rPr>
                <w:noProof/>
                <w:webHidden/>
              </w:rPr>
              <w:tab/>
            </w:r>
            <w:r w:rsidR="00F06BD0">
              <w:rPr>
                <w:noProof/>
                <w:webHidden/>
              </w:rPr>
              <w:fldChar w:fldCharType="begin"/>
            </w:r>
            <w:r w:rsidR="00F06BD0">
              <w:rPr>
                <w:noProof/>
                <w:webHidden/>
              </w:rPr>
              <w:instrText xml:space="preserve"> PAGEREF _Toc120694079 \h </w:instrText>
            </w:r>
            <w:r w:rsidR="00F06BD0">
              <w:rPr>
                <w:noProof/>
                <w:webHidden/>
              </w:rPr>
            </w:r>
            <w:r w:rsidR="00F06BD0">
              <w:rPr>
                <w:noProof/>
                <w:webHidden/>
              </w:rPr>
              <w:fldChar w:fldCharType="separate"/>
            </w:r>
            <w:r w:rsidR="005476E6">
              <w:rPr>
                <w:noProof/>
                <w:webHidden/>
                <w:rtl/>
              </w:rPr>
              <w:t>9</w:t>
            </w:r>
            <w:r w:rsidR="00F06BD0">
              <w:rPr>
                <w:noProof/>
                <w:webHidden/>
              </w:rPr>
              <w:fldChar w:fldCharType="end"/>
            </w:r>
          </w:hyperlink>
        </w:p>
        <w:p w:rsidR="00F06BD0" w:rsidRDefault="00F06BD0" w:rsidP="00F06BD0">
          <w:r>
            <w:rPr>
              <w:b/>
              <w:bCs/>
              <w:noProof/>
            </w:rPr>
            <w:fldChar w:fldCharType="end"/>
          </w:r>
        </w:p>
      </w:sdtContent>
    </w:sdt>
    <w:p w:rsidR="004D6BD4" w:rsidRDefault="004D6BD4" w:rsidP="00F06BD0">
      <w:pPr>
        <w:pStyle w:val="Heading1"/>
        <w:rPr>
          <w:rtl/>
        </w:rPr>
      </w:pPr>
      <w:bookmarkStart w:id="3" w:name="_Toc120694065"/>
      <w:r>
        <w:rPr>
          <w:rFonts w:hint="cs"/>
          <w:rtl/>
        </w:rPr>
        <w:t>لزوم فحص از مخصص منفصل</w:t>
      </w:r>
      <w:bookmarkEnd w:id="3"/>
    </w:p>
    <w:p w:rsidR="00087A6F" w:rsidRDefault="00087A6F" w:rsidP="00087A6F">
      <w:pPr>
        <w:pStyle w:val="Heading2"/>
        <w:rPr>
          <w:rtl/>
        </w:rPr>
      </w:pPr>
      <w:bookmarkStart w:id="4" w:name="_Toc120694066"/>
      <w:r>
        <w:rPr>
          <w:rFonts w:hint="cs"/>
          <w:rtl/>
        </w:rPr>
        <w:t>تفاوت زمان ائمه علیهم السلام با زمان ما در لزوم فحص از مخصص منفصل</w:t>
      </w:r>
      <w:bookmarkEnd w:id="4"/>
    </w:p>
    <w:p w:rsidR="00087A6F" w:rsidRDefault="00087A6F" w:rsidP="00087A6F">
      <w:pPr>
        <w:rPr>
          <w:rtl/>
        </w:rPr>
      </w:pPr>
      <w:r>
        <w:rPr>
          <w:rFonts w:hint="cs"/>
          <w:rtl/>
        </w:rPr>
        <w:t>در زمان ائمه علیهم السلام</w:t>
      </w:r>
      <w:r w:rsidR="004D6BD4">
        <w:rPr>
          <w:rFonts w:hint="cs"/>
          <w:rtl/>
        </w:rPr>
        <w:t xml:space="preserve"> سیره بر فحص کامل نبود، مثلا زراره خودش را ملزم</w:t>
      </w:r>
      <w:r>
        <w:rPr>
          <w:rFonts w:hint="cs"/>
          <w:rtl/>
        </w:rPr>
        <w:t xml:space="preserve"> به مراجعه به کتب معاصرین خود نمی دانست، ولی این سبب نمی شود</w:t>
      </w:r>
      <w:r w:rsidR="004D6BD4">
        <w:rPr>
          <w:rFonts w:hint="cs"/>
          <w:rtl/>
        </w:rPr>
        <w:t xml:space="preserve"> که گفته شود از عدم مراجعه روات به کتب دیگران کشف می شود سیره متشرعه بر</w:t>
      </w:r>
      <w:r>
        <w:rPr>
          <w:rFonts w:hint="cs"/>
          <w:rtl/>
        </w:rPr>
        <w:t xml:space="preserve"> عدم وجوب فحص از مخصص منفصل بود، </w:t>
      </w:r>
      <w:r w:rsidR="004D6BD4">
        <w:rPr>
          <w:rFonts w:hint="cs"/>
          <w:rtl/>
        </w:rPr>
        <w:t>چون</w:t>
      </w:r>
      <w:r>
        <w:rPr>
          <w:rFonts w:hint="cs"/>
          <w:rtl/>
        </w:rPr>
        <w:t>:</w:t>
      </w:r>
    </w:p>
    <w:p w:rsidR="00087A6F" w:rsidRDefault="004D6BD4" w:rsidP="00087A6F">
      <w:pPr>
        <w:rPr>
          <w:rtl/>
        </w:rPr>
      </w:pPr>
      <w:r>
        <w:rPr>
          <w:rFonts w:hint="cs"/>
          <w:rtl/>
        </w:rPr>
        <w:t>اولا: شرایط آن ها با ما فرق می کرد، د</w:t>
      </w:r>
      <w:r w:rsidR="00087A6F">
        <w:rPr>
          <w:rFonts w:hint="cs"/>
          <w:rtl/>
        </w:rPr>
        <w:t>ر زمان ما کتب رواییه مدون و مبوب</w:t>
      </w:r>
      <w:r>
        <w:rPr>
          <w:rFonts w:hint="cs"/>
          <w:rtl/>
        </w:rPr>
        <w:t xml:space="preserve"> است و سیره عقلائیه و متشرعه </w:t>
      </w:r>
      <w:r w:rsidR="00087A6F">
        <w:rPr>
          <w:rFonts w:hint="cs"/>
          <w:rtl/>
        </w:rPr>
        <w:t xml:space="preserve">بر حجیت عام </w:t>
      </w:r>
      <w:r>
        <w:rPr>
          <w:rFonts w:hint="cs"/>
          <w:rtl/>
        </w:rPr>
        <w:t>قبل از فحص از مخصص منفصل در این فرض محرز نیست</w:t>
      </w:r>
      <w:r w:rsidR="00087A6F">
        <w:rPr>
          <w:rFonts w:hint="cs"/>
          <w:rtl/>
        </w:rPr>
        <w:t>.</w:t>
      </w:r>
    </w:p>
    <w:p w:rsidR="00087A6F" w:rsidRDefault="004D6BD4" w:rsidP="00087A6F">
      <w:pPr>
        <w:rPr>
          <w:rtl/>
        </w:rPr>
      </w:pPr>
      <w:r>
        <w:rPr>
          <w:rFonts w:hint="cs"/>
          <w:rtl/>
        </w:rPr>
        <w:lastRenderedPageBreak/>
        <w:t>ثانیا: شاید در آن زمان برای اصحاب ائمه روشن نبوده که روش ائمه اعتماد بر مخصص منفصل است</w:t>
      </w:r>
      <w:r w:rsidR="00087A6F">
        <w:rPr>
          <w:rFonts w:hint="cs"/>
          <w:rtl/>
        </w:rPr>
        <w:t>.</w:t>
      </w:r>
    </w:p>
    <w:p w:rsidR="004D6BD4" w:rsidRDefault="004D6BD4" w:rsidP="00087A6F">
      <w:pPr>
        <w:rPr>
          <w:rtl/>
        </w:rPr>
      </w:pPr>
      <w:r>
        <w:rPr>
          <w:rFonts w:hint="cs"/>
          <w:rtl/>
        </w:rPr>
        <w:t>و لذا قدر متیقن از حجیت عام</w:t>
      </w:r>
      <w:r w:rsidR="00087A6F">
        <w:rPr>
          <w:rFonts w:hint="cs"/>
          <w:rtl/>
        </w:rPr>
        <w:t xml:space="preserve"> در زمان ما حجیت آ</w:t>
      </w:r>
      <w:r w:rsidR="004902AB">
        <w:rPr>
          <w:rFonts w:hint="cs"/>
          <w:rtl/>
        </w:rPr>
        <w:t xml:space="preserve">ن بعد از </w:t>
      </w:r>
      <w:r w:rsidR="00087A6F">
        <w:rPr>
          <w:rFonts w:hint="cs"/>
          <w:rtl/>
        </w:rPr>
        <w:t>«</w:t>
      </w:r>
      <w:r>
        <w:rPr>
          <w:rFonts w:hint="cs"/>
          <w:rtl/>
        </w:rPr>
        <w:t xml:space="preserve"> فحص از مخصص م</w:t>
      </w:r>
      <w:r w:rsidR="00087A6F">
        <w:rPr>
          <w:rFonts w:hint="cs"/>
          <w:rtl/>
        </w:rPr>
        <w:t>نفصل در کتب رواییه مدونه و مبوب</w:t>
      </w:r>
      <w:r>
        <w:rPr>
          <w:rFonts w:hint="cs"/>
          <w:rtl/>
        </w:rPr>
        <w:t xml:space="preserve"> است</w:t>
      </w:r>
      <w:r w:rsidR="00087A6F">
        <w:rPr>
          <w:rFonts w:hint="cs"/>
          <w:rtl/>
        </w:rPr>
        <w:t>.</w:t>
      </w:r>
      <w:r>
        <w:rPr>
          <w:rFonts w:hint="cs"/>
          <w:rtl/>
        </w:rPr>
        <w:t xml:space="preserve"> بلکه بعید نیست که فحص از معار</w:t>
      </w:r>
      <w:r w:rsidR="00087A6F">
        <w:rPr>
          <w:rFonts w:hint="cs"/>
          <w:rtl/>
        </w:rPr>
        <w:t xml:space="preserve">ض نیز لازم باشد و </w:t>
      </w:r>
      <w:r>
        <w:rPr>
          <w:rFonts w:hint="cs"/>
          <w:rtl/>
        </w:rPr>
        <w:t xml:space="preserve">حجیت خبر قبل از فحص از معارض در این فرض </w:t>
      </w:r>
      <w:r w:rsidR="00087A6F">
        <w:rPr>
          <w:rFonts w:hint="cs"/>
          <w:rtl/>
        </w:rPr>
        <w:t xml:space="preserve"> که در همین کتب روایی احتمال وجود معارض می دهیم، </w:t>
      </w:r>
      <w:r>
        <w:rPr>
          <w:rFonts w:hint="cs"/>
          <w:rtl/>
        </w:rPr>
        <w:t>محرز ن</w:t>
      </w:r>
      <w:r w:rsidR="004902AB">
        <w:rPr>
          <w:rFonts w:hint="cs"/>
          <w:rtl/>
        </w:rPr>
        <w:t>باشد</w:t>
      </w:r>
      <w:r w:rsidR="00087A6F">
        <w:rPr>
          <w:rFonts w:hint="cs"/>
          <w:rtl/>
        </w:rPr>
        <w:t>.</w:t>
      </w:r>
    </w:p>
    <w:p w:rsidR="00087A6F" w:rsidRDefault="00087A6F" w:rsidP="00087A6F">
      <w:pPr>
        <w:pStyle w:val="Heading2"/>
        <w:rPr>
          <w:rtl/>
        </w:rPr>
      </w:pPr>
      <w:bookmarkStart w:id="5" w:name="_Toc120694067"/>
      <w:r>
        <w:rPr>
          <w:rFonts w:hint="cs"/>
          <w:rtl/>
        </w:rPr>
        <w:t>کلام محقق داماد رحمه الله: ادله ی تعبدیه بر لزوم فحص</w:t>
      </w:r>
      <w:bookmarkEnd w:id="5"/>
    </w:p>
    <w:p w:rsidR="00087A6F" w:rsidRDefault="00087A6F" w:rsidP="00087A6F">
      <w:pPr>
        <w:rPr>
          <w:rtl/>
        </w:rPr>
      </w:pPr>
      <w:r>
        <w:rPr>
          <w:rFonts w:hint="cs"/>
          <w:rtl/>
        </w:rPr>
        <w:t>محقق داماد رحمه الله</w:t>
      </w:r>
      <w:r w:rsidR="004D6BD4">
        <w:rPr>
          <w:rFonts w:hint="cs"/>
          <w:rtl/>
        </w:rPr>
        <w:t xml:space="preserve"> </w:t>
      </w:r>
      <w:r>
        <w:rPr>
          <w:rFonts w:hint="cs"/>
          <w:rtl/>
        </w:rPr>
        <w:t>برای اثبات لزوم فحص به اجماع تمسک کردند</w:t>
      </w:r>
      <w:r w:rsidR="0003728E">
        <w:rPr>
          <w:rStyle w:val="FootnoteReference"/>
          <w:rtl/>
        </w:rPr>
        <w:footnoteReference w:id="1"/>
      </w:r>
      <w:r>
        <w:rPr>
          <w:rFonts w:hint="cs"/>
          <w:rtl/>
        </w:rPr>
        <w:t>.</w:t>
      </w:r>
    </w:p>
    <w:p w:rsidR="004D6BD4" w:rsidRDefault="00087A6F" w:rsidP="0003728E">
      <w:pPr>
        <w:rPr>
          <w:rtl/>
        </w:rPr>
      </w:pPr>
      <w:r>
        <w:rPr>
          <w:rFonts w:hint="cs"/>
          <w:rtl/>
        </w:rPr>
        <w:t>ول</w:t>
      </w:r>
      <w:r w:rsidR="004902AB">
        <w:rPr>
          <w:rFonts w:hint="cs"/>
          <w:rtl/>
        </w:rPr>
        <w:t>ی تمسک به اجماع صحیح نیست چون این اجماع</w:t>
      </w:r>
      <w:r>
        <w:rPr>
          <w:rFonts w:hint="cs"/>
          <w:rtl/>
        </w:rPr>
        <w:t xml:space="preserve"> مدرکی است و اعتبار ندارد. البته</w:t>
      </w:r>
      <w:r w:rsidR="004D6BD4">
        <w:rPr>
          <w:rFonts w:hint="cs"/>
          <w:rtl/>
        </w:rPr>
        <w:t xml:space="preserve"> </w:t>
      </w:r>
      <w:r>
        <w:rPr>
          <w:rFonts w:hint="cs"/>
          <w:rtl/>
        </w:rPr>
        <w:t xml:space="preserve">نسبت به وجود ارتکاز بر لزوم فحص </w:t>
      </w:r>
      <w:r w:rsidR="004D6BD4">
        <w:rPr>
          <w:rFonts w:hint="cs"/>
          <w:rtl/>
        </w:rPr>
        <w:t>موید</w:t>
      </w:r>
      <w:r w:rsidR="0003728E">
        <w:rPr>
          <w:rFonts w:hint="cs"/>
          <w:rtl/>
        </w:rPr>
        <w:t xml:space="preserve"> و منبه  خوبی است.</w:t>
      </w:r>
    </w:p>
    <w:p w:rsidR="004D6BD4" w:rsidRDefault="00087A6F" w:rsidP="00087A6F">
      <w:pPr>
        <w:rPr>
          <w:rtl/>
        </w:rPr>
      </w:pPr>
      <w:r>
        <w:rPr>
          <w:rFonts w:hint="cs"/>
          <w:rtl/>
        </w:rPr>
        <w:t xml:space="preserve">ایشان در ادامه به روایات نیز استدلال می کند ولی این روایات دلیل بر لزوم فحص نیستند. مثلا روایت احتجاج </w:t>
      </w:r>
      <w:r w:rsidRPr="003438B4">
        <w:rPr>
          <w:rFonts w:ascii="NoorLotus" w:hAnsi="NoorLotus"/>
          <w:sz w:val="28"/>
          <w:rtl/>
        </w:rPr>
        <w:t>که امام صادق علیه السلام به ابوحنیفه فرمود</w:t>
      </w:r>
      <w:r>
        <w:rPr>
          <w:rFonts w:ascii="NoorLotus" w:hAnsi="NoorLotus" w:hint="cs"/>
          <w:sz w:val="28"/>
          <w:rtl/>
        </w:rPr>
        <w:t>ند:</w:t>
      </w:r>
      <w:r w:rsidRPr="003438B4">
        <w:rPr>
          <w:rFonts w:ascii="NoorLotus" w:hAnsi="NoorLotus"/>
          <w:sz w:val="28"/>
          <w:rtl/>
        </w:rPr>
        <w:t xml:space="preserve"> شما که می‌‌گویی من فقیه اهل عراق هستم آیا  ناسخ و منسوخ </w:t>
      </w:r>
      <w:r>
        <w:rPr>
          <w:rFonts w:ascii="NoorLotus" w:hAnsi="NoorLotus" w:hint="cs"/>
          <w:sz w:val="28"/>
          <w:rtl/>
        </w:rPr>
        <w:t>را می شناسی</w:t>
      </w:r>
      <w:r w:rsidRPr="003438B4">
        <w:rPr>
          <w:rFonts w:ascii="NoorLotus" w:hAnsi="NoorLotus"/>
          <w:sz w:val="28"/>
          <w:rtl/>
        </w:rPr>
        <w:t xml:space="preserve"> که فتوی می‌‌دهی</w:t>
      </w:r>
      <w:r>
        <w:rPr>
          <w:rFonts w:ascii="NoorLotus" w:hAnsi="NoorLotus" w:hint="cs"/>
          <w:sz w:val="28"/>
          <w:rtl/>
        </w:rPr>
        <w:t>؟</w:t>
      </w:r>
      <w:r>
        <w:rPr>
          <w:rFonts w:hint="cs"/>
          <w:rtl/>
        </w:rPr>
        <w:t xml:space="preserve"> </w:t>
      </w:r>
    </w:p>
    <w:p w:rsidR="004D6BD4" w:rsidRDefault="0003728E" w:rsidP="0003728E">
      <w:pPr>
        <w:rPr>
          <w:rtl/>
        </w:rPr>
      </w:pPr>
      <w:r>
        <w:rPr>
          <w:rFonts w:hint="cs"/>
          <w:rtl/>
        </w:rPr>
        <w:t>ولی این روایت،</w:t>
      </w:r>
      <w:r w:rsidR="00087A6F">
        <w:rPr>
          <w:rFonts w:hint="cs"/>
          <w:rtl/>
        </w:rPr>
        <w:t xml:space="preserve"> دلالت بر لزوم فحص نمی کند </w:t>
      </w:r>
      <w:r w:rsidR="004D6BD4">
        <w:rPr>
          <w:rFonts w:hint="cs"/>
          <w:rtl/>
        </w:rPr>
        <w:t xml:space="preserve">چون مراد این است که شما فرق بین ناسخ و منسوخ را می دانی که کدام حدیث ناسخ و کدام حدیث منسوخ است، و یا اساسا </w:t>
      </w:r>
      <w:r>
        <w:rPr>
          <w:rFonts w:hint="cs"/>
          <w:rtl/>
        </w:rPr>
        <w:t xml:space="preserve">آیا </w:t>
      </w:r>
      <w:r w:rsidR="004D6BD4">
        <w:rPr>
          <w:rFonts w:hint="cs"/>
          <w:rtl/>
        </w:rPr>
        <w:t>مطلع هستی بر مجموع روایات تا به تو فقیه بگویند و بتوانی فتوا دهی</w:t>
      </w:r>
      <w:r w:rsidR="00087A6F">
        <w:rPr>
          <w:rFonts w:hint="cs"/>
          <w:rtl/>
        </w:rPr>
        <w:t>؟ علاوه بر این که این روایت سندا نیز ضعیف است.</w:t>
      </w:r>
    </w:p>
    <w:p w:rsidR="004D6BD4" w:rsidRDefault="00087A6F" w:rsidP="00087A6F">
      <w:pPr>
        <w:rPr>
          <w:rtl/>
        </w:rPr>
      </w:pPr>
      <w:r>
        <w:rPr>
          <w:rFonts w:hint="cs"/>
          <w:rtl/>
        </w:rPr>
        <w:t xml:space="preserve">و </w:t>
      </w:r>
      <w:r w:rsidR="004D6BD4">
        <w:rPr>
          <w:rFonts w:hint="cs"/>
          <w:rtl/>
        </w:rPr>
        <w:t>روایت سلیم</w:t>
      </w:r>
      <w:r>
        <w:rPr>
          <w:rFonts w:hint="cs"/>
          <w:rtl/>
        </w:rPr>
        <w:t xml:space="preserve"> بن قیس هلالی ، که ایشان به </w:t>
      </w:r>
      <w:r w:rsidR="004D6BD4">
        <w:rPr>
          <w:rFonts w:hint="cs"/>
          <w:rtl/>
        </w:rPr>
        <w:t xml:space="preserve"> امیر</w:t>
      </w:r>
      <w:r>
        <w:rPr>
          <w:rFonts w:hint="cs"/>
          <w:rtl/>
        </w:rPr>
        <w:t xml:space="preserve"> المومنین علیه السلام عرض می کنند: </w:t>
      </w:r>
      <w:r w:rsidRPr="003438B4">
        <w:rPr>
          <w:rFonts w:ascii="NoorLotus" w:hAnsi="NoorLotus"/>
          <w:sz w:val="28"/>
          <w:rtl/>
        </w:rPr>
        <w:t xml:space="preserve">من از سلمان و مقداد و ابی‌ذر احادیثی از پیامبر غیر از آن‌چه که بین مردم است شنیدم شما هم تصدیق کردید آن‌ها را ولی در بین مردم مطالب زیادی هست در تفسیر قرآن </w:t>
      </w:r>
      <w:r>
        <w:rPr>
          <w:rFonts w:ascii="NoorLotus" w:hAnsi="NoorLotus" w:hint="cs"/>
          <w:sz w:val="28"/>
          <w:rtl/>
        </w:rPr>
        <w:t xml:space="preserve">و </w:t>
      </w:r>
      <w:r w:rsidRPr="003438B4">
        <w:rPr>
          <w:rFonts w:ascii="NoorLotus" w:hAnsi="NoorLotus"/>
          <w:sz w:val="28"/>
          <w:rtl/>
        </w:rPr>
        <w:t xml:space="preserve">در احادیث پیامبر که بر خلاف فرمایش شما هست، آیا فکر می‌‌کنید که مردم </w:t>
      </w:r>
      <w:r>
        <w:rPr>
          <w:rFonts w:ascii="NoorLotus" w:hAnsi="NoorLotus" w:hint="cs"/>
          <w:sz w:val="28"/>
          <w:rtl/>
        </w:rPr>
        <w:t xml:space="preserve">تفسیر به رأی کردند و </w:t>
      </w:r>
      <w:r w:rsidRPr="003438B4">
        <w:rPr>
          <w:rFonts w:ascii="NoorLotus" w:hAnsi="NoorLotus"/>
          <w:sz w:val="28"/>
          <w:rtl/>
        </w:rPr>
        <w:t>بر پیامبر عمدا دروغ می‌‌بستند؟</w:t>
      </w:r>
      <w:r>
        <w:rPr>
          <w:rFonts w:ascii="NoorLotus" w:hAnsi="NoorLotus" w:hint="cs"/>
          <w:sz w:val="28"/>
          <w:rtl/>
        </w:rPr>
        <w:t xml:space="preserve"> امام علیه السلام در جواب فرمودند:</w:t>
      </w:r>
      <w:r>
        <w:rPr>
          <w:rFonts w:hint="cs"/>
          <w:rtl/>
        </w:rPr>
        <w:t xml:space="preserve"> «</w:t>
      </w:r>
      <w:r w:rsidRPr="003438B4">
        <w:rPr>
          <w:rFonts w:ascii="NoorLotus" w:hAnsi="NoorLotus"/>
          <w:sz w:val="28"/>
          <w:rtl/>
        </w:rPr>
        <w:t>ان فی ایدی الناس حقا و باطلا و صدقا و کذبا و ناسخا و منسوخا و عاما و خاصا و محکما و متشابها و حفظا و وهما</w:t>
      </w:r>
      <w:r w:rsidR="004D6BD4">
        <w:rPr>
          <w:rFonts w:hint="cs"/>
          <w:rtl/>
        </w:rPr>
        <w:t>»</w:t>
      </w:r>
      <w:r w:rsidR="00906B52">
        <w:rPr>
          <w:rStyle w:val="FootnoteReference"/>
          <w:rtl/>
        </w:rPr>
        <w:footnoteReference w:id="2"/>
      </w:r>
      <w:r>
        <w:rPr>
          <w:rFonts w:hint="cs"/>
          <w:rtl/>
        </w:rPr>
        <w:t xml:space="preserve"> یعنی</w:t>
      </w:r>
      <w:r w:rsidR="004D6BD4">
        <w:rPr>
          <w:rFonts w:hint="cs"/>
          <w:rtl/>
        </w:rPr>
        <w:t xml:space="preserve"> منشأ اختلاف مردم این است که برخی </w:t>
      </w:r>
      <w:r w:rsidR="004D6BD4">
        <w:rPr>
          <w:rFonts w:hint="cs"/>
          <w:rtl/>
        </w:rPr>
        <w:lastRenderedPageBreak/>
        <w:t xml:space="preserve">احادیث دروغ بین مردم پخش شد و برخی احادیث </w:t>
      </w:r>
      <w:r>
        <w:rPr>
          <w:rFonts w:hint="cs"/>
          <w:rtl/>
        </w:rPr>
        <w:t xml:space="preserve">عام و </w:t>
      </w:r>
      <w:r w:rsidR="004D6BD4">
        <w:rPr>
          <w:rFonts w:hint="cs"/>
          <w:rtl/>
        </w:rPr>
        <w:t xml:space="preserve">منسوخ نقل شده و خبر از </w:t>
      </w:r>
      <w:r>
        <w:rPr>
          <w:rFonts w:hint="cs"/>
          <w:rtl/>
        </w:rPr>
        <w:t xml:space="preserve">ناسخ  و </w:t>
      </w:r>
      <w:r w:rsidR="004D6BD4">
        <w:rPr>
          <w:rFonts w:hint="cs"/>
          <w:rtl/>
        </w:rPr>
        <w:t>خاص آن ندارند</w:t>
      </w:r>
      <w:r>
        <w:rPr>
          <w:rFonts w:hint="cs"/>
          <w:rtl/>
        </w:rPr>
        <w:t>، این</w:t>
      </w:r>
      <w:r w:rsidR="0003728E">
        <w:rPr>
          <w:rFonts w:hint="cs"/>
          <w:rtl/>
        </w:rPr>
        <w:t xml:space="preserve"> روایت نیز</w:t>
      </w:r>
      <w:r>
        <w:rPr>
          <w:rFonts w:hint="cs"/>
          <w:rtl/>
        </w:rPr>
        <w:t xml:space="preserve"> دلالت بر لزوم فحص نمی کند بلکه فقط منشأ اختلافات بین مردم را بیان می کند.</w:t>
      </w:r>
    </w:p>
    <w:p w:rsidR="004D6BD4" w:rsidRDefault="004D6BD4">
      <w:pPr>
        <w:rPr>
          <w:rtl/>
        </w:rPr>
      </w:pPr>
      <w:r>
        <w:rPr>
          <w:rFonts w:hint="cs"/>
          <w:rtl/>
        </w:rPr>
        <w:t>این روایت سندا نیز ضعیف است.</w:t>
      </w:r>
    </w:p>
    <w:p w:rsidR="004D6BD4" w:rsidRDefault="004D6BD4" w:rsidP="00B85AEA">
      <w:pPr>
        <w:pStyle w:val="Heading1"/>
        <w:rPr>
          <w:rtl/>
        </w:rPr>
      </w:pPr>
      <w:bookmarkStart w:id="6" w:name="_Toc120694068"/>
      <w:r>
        <w:rPr>
          <w:rFonts w:hint="cs"/>
          <w:rtl/>
        </w:rPr>
        <w:t>مقدار فحص لازم</w:t>
      </w:r>
      <w:bookmarkEnd w:id="6"/>
    </w:p>
    <w:p w:rsidR="00087A6F" w:rsidRPr="00087A6F" w:rsidRDefault="00087A6F" w:rsidP="00087A6F">
      <w:pPr>
        <w:pStyle w:val="Heading2"/>
        <w:rPr>
          <w:rtl/>
        </w:rPr>
      </w:pPr>
      <w:bookmarkStart w:id="7" w:name="_Toc120694069"/>
      <w:r>
        <w:rPr>
          <w:rFonts w:hint="cs"/>
          <w:rtl/>
        </w:rPr>
        <w:t>کلام مرحوم آخوند رحمه الله</w:t>
      </w:r>
      <w:bookmarkEnd w:id="7"/>
    </w:p>
    <w:p w:rsidR="004D6BD4" w:rsidRDefault="00087A6F" w:rsidP="00087A6F">
      <w:pPr>
        <w:rPr>
          <w:rtl/>
        </w:rPr>
      </w:pPr>
      <w:r>
        <w:rPr>
          <w:rFonts w:hint="cs"/>
          <w:rtl/>
        </w:rPr>
        <w:t xml:space="preserve">مرحوم </w:t>
      </w:r>
      <w:r w:rsidR="004D6BD4">
        <w:rPr>
          <w:rFonts w:hint="cs"/>
          <w:rtl/>
        </w:rPr>
        <w:t>آخوند</w:t>
      </w:r>
      <w:r>
        <w:rPr>
          <w:rFonts w:hint="cs"/>
          <w:rtl/>
        </w:rPr>
        <w:t xml:space="preserve"> رحمه الله فرمودند</w:t>
      </w:r>
      <w:r w:rsidR="004D6BD4">
        <w:rPr>
          <w:rFonts w:hint="cs"/>
          <w:rtl/>
        </w:rPr>
        <w:t xml:space="preserve">: </w:t>
      </w:r>
      <w:r>
        <w:rPr>
          <w:rFonts w:hint="cs"/>
          <w:rtl/>
        </w:rPr>
        <w:t xml:space="preserve">باید به حدی </w:t>
      </w:r>
      <w:r w:rsidR="004D6BD4">
        <w:rPr>
          <w:rFonts w:hint="cs"/>
          <w:rtl/>
        </w:rPr>
        <w:t>که عام از معرضیت تخصیص خارج شود</w:t>
      </w:r>
      <w:r>
        <w:rPr>
          <w:rFonts w:hint="cs"/>
          <w:rtl/>
        </w:rPr>
        <w:t>، فحص کرد.</w:t>
      </w:r>
      <w:r w:rsidR="004D6BD4">
        <w:rPr>
          <w:rFonts w:hint="cs"/>
          <w:rtl/>
        </w:rPr>
        <w:t xml:space="preserve"> چون سبب لزوم فحص</w:t>
      </w:r>
      <w:r>
        <w:rPr>
          <w:rFonts w:hint="cs"/>
          <w:rtl/>
        </w:rPr>
        <w:t xml:space="preserve"> در معرض تخصیص بودن عام است و تا زمانی که معرضیت باقی است لزوم فحص نیز باقی است</w:t>
      </w:r>
      <w:r w:rsidR="00B85AEA">
        <w:rPr>
          <w:rStyle w:val="FootnoteReference"/>
          <w:rtl/>
        </w:rPr>
        <w:footnoteReference w:id="3"/>
      </w:r>
      <w:r>
        <w:rPr>
          <w:rFonts w:hint="cs"/>
          <w:rtl/>
        </w:rPr>
        <w:t xml:space="preserve">. </w:t>
      </w:r>
    </w:p>
    <w:p w:rsidR="00087A6F" w:rsidRDefault="00087A6F" w:rsidP="00087A6F">
      <w:pPr>
        <w:pStyle w:val="Heading2"/>
        <w:rPr>
          <w:rtl/>
        </w:rPr>
      </w:pPr>
      <w:bookmarkStart w:id="8" w:name="_Toc120694070"/>
      <w:r>
        <w:rPr>
          <w:rFonts w:hint="cs"/>
          <w:rtl/>
        </w:rPr>
        <w:t>بررسی کلام مرحوم آخوند رحمه الله</w:t>
      </w:r>
      <w:bookmarkEnd w:id="8"/>
    </w:p>
    <w:p w:rsidR="004D6BD4" w:rsidRDefault="00087A6F" w:rsidP="00185D48">
      <w:pPr>
        <w:rPr>
          <w:rtl/>
        </w:rPr>
      </w:pPr>
      <w:r>
        <w:rPr>
          <w:rFonts w:hint="cs"/>
          <w:rtl/>
        </w:rPr>
        <w:t>مرحوم خویی رحمه الله فرمودند:</w:t>
      </w:r>
      <w:r w:rsidR="004D6BD4">
        <w:rPr>
          <w:rFonts w:hint="cs"/>
          <w:rtl/>
        </w:rPr>
        <w:t xml:space="preserve"> </w:t>
      </w:r>
      <w:r w:rsidR="00185D48">
        <w:rPr>
          <w:rFonts w:hint="cs"/>
          <w:rtl/>
        </w:rPr>
        <w:t xml:space="preserve">شاید مراد مرحوم آخوند رحمه الله این باشد که </w:t>
      </w:r>
      <w:r w:rsidR="004D6BD4">
        <w:rPr>
          <w:rFonts w:hint="cs"/>
          <w:rtl/>
        </w:rPr>
        <w:t>تا اطمینان به عدم مخصص در مظان آن</w:t>
      </w:r>
      <w:r w:rsidR="00185D48">
        <w:rPr>
          <w:rFonts w:hint="cs"/>
          <w:rtl/>
        </w:rPr>
        <w:t xml:space="preserve"> پیدا نشود،</w:t>
      </w:r>
      <w:r w:rsidR="004D6BD4">
        <w:rPr>
          <w:rFonts w:hint="cs"/>
          <w:rtl/>
        </w:rPr>
        <w:t xml:space="preserve"> به صرف ظن به عدم</w:t>
      </w:r>
      <w:r w:rsidR="00185D48">
        <w:rPr>
          <w:rFonts w:hint="cs"/>
          <w:rtl/>
        </w:rPr>
        <w:t xml:space="preserve"> مخصص نمی توان فحص را متوقف کرد</w:t>
      </w:r>
      <w:r w:rsidR="00B85AEA">
        <w:rPr>
          <w:rStyle w:val="FootnoteReference"/>
          <w:rtl/>
        </w:rPr>
        <w:footnoteReference w:id="4"/>
      </w:r>
      <w:r w:rsidR="00185D48">
        <w:rPr>
          <w:rFonts w:hint="cs"/>
          <w:rtl/>
        </w:rPr>
        <w:t>.</w:t>
      </w:r>
      <w:r w:rsidR="004D6BD4">
        <w:rPr>
          <w:rFonts w:hint="cs"/>
          <w:rtl/>
        </w:rPr>
        <w:t xml:space="preserve"> </w:t>
      </w:r>
    </w:p>
    <w:p w:rsidR="004D6BD4" w:rsidRDefault="004D6BD4" w:rsidP="00185D48">
      <w:pPr>
        <w:rPr>
          <w:rtl/>
        </w:rPr>
      </w:pPr>
      <w:r>
        <w:rPr>
          <w:rFonts w:hint="cs"/>
          <w:rtl/>
        </w:rPr>
        <w:t xml:space="preserve">ایشان در فقه فرمودند: فحص لازم فحص از </w:t>
      </w:r>
      <w:r w:rsidR="00185D48">
        <w:rPr>
          <w:rFonts w:hint="cs"/>
          <w:rtl/>
        </w:rPr>
        <w:t>حدیث در ابواب و مظان</w:t>
      </w:r>
      <w:r>
        <w:rPr>
          <w:rFonts w:hint="cs"/>
          <w:rtl/>
        </w:rPr>
        <w:t xml:space="preserve"> مناسب خودش است و لازم نیست در ابواب مختلف </w:t>
      </w:r>
      <w:r w:rsidR="00185D48">
        <w:rPr>
          <w:rFonts w:hint="cs"/>
          <w:rtl/>
        </w:rPr>
        <w:t xml:space="preserve">دیگر </w:t>
      </w:r>
      <w:r>
        <w:rPr>
          <w:rFonts w:hint="cs"/>
          <w:rtl/>
        </w:rPr>
        <w:t>فحص شود</w:t>
      </w:r>
      <w:r w:rsidR="00185D48">
        <w:rPr>
          <w:rFonts w:hint="cs"/>
          <w:rtl/>
        </w:rPr>
        <w:t>.</w:t>
      </w:r>
      <w:r>
        <w:rPr>
          <w:rFonts w:hint="cs"/>
          <w:rtl/>
        </w:rPr>
        <w:t xml:space="preserve"> و مثال زدند به حرمت تمکین زن حائض از شوهرش که حدیثی در باب خودش</w:t>
      </w:r>
      <w:r w:rsidR="00185D48">
        <w:rPr>
          <w:rFonts w:hint="cs"/>
          <w:rtl/>
        </w:rPr>
        <w:t xml:space="preserve"> یعنی بحث حیض</w:t>
      </w:r>
      <w:r>
        <w:rPr>
          <w:rFonts w:hint="cs"/>
          <w:rtl/>
        </w:rPr>
        <w:t xml:space="preserve"> نیست </w:t>
      </w:r>
      <w:r w:rsidR="00185D48">
        <w:rPr>
          <w:rFonts w:hint="cs"/>
          <w:rtl/>
        </w:rPr>
        <w:t xml:space="preserve">و ممکن است فقیه به همین علت فتوا به عدم حرمت دهد </w:t>
      </w:r>
      <w:r>
        <w:rPr>
          <w:rFonts w:hint="cs"/>
          <w:rtl/>
        </w:rPr>
        <w:t>ولی در ابواب ع</w:t>
      </w:r>
      <w:r w:rsidR="00B35507">
        <w:rPr>
          <w:rFonts w:hint="cs"/>
          <w:rtl/>
        </w:rPr>
        <w:t>ِ</w:t>
      </w:r>
      <w:r>
        <w:rPr>
          <w:rFonts w:hint="cs"/>
          <w:rtl/>
        </w:rPr>
        <w:t>د</w:t>
      </w:r>
      <w:r w:rsidR="00B35507">
        <w:rPr>
          <w:rFonts w:hint="cs"/>
          <w:rtl/>
        </w:rPr>
        <w:t>َ</w:t>
      </w:r>
      <w:r>
        <w:rPr>
          <w:rFonts w:hint="cs"/>
          <w:rtl/>
        </w:rPr>
        <w:t>د در بحث طلاق روایت هست</w:t>
      </w:r>
      <w:r w:rsidR="00185D48">
        <w:rPr>
          <w:rFonts w:hint="cs"/>
          <w:rtl/>
        </w:rPr>
        <w:t xml:space="preserve"> </w:t>
      </w:r>
      <w:r w:rsidR="00185D48" w:rsidRPr="003438B4">
        <w:rPr>
          <w:rFonts w:ascii="NoorLotus" w:hAnsi="NoorLotus"/>
          <w:sz w:val="28"/>
          <w:rtl/>
        </w:rPr>
        <w:t xml:space="preserve">که در طهر مواقعه طلاق صحیح نیست، </w:t>
      </w:r>
      <w:r w:rsidR="00185D48">
        <w:rPr>
          <w:rFonts w:ascii="NoorLotus" w:hAnsi="NoorLotus" w:hint="cs"/>
          <w:sz w:val="28"/>
          <w:rtl/>
        </w:rPr>
        <w:t xml:space="preserve">و باید </w:t>
      </w:r>
      <w:r w:rsidR="00185D48" w:rsidRPr="003438B4">
        <w:rPr>
          <w:rFonts w:ascii="NoorLotus" w:hAnsi="NoorLotus"/>
          <w:sz w:val="28"/>
          <w:rtl/>
        </w:rPr>
        <w:t>صبر</w:t>
      </w:r>
      <w:r w:rsidR="00185D48">
        <w:rPr>
          <w:rFonts w:ascii="NoorLotus" w:hAnsi="NoorLotus"/>
          <w:sz w:val="28"/>
          <w:rtl/>
        </w:rPr>
        <w:t xml:space="preserve"> </w:t>
      </w:r>
      <w:r w:rsidR="00185D48" w:rsidRPr="003438B4">
        <w:rPr>
          <w:rFonts w:ascii="NoorLotus" w:hAnsi="NoorLotus"/>
          <w:sz w:val="28"/>
          <w:rtl/>
        </w:rPr>
        <w:t>‌‌کند زن حیض بشود و وقتی زن حیض شد باید</w:t>
      </w:r>
      <w:r w:rsidR="00185D48">
        <w:rPr>
          <w:rFonts w:ascii="NoorLotus" w:hAnsi="NoorLotus" w:hint="cs"/>
          <w:sz w:val="28"/>
          <w:rtl/>
        </w:rPr>
        <w:t xml:space="preserve"> از شوهرش</w:t>
      </w:r>
      <w:r w:rsidR="00185D48">
        <w:rPr>
          <w:rFonts w:ascii="NoorLotus" w:hAnsi="NoorLotus"/>
          <w:sz w:val="28"/>
          <w:rtl/>
        </w:rPr>
        <w:t xml:space="preserve"> دور </w:t>
      </w:r>
      <w:r w:rsidR="00185D48" w:rsidRPr="003438B4">
        <w:rPr>
          <w:rFonts w:ascii="NoorLotus" w:hAnsi="NoorLotus"/>
          <w:sz w:val="28"/>
          <w:rtl/>
        </w:rPr>
        <w:t xml:space="preserve">شود </w:t>
      </w:r>
      <w:r w:rsidR="00185D48">
        <w:rPr>
          <w:rFonts w:ascii="NoorLotus" w:hAnsi="NoorLotus" w:hint="cs"/>
          <w:sz w:val="28"/>
          <w:rtl/>
        </w:rPr>
        <w:t xml:space="preserve">و </w:t>
      </w:r>
      <w:r w:rsidR="00185D48">
        <w:rPr>
          <w:rFonts w:ascii="NoorLotus" w:hAnsi="NoorLotus"/>
          <w:sz w:val="28"/>
          <w:rtl/>
        </w:rPr>
        <w:t>شوه</w:t>
      </w:r>
      <w:r w:rsidR="00185D48">
        <w:rPr>
          <w:rFonts w:ascii="NoorLotus" w:hAnsi="NoorLotus" w:hint="cs"/>
          <w:sz w:val="28"/>
          <w:rtl/>
        </w:rPr>
        <w:t>ر نتواند</w:t>
      </w:r>
      <w:r w:rsidR="00185D48">
        <w:rPr>
          <w:rFonts w:ascii="NoorLotus" w:hAnsi="NoorLotus"/>
          <w:sz w:val="28"/>
          <w:rtl/>
        </w:rPr>
        <w:t xml:space="preserve"> با او</w:t>
      </w:r>
      <w:r w:rsidR="00185D48" w:rsidRPr="003438B4">
        <w:rPr>
          <w:rFonts w:ascii="NoorLotus" w:hAnsi="NoorLotus"/>
          <w:sz w:val="28"/>
          <w:rtl/>
        </w:rPr>
        <w:t xml:space="preserve"> نزدیکی کند</w:t>
      </w:r>
      <w:r w:rsidR="00185D48">
        <w:rPr>
          <w:rFonts w:ascii="NoorLotus" w:hAnsi="NoorLotus"/>
          <w:sz w:val="28"/>
          <w:rtl/>
        </w:rPr>
        <w:t xml:space="preserve"> بعد</w:t>
      </w:r>
      <w:r w:rsidR="00185D48">
        <w:rPr>
          <w:rFonts w:ascii="NoorLotus" w:hAnsi="NoorLotus" w:hint="cs"/>
          <w:sz w:val="28"/>
          <w:rtl/>
        </w:rPr>
        <w:t xml:space="preserve"> شوهر او را</w:t>
      </w:r>
      <w:r w:rsidR="00185D48">
        <w:rPr>
          <w:rFonts w:ascii="NoorLotus" w:hAnsi="NoorLotus"/>
          <w:sz w:val="28"/>
          <w:rtl/>
        </w:rPr>
        <w:t xml:space="preserve"> طلاق دهد</w:t>
      </w:r>
      <w:r w:rsidR="00185D48">
        <w:rPr>
          <w:rFonts w:ascii="NoorLotus" w:hAnsi="NoorLotus" w:hint="cs"/>
          <w:sz w:val="28"/>
          <w:rtl/>
        </w:rPr>
        <w:t>. از این حدیث حرمت تمکین زن در حال حیض از شوهر استفاده شده، ولی چون در باب دیگری مطرح شد</w:t>
      </w:r>
      <w:r w:rsidR="00B35507">
        <w:rPr>
          <w:rFonts w:ascii="NoorLotus" w:hAnsi="NoorLotus" w:hint="cs"/>
          <w:sz w:val="28"/>
          <w:rtl/>
        </w:rPr>
        <w:t>ه است</w:t>
      </w:r>
      <w:r w:rsidR="00185D48">
        <w:rPr>
          <w:rFonts w:ascii="NoorLotus" w:hAnsi="NoorLotus" w:hint="cs"/>
          <w:sz w:val="28"/>
          <w:rtl/>
        </w:rPr>
        <w:t xml:space="preserve"> فحص از آن لازم نیست.</w:t>
      </w:r>
      <w:r w:rsidR="00185D48">
        <w:rPr>
          <w:rStyle w:val="FootnoteReference"/>
          <w:rFonts w:ascii="NoorLotus" w:hAnsi="NoorLotus"/>
          <w:sz w:val="28"/>
          <w:rtl/>
        </w:rPr>
        <w:footnoteReference w:id="5"/>
      </w:r>
      <w:r w:rsidR="00185D48">
        <w:rPr>
          <w:rFonts w:ascii="NoorLotus" w:hAnsi="NoorLotus" w:hint="cs"/>
          <w:sz w:val="28"/>
          <w:rtl/>
        </w:rPr>
        <w:t xml:space="preserve"> </w:t>
      </w:r>
    </w:p>
    <w:p w:rsidR="00185D48" w:rsidRDefault="00185D48" w:rsidP="00185D48">
      <w:pPr>
        <w:rPr>
          <w:rtl/>
        </w:rPr>
      </w:pPr>
      <w:r>
        <w:rPr>
          <w:rFonts w:hint="cs"/>
          <w:rtl/>
        </w:rPr>
        <w:t xml:space="preserve">شاید مراد ایشان این است که اطمینان هست به عدم وجود حدیث در باب های دیگر، </w:t>
      </w:r>
      <w:r w:rsidR="004D6BD4">
        <w:rPr>
          <w:rFonts w:hint="cs"/>
          <w:rtl/>
        </w:rPr>
        <w:t>ولی اگر</w:t>
      </w:r>
      <w:r>
        <w:rPr>
          <w:rFonts w:hint="cs"/>
          <w:rtl/>
        </w:rPr>
        <w:t xml:space="preserve"> چنین</w:t>
      </w:r>
      <w:r w:rsidR="004D6BD4">
        <w:rPr>
          <w:rFonts w:hint="cs"/>
          <w:rtl/>
        </w:rPr>
        <w:t xml:space="preserve"> اطمینان</w:t>
      </w:r>
      <w:r w:rsidR="006F7DF4">
        <w:rPr>
          <w:rFonts w:hint="cs"/>
          <w:rtl/>
        </w:rPr>
        <w:t>ی نبود زیرا</w:t>
      </w:r>
      <w:r>
        <w:rPr>
          <w:rFonts w:hint="cs"/>
          <w:rtl/>
        </w:rPr>
        <w:t xml:space="preserve"> ما در موارد مشابه</w:t>
      </w:r>
      <w:r w:rsidR="006F7DF4">
        <w:rPr>
          <w:rFonts w:hint="cs"/>
          <w:rtl/>
        </w:rPr>
        <w:t>ی</w:t>
      </w:r>
      <w:r>
        <w:rPr>
          <w:rFonts w:hint="cs"/>
          <w:rtl/>
        </w:rPr>
        <w:t xml:space="preserve"> در باب های دیگر مخصص منفصل پیدا کردیم،</w:t>
      </w:r>
      <w:r w:rsidR="004D6BD4">
        <w:rPr>
          <w:rFonts w:hint="cs"/>
          <w:rtl/>
        </w:rPr>
        <w:t xml:space="preserve"> </w:t>
      </w:r>
      <w:r>
        <w:rPr>
          <w:rFonts w:hint="cs"/>
          <w:rtl/>
        </w:rPr>
        <w:t>باید در</w:t>
      </w:r>
      <w:r w:rsidR="004D6BD4">
        <w:rPr>
          <w:rFonts w:hint="cs"/>
          <w:rtl/>
        </w:rPr>
        <w:t xml:space="preserve"> باب هایی که یک تناسب</w:t>
      </w:r>
      <w:r>
        <w:rPr>
          <w:rFonts w:hint="cs"/>
          <w:rtl/>
        </w:rPr>
        <w:t>ی</w:t>
      </w:r>
      <w:r w:rsidR="004D6BD4">
        <w:rPr>
          <w:rFonts w:hint="cs"/>
          <w:rtl/>
        </w:rPr>
        <w:t xml:space="preserve"> با ذکر مخصص منفصل این عام </w:t>
      </w:r>
      <w:r>
        <w:rPr>
          <w:rFonts w:hint="cs"/>
          <w:rtl/>
        </w:rPr>
        <w:t xml:space="preserve">دارد نیز فحص کرد، و </w:t>
      </w:r>
      <w:r w:rsidR="004D6BD4">
        <w:rPr>
          <w:rFonts w:hint="cs"/>
          <w:rtl/>
        </w:rPr>
        <w:t xml:space="preserve">تا اطمینان به عدم مخصص پیدا نشود </w:t>
      </w:r>
      <w:r w:rsidR="00C06A29">
        <w:rPr>
          <w:rFonts w:hint="cs"/>
          <w:rtl/>
        </w:rPr>
        <w:t xml:space="preserve">نمی توان به عام تمسک کرد. </w:t>
      </w:r>
    </w:p>
    <w:p w:rsidR="00C06A29" w:rsidRDefault="00185D48" w:rsidP="00185D48">
      <w:pPr>
        <w:pStyle w:val="Heading2"/>
        <w:rPr>
          <w:rtl/>
        </w:rPr>
      </w:pPr>
      <w:bookmarkStart w:id="9" w:name="_Toc120694071"/>
      <w:r>
        <w:rPr>
          <w:rFonts w:hint="cs"/>
          <w:rtl/>
        </w:rPr>
        <w:t>فحص</w:t>
      </w:r>
      <w:r w:rsidR="00C06A29">
        <w:rPr>
          <w:rFonts w:hint="cs"/>
          <w:rtl/>
        </w:rPr>
        <w:t xml:space="preserve"> </w:t>
      </w:r>
      <w:r>
        <w:rPr>
          <w:rFonts w:hint="cs"/>
          <w:rtl/>
        </w:rPr>
        <w:t xml:space="preserve">از </w:t>
      </w:r>
      <w:r w:rsidR="00C06A29">
        <w:rPr>
          <w:rFonts w:hint="cs"/>
          <w:rtl/>
        </w:rPr>
        <w:t>مخصص متصل</w:t>
      </w:r>
      <w:bookmarkEnd w:id="9"/>
    </w:p>
    <w:p w:rsidR="00185D48" w:rsidRPr="00185D48" w:rsidRDefault="006F7DF4" w:rsidP="00185D48">
      <w:pPr>
        <w:pStyle w:val="Heading2"/>
        <w:rPr>
          <w:rtl/>
        </w:rPr>
      </w:pPr>
      <w:bookmarkStart w:id="10" w:name="_Toc120694072"/>
      <w:r>
        <w:rPr>
          <w:rFonts w:hint="cs"/>
          <w:rtl/>
        </w:rPr>
        <w:t>کلام مرحوم آ</w:t>
      </w:r>
      <w:r w:rsidR="00185D48">
        <w:rPr>
          <w:rFonts w:hint="cs"/>
          <w:rtl/>
        </w:rPr>
        <w:t>خوند رحمه الله: عدم لزوم فحص از مخصص متصل</w:t>
      </w:r>
      <w:bookmarkEnd w:id="10"/>
    </w:p>
    <w:p w:rsidR="00C06A29" w:rsidRDefault="00185D48" w:rsidP="006F7DF4">
      <w:pPr>
        <w:rPr>
          <w:rtl/>
        </w:rPr>
      </w:pPr>
      <w:r>
        <w:rPr>
          <w:rFonts w:hint="cs"/>
          <w:rtl/>
        </w:rPr>
        <w:t>مرحوم آ</w:t>
      </w:r>
      <w:r w:rsidR="00C06A29">
        <w:rPr>
          <w:rFonts w:hint="cs"/>
          <w:rtl/>
        </w:rPr>
        <w:t>خوند</w:t>
      </w:r>
      <w:r>
        <w:rPr>
          <w:rFonts w:hint="cs"/>
          <w:rtl/>
        </w:rPr>
        <w:t xml:space="preserve"> رحمه الله فرمودند</w:t>
      </w:r>
      <w:r w:rsidR="00C06A29">
        <w:rPr>
          <w:rFonts w:hint="cs"/>
          <w:rtl/>
        </w:rPr>
        <w:t>: دلیلی بر لزوم فحص</w:t>
      </w:r>
      <w:r>
        <w:rPr>
          <w:rFonts w:hint="cs"/>
          <w:rtl/>
        </w:rPr>
        <w:t xml:space="preserve"> از مخصص متصل</w:t>
      </w:r>
      <w:r w:rsidR="00C06A29">
        <w:rPr>
          <w:rFonts w:hint="cs"/>
          <w:rtl/>
        </w:rPr>
        <w:t xml:space="preserve"> </w:t>
      </w:r>
      <w:r w:rsidR="006F7DF4">
        <w:rPr>
          <w:rFonts w:hint="cs"/>
          <w:rtl/>
        </w:rPr>
        <w:t>نداریم</w:t>
      </w:r>
      <w:r>
        <w:rPr>
          <w:rFonts w:hint="cs"/>
          <w:rtl/>
        </w:rPr>
        <w:t xml:space="preserve"> و آن</w:t>
      </w:r>
      <w:r w:rsidR="00C06A29">
        <w:rPr>
          <w:rFonts w:hint="cs"/>
          <w:rtl/>
        </w:rPr>
        <w:t xml:space="preserve"> شبیه </w:t>
      </w:r>
      <w:r>
        <w:rPr>
          <w:rFonts w:hint="cs"/>
          <w:rtl/>
        </w:rPr>
        <w:t xml:space="preserve">شک در </w:t>
      </w:r>
      <w:r w:rsidR="00C06A29">
        <w:rPr>
          <w:rFonts w:hint="cs"/>
          <w:rtl/>
        </w:rPr>
        <w:t xml:space="preserve">قرینه بر مجاز است </w:t>
      </w:r>
      <w:r w:rsidR="00804D6E">
        <w:rPr>
          <w:rFonts w:hint="cs"/>
          <w:rtl/>
        </w:rPr>
        <w:t>که اصولیون بر عدم فحص از آن اتفاق دارند</w:t>
      </w:r>
      <w:r w:rsidR="00762375">
        <w:rPr>
          <w:rStyle w:val="FootnoteReference"/>
          <w:rtl/>
        </w:rPr>
        <w:footnoteReference w:id="6"/>
      </w:r>
      <w:r w:rsidR="00804D6E">
        <w:rPr>
          <w:rFonts w:hint="cs"/>
          <w:rtl/>
        </w:rPr>
        <w:t>.</w:t>
      </w:r>
      <w:r w:rsidR="00C06A29">
        <w:rPr>
          <w:rFonts w:hint="cs"/>
          <w:rtl/>
        </w:rPr>
        <w:t xml:space="preserve"> </w:t>
      </w:r>
    </w:p>
    <w:p w:rsidR="00804D6E" w:rsidRDefault="00804D6E" w:rsidP="00804D6E">
      <w:pPr>
        <w:pStyle w:val="Heading2"/>
        <w:rPr>
          <w:rtl/>
        </w:rPr>
      </w:pPr>
      <w:bookmarkStart w:id="11" w:name="_Toc120694073"/>
      <w:r>
        <w:rPr>
          <w:rFonts w:hint="cs"/>
          <w:rtl/>
        </w:rPr>
        <w:t>بررسی کلام مرحوم آخوند رحمه الله</w:t>
      </w:r>
      <w:bookmarkEnd w:id="11"/>
    </w:p>
    <w:p w:rsidR="00804D6E" w:rsidRDefault="00804D6E">
      <w:pPr>
        <w:rPr>
          <w:rtl/>
        </w:rPr>
      </w:pPr>
      <w:r>
        <w:rPr>
          <w:rFonts w:hint="cs"/>
          <w:rtl/>
        </w:rPr>
        <w:t xml:space="preserve">این کلام تمام نیست چون: </w:t>
      </w:r>
    </w:p>
    <w:p w:rsidR="00C06A29" w:rsidRDefault="00804D6E" w:rsidP="006F7DF4">
      <w:pPr>
        <w:rPr>
          <w:rtl/>
        </w:rPr>
      </w:pPr>
      <w:r>
        <w:rPr>
          <w:rFonts w:hint="cs"/>
          <w:rtl/>
        </w:rPr>
        <w:t>اولا: معلوم نیست ایشان این</w:t>
      </w:r>
      <w:r w:rsidR="00477F9E">
        <w:rPr>
          <w:rFonts w:hint="cs"/>
          <w:rtl/>
        </w:rPr>
        <w:t xml:space="preserve"> اتفاق ها را از کجا کشف کردند.</w:t>
      </w:r>
      <w:r>
        <w:rPr>
          <w:rFonts w:hint="cs"/>
          <w:rtl/>
        </w:rPr>
        <w:t xml:space="preserve"> خود ایشان در بحث صیغه امر فرمودند: چون موضوع له صیغه امر وجوب است قرینه بر استحباب قرینه بر استعمال مجازی صیغه امر در غیر وجوب است</w:t>
      </w:r>
      <w:r w:rsidR="00C06A29">
        <w:rPr>
          <w:rFonts w:hint="cs"/>
          <w:rtl/>
        </w:rPr>
        <w:t xml:space="preserve">، </w:t>
      </w:r>
      <w:r>
        <w:rPr>
          <w:rFonts w:hint="cs"/>
          <w:rtl/>
        </w:rPr>
        <w:t xml:space="preserve">در این صورت وقتی </w:t>
      </w:r>
      <w:r w:rsidR="00C06A29">
        <w:rPr>
          <w:rFonts w:hint="cs"/>
          <w:rtl/>
        </w:rPr>
        <w:t>فقیه احتمال می</w:t>
      </w:r>
      <w:r>
        <w:rPr>
          <w:rFonts w:hint="cs"/>
          <w:rtl/>
        </w:rPr>
        <w:t xml:space="preserve"> دهد که قرینه بر استعمال  صیغه ی امر درمعنای مجازی یعنی استحباب </w:t>
      </w:r>
      <w:r w:rsidR="00477F9E">
        <w:rPr>
          <w:rFonts w:hint="cs"/>
          <w:rtl/>
        </w:rPr>
        <w:t xml:space="preserve">وجود داشته </w:t>
      </w:r>
      <w:r>
        <w:rPr>
          <w:rFonts w:hint="cs"/>
          <w:rtl/>
        </w:rPr>
        <w:t>باشد،</w:t>
      </w:r>
      <w:r w:rsidR="00C06A29">
        <w:rPr>
          <w:rFonts w:hint="cs"/>
          <w:rtl/>
        </w:rPr>
        <w:t xml:space="preserve"> نمی تواند بدون فحص</w:t>
      </w:r>
      <w:r w:rsidR="00477F9E">
        <w:rPr>
          <w:rFonts w:hint="cs"/>
          <w:rtl/>
        </w:rPr>
        <w:t>،</w:t>
      </w:r>
      <w:r w:rsidR="00C06A29">
        <w:rPr>
          <w:rFonts w:hint="cs"/>
          <w:rtl/>
        </w:rPr>
        <w:t xml:space="preserve"> حکم به وجوب کند و </w:t>
      </w:r>
      <w:r w:rsidR="00477F9E">
        <w:rPr>
          <w:rFonts w:hint="cs"/>
          <w:rtl/>
        </w:rPr>
        <w:t>(قرینه منفصل بر مجاز)</w:t>
      </w:r>
      <w:r>
        <w:rPr>
          <w:rFonts w:hint="cs"/>
          <w:rtl/>
        </w:rPr>
        <w:t xml:space="preserve"> </w:t>
      </w:r>
      <w:r w:rsidR="00C06A29">
        <w:rPr>
          <w:rFonts w:hint="cs"/>
          <w:rtl/>
        </w:rPr>
        <w:t xml:space="preserve">فرقی با </w:t>
      </w:r>
      <w:r>
        <w:rPr>
          <w:rFonts w:hint="cs"/>
          <w:rtl/>
        </w:rPr>
        <w:t xml:space="preserve">سایر </w:t>
      </w:r>
      <w:r w:rsidR="00477F9E">
        <w:rPr>
          <w:rFonts w:hint="cs"/>
          <w:rtl/>
        </w:rPr>
        <w:t>مخصص</w:t>
      </w:r>
      <w:r w:rsidR="00477F9E">
        <w:rPr>
          <w:rtl/>
        </w:rPr>
        <w:softHyphen/>
      </w:r>
      <w:r w:rsidR="00477F9E">
        <w:rPr>
          <w:rFonts w:hint="cs"/>
          <w:rtl/>
        </w:rPr>
        <w:t xml:space="preserve">های </w:t>
      </w:r>
      <w:r w:rsidR="00C06A29">
        <w:rPr>
          <w:rFonts w:hint="cs"/>
          <w:rtl/>
        </w:rPr>
        <w:t xml:space="preserve">منفصل ندارد. </w:t>
      </w:r>
    </w:p>
    <w:p w:rsidR="00C06A29" w:rsidRDefault="00C06A29" w:rsidP="00804D6E">
      <w:pPr>
        <w:rPr>
          <w:rtl/>
        </w:rPr>
      </w:pPr>
      <w:r>
        <w:rPr>
          <w:rFonts w:hint="cs"/>
          <w:rtl/>
        </w:rPr>
        <w:t>ثانیا: فحص از مخصص متصل نیز لازم است</w:t>
      </w:r>
      <w:r w:rsidR="00804D6E">
        <w:rPr>
          <w:rFonts w:hint="cs"/>
          <w:rtl/>
        </w:rPr>
        <w:t xml:space="preserve"> زیرا وقتی </w:t>
      </w:r>
      <w:r w:rsidR="00D222C3">
        <w:rPr>
          <w:rFonts w:hint="cs"/>
          <w:rtl/>
        </w:rPr>
        <w:t xml:space="preserve">می دانیم در کتبی مانند وسایل الشیعه </w:t>
      </w:r>
      <w:r w:rsidR="00804D6E">
        <w:rPr>
          <w:rFonts w:hint="cs"/>
          <w:rtl/>
        </w:rPr>
        <w:t>روای</w:t>
      </w:r>
      <w:r w:rsidR="00D222C3">
        <w:rPr>
          <w:rFonts w:hint="cs"/>
          <w:rtl/>
        </w:rPr>
        <w:t>ا</w:t>
      </w:r>
      <w:r w:rsidR="00804D6E">
        <w:rPr>
          <w:rFonts w:hint="cs"/>
          <w:rtl/>
        </w:rPr>
        <w:t>ت تقطیع شده است</w:t>
      </w:r>
      <w:r w:rsidR="00CC4828">
        <w:rPr>
          <w:rFonts w:hint="cs"/>
          <w:rtl/>
        </w:rPr>
        <w:t xml:space="preserve"> و می دانیم که صاحب وسایل گاهی در تقطیع اشتباه می کند و</w:t>
      </w:r>
      <w:r>
        <w:rPr>
          <w:rFonts w:hint="cs"/>
          <w:rtl/>
        </w:rPr>
        <w:t xml:space="preserve"> اگر به مصدر اصلی حدیث رجوع شود شاید در</w:t>
      </w:r>
      <w:r w:rsidR="00804D6E">
        <w:rPr>
          <w:rFonts w:hint="cs"/>
          <w:rtl/>
        </w:rPr>
        <w:t xml:space="preserve"> ذ</w:t>
      </w:r>
      <w:r w:rsidR="00CC4828">
        <w:rPr>
          <w:rFonts w:hint="cs"/>
          <w:rtl/>
        </w:rPr>
        <w:t>یل آن مخصص متصلی ذکر شده باشد،</w:t>
      </w:r>
      <w:r w:rsidR="00804D6E">
        <w:rPr>
          <w:rFonts w:hint="cs"/>
          <w:rtl/>
        </w:rPr>
        <w:t xml:space="preserve"> وجهی بر عدم لزوم فحص وجود ندارد. </w:t>
      </w:r>
    </w:p>
    <w:p w:rsidR="00C06A29" w:rsidRDefault="00C06A29" w:rsidP="00CC4828">
      <w:pPr>
        <w:rPr>
          <w:rtl/>
        </w:rPr>
      </w:pPr>
      <w:r>
        <w:rPr>
          <w:rFonts w:hint="cs"/>
          <w:rtl/>
        </w:rPr>
        <w:t>ثالثا:</w:t>
      </w:r>
      <w:r w:rsidR="00804D6E">
        <w:rPr>
          <w:rFonts w:hint="cs"/>
          <w:rtl/>
        </w:rPr>
        <w:t xml:space="preserve"> </w:t>
      </w:r>
      <w:r w:rsidR="00D222C3">
        <w:rPr>
          <w:rFonts w:hint="cs"/>
          <w:rtl/>
        </w:rPr>
        <w:t>این که مرحوم آخوند فرموده اند:</w:t>
      </w:r>
      <w:r w:rsidR="00804D6E">
        <w:rPr>
          <w:rFonts w:hint="cs"/>
          <w:rtl/>
        </w:rPr>
        <w:t xml:space="preserve"> «اصل عدم مخصص متصل است»</w:t>
      </w:r>
      <w:r w:rsidR="004752E6">
        <w:rPr>
          <w:rFonts w:hint="cs"/>
          <w:rtl/>
        </w:rPr>
        <w:t>،</w:t>
      </w:r>
      <w:r>
        <w:rPr>
          <w:rFonts w:hint="cs"/>
          <w:rtl/>
        </w:rPr>
        <w:t xml:space="preserve"> قبل از فحص</w:t>
      </w:r>
      <w:r w:rsidR="00804D6E">
        <w:rPr>
          <w:rFonts w:hint="cs"/>
          <w:rtl/>
        </w:rPr>
        <w:t xml:space="preserve"> </w:t>
      </w:r>
      <w:r>
        <w:rPr>
          <w:rFonts w:hint="cs"/>
          <w:rtl/>
        </w:rPr>
        <w:t>دلیلی بر این اصل نیست</w:t>
      </w:r>
      <w:r w:rsidR="00804D6E">
        <w:rPr>
          <w:rFonts w:hint="cs"/>
          <w:rtl/>
        </w:rPr>
        <w:t xml:space="preserve">. بعد از فحص </w:t>
      </w:r>
      <w:r w:rsidR="004752E6">
        <w:rPr>
          <w:rFonts w:hint="cs"/>
          <w:rtl/>
        </w:rPr>
        <w:t>نیز نفی آن به</w:t>
      </w:r>
      <w:r>
        <w:rPr>
          <w:rFonts w:hint="cs"/>
          <w:rtl/>
        </w:rPr>
        <w:t xml:space="preserve"> ظاهر سکوت راوی است که نفی </w:t>
      </w:r>
      <w:r w:rsidR="004752E6">
        <w:rPr>
          <w:rFonts w:hint="cs"/>
          <w:rtl/>
        </w:rPr>
        <w:t xml:space="preserve">مخصص متصل می کند، </w:t>
      </w:r>
      <w:r>
        <w:rPr>
          <w:rFonts w:hint="cs"/>
          <w:rtl/>
        </w:rPr>
        <w:t>و</w:t>
      </w:r>
      <w:r w:rsidR="004752E6">
        <w:rPr>
          <w:rFonts w:hint="cs"/>
          <w:rtl/>
        </w:rPr>
        <w:t xml:space="preserve"> لذا</w:t>
      </w:r>
      <w:r>
        <w:rPr>
          <w:rFonts w:hint="cs"/>
          <w:rtl/>
        </w:rPr>
        <w:t xml:space="preserve"> اگر احتمال مخصص</w:t>
      </w:r>
      <w:r w:rsidR="004752E6">
        <w:rPr>
          <w:rFonts w:hint="cs"/>
          <w:rtl/>
        </w:rPr>
        <w:t xml:space="preserve"> متصل</w:t>
      </w:r>
      <w:r>
        <w:rPr>
          <w:rFonts w:hint="cs"/>
          <w:rtl/>
        </w:rPr>
        <w:t xml:space="preserve"> لبی</w:t>
      </w:r>
      <w:r w:rsidR="004752E6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</w:t>
      </w:r>
      <w:r w:rsidR="004752E6">
        <w:rPr>
          <w:rFonts w:hint="cs"/>
          <w:rtl/>
        </w:rPr>
        <w:t xml:space="preserve">به مثابه قرینه نوعیه حالیه است داده شود </w:t>
      </w:r>
      <w:r>
        <w:rPr>
          <w:rFonts w:hint="cs"/>
          <w:rtl/>
        </w:rPr>
        <w:t xml:space="preserve">نه قرینه شخصیه حالیه، یعنی </w:t>
      </w:r>
      <w:r w:rsidR="004752E6">
        <w:rPr>
          <w:rFonts w:hint="cs"/>
          <w:rtl/>
        </w:rPr>
        <w:t>احتمال داده شود که ارتکاز متشرع</w:t>
      </w:r>
      <w:r w:rsidR="00CC4828">
        <w:rPr>
          <w:rFonts w:hint="cs"/>
          <w:rtl/>
        </w:rPr>
        <w:t>ی</w:t>
      </w:r>
      <w:r>
        <w:rPr>
          <w:rFonts w:hint="cs"/>
          <w:rtl/>
        </w:rPr>
        <w:t xml:space="preserve"> در یک موردی بر خلاف ظهور اولی</w:t>
      </w:r>
      <w:r w:rsidR="004752E6">
        <w:rPr>
          <w:rFonts w:hint="cs"/>
          <w:rtl/>
        </w:rPr>
        <w:t>ه</w:t>
      </w:r>
      <w:r>
        <w:rPr>
          <w:rFonts w:hint="cs"/>
          <w:rtl/>
        </w:rPr>
        <w:t xml:space="preserve"> خبر باشد، </w:t>
      </w:r>
      <w:r w:rsidR="004752E6">
        <w:rPr>
          <w:rFonts w:hint="cs"/>
          <w:rtl/>
        </w:rPr>
        <w:t>دلیلی بر نفی آن وجود ندارد و عقلاء نیز بناء بر عدم اعتناء به</w:t>
      </w:r>
      <w:r w:rsidR="00CC4828">
        <w:rPr>
          <w:rFonts w:hint="cs"/>
          <w:rtl/>
        </w:rPr>
        <w:t xml:space="preserve"> آن</w:t>
      </w:r>
      <w:r w:rsidR="004752E6">
        <w:rPr>
          <w:rFonts w:hint="cs"/>
          <w:rtl/>
        </w:rPr>
        <w:t xml:space="preserve"> نمی گذارند، آن ها</w:t>
      </w:r>
      <w:r>
        <w:rPr>
          <w:rFonts w:hint="cs"/>
          <w:rtl/>
        </w:rPr>
        <w:t xml:space="preserve"> در مواردی به شک اعتناء نمی کنند</w:t>
      </w:r>
      <w:r w:rsidR="004752E6">
        <w:rPr>
          <w:rFonts w:hint="cs"/>
          <w:rtl/>
        </w:rPr>
        <w:t xml:space="preserve"> که عدم بیان مخصص متصل منافات با وثاقت راوی داشته باشد، </w:t>
      </w:r>
      <w:r>
        <w:rPr>
          <w:rFonts w:hint="cs"/>
          <w:rtl/>
        </w:rPr>
        <w:t>ولی</w:t>
      </w:r>
      <w:r w:rsidR="004752E6">
        <w:rPr>
          <w:rFonts w:hint="cs"/>
          <w:rtl/>
        </w:rPr>
        <w:t xml:space="preserve"> عدم ذکر مخصص متصل لبی که ناشی از ارتکاز عام متشرعی است، منافات با وثاقت راوی ندارد و او</w:t>
      </w:r>
      <w:r>
        <w:rPr>
          <w:rFonts w:hint="cs"/>
          <w:rtl/>
        </w:rPr>
        <w:t xml:space="preserve"> خود را ملزم</w:t>
      </w:r>
      <w:r w:rsidR="004752E6">
        <w:rPr>
          <w:rFonts w:hint="cs"/>
          <w:rtl/>
        </w:rPr>
        <w:t xml:space="preserve"> به بیان آن نمی داند چون می گوید: </w:t>
      </w:r>
      <w:r>
        <w:rPr>
          <w:rFonts w:hint="cs"/>
          <w:rtl/>
        </w:rPr>
        <w:t xml:space="preserve">مستعمین نیز این ارتکاز </w:t>
      </w:r>
      <w:r w:rsidR="004752E6">
        <w:rPr>
          <w:rFonts w:hint="cs"/>
          <w:rtl/>
        </w:rPr>
        <w:t xml:space="preserve">متشرعی </w:t>
      </w:r>
      <w:r>
        <w:rPr>
          <w:rFonts w:hint="cs"/>
          <w:rtl/>
        </w:rPr>
        <w:t>را دار</w:t>
      </w:r>
      <w:r w:rsidR="008F7791">
        <w:rPr>
          <w:rFonts w:hint="cs"/>
          <w:rtl/>
        </w:rPr>
        <w:t>ن</w:t>
      </w:r>
      <w:r>
        <w:rPr>
          <w:rFonts w:hint="cs"/>
          <w:rtl/>
        </w:rPr>
        <w:t xml:space="preserve">د. </w:t>
      </w:r>
    </w:p>
    <w:p w:rsidR="004D6BD4" w:rsidRDefault="004752E6">
      <w:pPr>
        <w:rPr>
          <w:rtl/>
        </w:rPr>
      </w:pPr>
      <w:r>
        <w:rPr>
          <w:rFonts w:hint="cs"/>
          <w:rtl/>
        </w:rPr>
        <w:t xml:space="preserve">و حتی اگر این ارتکاز متشرعی را امام علیه السلام به لفظ بیان کرده باشند نیز عدم ذکر آن منافات با وثاقت راوی ندارد و از سکوت راوی نمی توان آن را نفی کرد. </w:t>
      </w:r>
    </w:p>
    <w:p w:rsidR="00C06A29" w:rsidRDefault="00C06A29" w:rsidP="004752E6">
      <w:pPr>
        <w:pStyle w:val="Heading2"/>
        <w:rPr>
          <w:rtl/>
        </w:rPr>
      </w:pPr>
      <w:bookmarkStart w:id="12" w:name="_Toc120694074"/>
      <w:r>
        <w:rPr>
          <w:rFonts w:hint="cs"/>
          <w:rtl/>
        </w:rPr>
        <w:t xml:space="preserve">اختصاص </w:t>
      </w:r>
      <w:r w:rsidR="004752E6">
        <w:rPr>
          <w:rFonts w:hint="cs"/>
          <w:rtl/>
        </w:rPr>
        <w:t>خطابات قرآن به مشافهین یا حاضرین در زمان نزول قرآن</w:t>
      </w:r>
      <w:bookmarkEnd w:id="12"/>
    </w:p>
    <w:p w:rsidR="004752E6" w:rsidRPr="004752E6" w:rsidRDefault="00D5030C" w:rsidP="00D5030C">
      <w:pPr>
        <w:pStyle w:val="Heading2"/>
        <w:rPr>
          <w:rtl/>
        </w:rPr>
      </w:pPr>
      <w:bookmarkStart w:id="13" w:name="_Toc120694075"/>
      <w:r w:rsidRPr="00D5030C">
        <w:rPr>
          <w:rFonts w:hint="cs"/>
          <w:rtl/>
        </w:rPr>
        <w:t>ثمرات اختصاص خطابات</w:t>
      </w:r>
      <w:r>
        <w:rPr>
          <w:rFonts w:hint="cs"/>
          <w:rtl/>
        </w:rPr>
        <w:t xml:space="preserve"> به مشافهین</w:t>
      </w:r>
      <w:bookmarkEnd w:id="13"/>
    </w:p>
    <w:p w:rsidR="004752E6" w:rsidRDefault="004752E6" w:rsidP="004752E6">
      <w:pPr>
        <w:rPr>
          <w:rtl/>
        </w:rPr>
      </w:pPr>
      <w:r>
        <w:rPr>
          <w:rFonts w:hint="cs"/>
          <w:rtl/>
        </w:rPr>
        <w:t xml:space="preserve">این یک بحث مهمی است و ما ابتدا دو ثمره ای که برای آن مطرح شد را بیان می کنیم: </w:t>
      </w:r>
    </w:p>
    <w:p w:rsidR="00C06A29" w:rsidRDefault="00C06A29" w:rsidP="004752E6">
      <w:pPr>
        <w:pStyle w:val="Heading2"/>
        <w:rPr>
          <w:rtl/>
        </w:rPr>
      </w:pPr>
      <w:bookmarkStart w:id="14" w:name="_Toc120694076"/>
      <w:r>
        <w:rPr>
          <w:rFonts w:hint="cs"/>
          <w:rtl/>
        </w:rPr>
        <w:t xml:space="preserve">ثمره اول: </w:t>
      </w:r>
      <w:r w:rsidR="004752E6">
        <w:rPr>
          <w:rFonts w:hint="cs"/>
          <w:rtl/>
        </w:rPr>
        <w:t>عدم حجیت ظواهر قرآن نسبت به معدومین</w:t>
      </w:r>
      <w:bookmarkEnd w:id="14"/>
    </w:p>
    <w:p w:rsidR="00C06A29" w:rsidRDefault="004752E6" w:rsidP="00D3721E">
      <w:pPr>
        <w:rPr>
          <w:rtl/>
        </w:rPr>
      </w:pPr>
      <w:r>
        <w:rPr>
          <w:rFonts w:hint="cs"/>
          <w:rtl/>
        </w:rPr>
        <w:t xml:space="preserve">مرحوم </w:t>
      </w:r>
      <w:r w:rsidR="00C06A29">
        <w:rPr>
          <w:rFonts w:hint="cs"/>
          <w:rtl/>
        </w:rPr>
        <w:t xml:space="preserve">آخوند </w:t>
      </w:r>
      <w:r>
        <w:rPr>
          <w:rFonts w:hint="cs"/>
          <w:rtl/>
        </w:rPr>
        <w:t xml:space="preserve">رحمه الله </w:t>
      </w:r>
      <w:r w:rsidR="00C06A29">
        <w:rPr>
          <w:rFonts w:hint="cs"/>
          <w:rtl/>
        </w:rPr>
        <w:t xml:space="preserve">فرمودند: بنابر اختصاص حجیت ظواهر به مقصودین بالافهام </w:t>
      </w:r>
      <w:r w:rsidR="00C06A29">
        <w:rPr>
          <w:rFonts w:ascii="Times New Roman" w:hAnsi="Times New Roman" w:cs="Times New Roman" w:hint="cs"/>
          <w:rtl/>
        </w:rPr>
        <w:t>–</w:t>
      </w:r>
      <w:r w:rsidR="00C06A29">
        <w:rPr>
          <w:rFonts w:hint="cs"/>
          <w:rtl/>
        </w:rPr>
        <w:t xml:space="preserve">که نظر محقق قمی </w:t>
      </w:r>
      <w:r w:rsidR="00D3721E">
        <w:rPr>
          <w:rFonts w:hint="cs"/>
          <w:rtl/>
        </w:rPr>
        <w:t xml:space="preserve">رحمه الله </w:t>
      </w:r>
      <w:r w:rsidR="00C06A29">
        <w:rPr>
          <w:rFonts w:hint="cs"/>
          <w:rtl/>
        </w:rPr>
        <w:t>است</w:t>
      </w:r>
      <w:r w:rsidR="00D3721E">
        <w:rPr>
          <w:rStyle w:val="FootnoteReference"/>
          <w:rtl/>
        </w:rPr>
        <w:footnoteReference w:id="7"/>
      </w:r>
      <w:r w:rsidR="00C06A29">
        <w:rPr>
          <w:rFonts w:hint="cs"/>
          <w:rtl/>
        </w:rPr>
        <w:t xml:space="preserve">- اگر قائل شویم و یا احتمال دهیم </w:t>
      </w:r>
      <w:r w:rsidR="00D3721E">
        <w:rPr>
          <w:rFonts w:hint="cs"/>
          <w:rtl/>
        </w:rPr>
        <w:t xml:space="preserve">که مقصود بالافهام </w:t>
      </w:r>
      <w:r w:rsidR="00C06A29">
        <w:rPr>
          <w:rFonts w:hint="cs"/>
          <w:rtl/>
        </w:rPr>
        <w:t xml:space="preserve">خطابات قرآن خصوص حاضرین در زمان پیامبر </w:t>
      </w:r>
      <w:r w:rsidR="00D3721E">
        <w:rPr>
          <w:rFonts w:hint="cs"/>
          <w:rtl/>
        </w:rPr>
        <w:t>صلی الله علیه و آله و سلم هستند،</w:t>
      </w:r>
      <w:r w:rsidR="00C06A29">
        <w:rPr>
          <w:rFonts w:hint="cs"/>
          <w:rtl/>
        </w:rPr>
        <w:t xml:space="preserve"> دیگر</w:t>
      </w:r>
      <w:r w:rsidR="00D3721E">
        <w:rPr>
          <w:rFonts w:hint="cs"/>
          <w:rtl/>
        </w:rPr>
        <w:t xml:space="preserve"> ظواهر قرآن</w:t>
      </w:r>
      <w:r w:rsidR="00C06A29">
        <w:rPr>
          <w:rFonts w:hint="cs"/>
          <w:rtl/>
        </w:rPr>
        <w:t xml:space="preserve"> برای</w:t>
      </w:r>
      <w:r w:rsidR="00D3721E">
        <w:rPr>
          <w:rFonts w:hint="cs"/>
          <w:rtl/>
        </w:rPr>
        <w:t xml:space="preserve"> کسانی که در آن زمان حاضر نبودند</w:t>
      </w:r>
      <w:r w:rsidR="00C06A29">
        <w:rPr>
          <w:rFonts w:hint="cs"/>
          <w:rtl/>
        </w:rPr>
        <w:t xml:space="preserve"> </w:t>
      </w:r>
      <w:r w:rsidR="00D3721E">
        <w:rPr>
          <w:rFonts w:hint="cs"/>
          <w:rtl/>
        </w:rPr>
        <w:t xml:space="preserve">حجت نیستند.چون ممکن است </w:t>
      </w:r>
      <w:r w:rsidR="00C06A29">
        <w:rPr>
          <w:rFonts w:hint="cs"/>
          <w:rtl/>
        </w:rPr>
        <w:t>شان نزول  بین خدا و بین مسلمین در زمان صدور قرینه بود بر رفع ید از ظهور اولیه خطاب و این قر</w:t>
      </w:r>
      <w:r w:rsidR="00D3721E">
        <w:rPr>
          <w:rFonts w:hint="cs"/>
          <w:rtl/>
        </w:rPr>
        <w:t>ینه را ملزم نیستند به ما بگویند،</w:t>
      </w:r>
      <w:r w:rsidR="00C06A29">
        <w:rPr>
          <w:rFonts w:hint="cs"/>
          <w:rtl/>
        </w:rPr>
        <w:t xml:space="preserve"> چون ما مقصود بالافهام نیستیم. </w:t>
      </w:r>
    </w:p>
    <w:p w:rsidR="00D3721E" w:rsidRDefault="00D3721E" w:rsidP="00D3721E">
      <w:pPr>
        <w:pStyle w:val="Heading2"/>
        <w:rPr>
          <w:rtl/>
        </w:rPr>
      </w:pPr>
      <w:bookmarkStart w:id="15" w:name="_Toc120694077"/>
      <w:r>
        <w:rPr>
          <w:rFonts w:hint="cs"/>
          <w:rtl/>
        </w:rPr>
        <w:t>بررسی ثمره اول</w:t>
      </w:r>
      <w:bookmarkEnd w:id="15"/>
    </w:p>
    <w:p w:rsidR="00D3721E" w:rsidRDefault="00C06A29" w:rsidP="00C06A29">
      <w:pPr>
        <w:rPr>
          <w:rtl/>
        </w:rPr>
      </w:pPr>
      <w:r>
        <w:rPr>
          <w:rFonts w:hint="cs"/>
          <w:rtl/>
        </w:rPr>
        <w:t>ایشان فرمودند:</w:t>
      </w:r>
      <w:r w:rsidR="00D3721E">
        <w:rPr>
          <w:rFonts w:hint="cs"/>
          <w:rtl/>
        </w:rPr>
        <w:t xml:space="preserve"> این ثمره تمام نیست چون:</w:t>
      </w:r>
    </w:p>
    <w:p w:rsidR="00C06A29" w:rsidRDefault="00C06A29" w:rsidP="00D3721E">
      <w:pPr>
        <w:rPr>
          <w:rtl/>
        </w:rPr>
      </w:pPr>
      <w:r>
        <w:rPr>
          <w:rFonts w:hint="cs"/>
          <w:rtl/>
        </w:rPr>
        <w:t>اولا: مبنای محقق قمی</w:t>
      </w:r>
      <w:r w:rsidR="00D3721E">
        <w:rPr>
          <w:rFonts w:hint="cs"/>
          <w:rtl/>
        </w:rPr>
        <w:t xml:space="preserve"> رحمه الله</w:t>
      </w:r>
      <w:r>
        <w:rPr>
          <w:rFonts w:hint="cs"/>
          <w:rtl/>
        </w:rPr>
        <w:t xml:space="preserve"> صحیح نیست و ظواهر حتی برای غیر مقصودین بالافهام</w:t>
      </w:r>
      <w:r w:rsidR="00D3721E">
        <w:rPr>
          <w:rFonts w:hint="cs"/>
          <w:rtl/>
        </w:rPr>
        <w:t xml:space="preserve"> نیز حجت</w:t>
      </w:r>
      <w:r>
        <w:rPr>
          <w:rFonts w:hint="cs"/>
          <w:rtl/>
        </w:rPr>
        <w:t xml:space="preserve"> هستند</w:t>
      </w:r>
      <w:r w:rsidR="00D3721E">
        <w:rPr>
          <w:rFonts w:hint="cs"/>
          <w:rtl/>
        </w:rPr>
        <w:t>.</w:t>
      </w:r>
      <w:r>
        <w:rPr>
          <w:rFonts w:hint="cs"/>
          <w:rtl/>
        </w:rPr>
        <w:t xml:space="preserve"> ولذا اگر</w:t>
      </w:r>
      <w:r w:rsidR="00D3721E">
        <w:rPr>
          <w:rFonts w:hint="cs"/>
          <w:rtl/>
        </w:rPr>
        <w:t xml:space="preserve"> زید به نحو خصوصی به عمرو بگوید: من ده میلیون به بکر بدهکار هستم، و شخص دیگری صدای او را می ش</w:t>
      </w:r>
      <w:r w:rsidR="008F7791">
        <w:rPr>
          <w:rFonts w:hint="cs"/>
          <w:rtl/>
        </w:rPr>
        <w:t>نو</w:t>
      </w:r>
      <w:r w:rsidR="00D3721E">
        <w:rPr>
          <w:rFonts w:hint="cs"/>
          <w:rtl/>
        </w:rPr>
        <w:t>د در حالی که مقصود بالافهام نیست و اصلا زید می خواهد که او نفهمد، به اقرار او اخذ می کن</w:t>
      </w:r>
      <w:r w:rsidR="008F7791">
        <w:rPr>
          <w:rFonts w:hint="cs"/>
          <w:rtl/>
        </w:rPr>
        <w:t>د (و شهادت به اقرار او می دهد)</w:t>
      </w:r>
      <w:r w:rsidR="00D3721E">
        <w:rPr>
          <w:rFonts w:hint="cs"/>
          <w:rtl/>
        </w:rPr>
        <w:t xml:space="preserve">. </w:t>
      </w:r>
      <w:r>
        <w:rPr>
          <w:rFonts w:hint="cs"/>
          <w:rtl/>
        </w:rPr>
        <w:t xml:space="preserve"> </w:t>
      </w:r>
    </w:p>
    <w:p w:rsidR="00C06A29" w:rsidRDefault="00C06A29" w:rsidP="00D3721E">
      <w:pPr>
        <w:rPr>
          <w:rtl/>
        </w:rPr>
      </w:pPr>
      <w:r>
        <w:rPr>
          <w:rFonts w:hint="cs"/>
          <w:rtl/>
        </w:rPr>
        <w:t>ثانیا: بر فرض</w:t>
      </w:r>
      <w:r w:rsidR="00D3721E">
        <w:rPr>
          <w:rFonts w:hint="cs"/>
          <w:rtl/>
        </w:rPr>
        <w:t xml:space="preserve"> حجیت ظواهر</w:t>
      </w:r>
      <w:r>
        <w:rPr>
          <w:rFonts w:hint="cs"/>
          <w:rtl/>
        </w:rPr>
        <w:t xml:space="preserve"> مختص به مقصودین بالافهام باشد</w:t>
      </w:r>
      <w:r w:rsidR="00D3721E">
        <w:rPr>
          <w:rFonts w:hint="cs"/>
          <w:rtl/>
        </w:rPr>
        <w:t>، ولی ما نیز مقصود بالافهام قرآن هستیم گر چه ممکن است</w:t>
      </w:r>
      <w:r>
        <w:rPr>
          <w:rFonts w:hint="cs"/>
          <w:rtl/>
        </w:rPr>
        <w:t xml:space="preserve"> مخاطب</w:t>
      </w:r>
      <w:r w:rsidR="00D3721E">
        <w:rPr>
          <w:rFonts w:hint="cs"/>
          <w:rtl/>
        </w:rPr>
        <w:t xml:space="preserve"> آن</w:t>
      </w:r>
      <w:r>
        <w:rPr>
          <w:rFonts w:hint="cs"/>
          <w:rtl/>
        </w:rPr>
        <w:t xml:space="preserve"> نباشیم</w:t>
      </w:r>
      <w:r w:rsidR="00D3721E">
        <w:rPr>
          <w:rFonts w:hint="cs"/>
          <w:rtl/>
        </w:rPr>
        <w:t>.</w:t>
      </w:r>
      <w:r w:rsidR="00EC001C">
        <w:rPr>
          <w:rFonts w:hint="cs"/>
          <w:rtl/>
        </w:rPr>
        <w:t xml:space="preserve"> مثل این که در آیاتی که مخاطب پیامبر اکرم است و فرموده است: «یا ایها النبی بلغ ما انزل الیک من ربک» </w:t>
      </w:r>
      <w:r w:rsidR="00421982">
        <w:rPr>
          <w:rStyle w:val="FootnoteReference"/>
          <w:rtl/>
        </w:rPr>
        <w:footnoteReference w:id="8"/>
      </w:r>
      <w:r w:rsidR="00EC001C">
        <w:rPr>
          <w:rFonts w:hint="cs"/>
          <w:rtl/>
        </w:rPr>
        <w:t>ما مقصود به افهام هستیم و الا چرا این آیه در قرآن ذکر شد</w:t>
      </w:r>
      <w:r w:rsidR="00421982">
        <w:rPr>
          <w:rFonts w:hint="cs"/>
          <w:rtl/>
        </w:rPr>
        <w:t>؟</w:t>
      </w:r>
      <w:r w:rsidR="00EC001C">
        <w:rPr>
          <w:rFonts w:hint="cs"/>
          <w:rtl/>
        </w:rPr>
        <w:t xml:space="preserve"> ذکر آن در قرآن برای این است که ما نیز آن را بف</w:t>
      </w:r>
      <w:r w:rsidR="00421982">
        <w:rPr>
          <w:rFonts w:hint="cs"/>
          <w:rtl/>
        </w:rPr>
        <w:t>ه</w:t>
      </w:r>
      <w:r w:rsidR="00EC001C">
        <w:rPr>
          <w:rFonts w:hint="cs"/>
          <w:rtl/>
        </w:rPr>
        <w:t>میم ولو مخاطب آیه شریفه نیستیم.</w:t>
      </w:r>
      <w:r>
        <w:rPr>
          <w:rFonts w:hint="cs"/>
          <w:rtl/>
        </w:rPr>
        <w:t xml:space="preserve"> </w:t>
      </w:r>
    </w:p>
    <w:p w:rsidR="00C06A29" w:rsidRPr="00111687" w:rsidRDefault="00D3721E" w:rsidP="00421982">
      <w:pPr>
        <w:pStyle w:val="NoSpacing"/>
        <w:rPr>
          <w:rFonts w:ascii="Times New Roman" w:hAnsi="Times New Roman" w:cs="Times New Roman"/>
          <w:sz w:val="24"/>
          <w:szCs w:val="24"/>
          <w:rtl/>
        </w:rPr>
      </w:pPr>
      <w:r>
        <w:rPr>
          <w:rFonts w:hint="cs"/>
          <w:rtl/>
        </w:rPr>
        <w:t>اشکال دوم ایشان صحیح است چون</w:t>
      </w:r>
      <w:r w:rsidR="00E60966">
        <w:rPr>
          <w:rFonts w:hint="cs"/>
          <w:rtl/>
        </w:rPr>
        <w:t xml:space="preserve"> ما مقصود بالافهام هستیم</w:t>
      </w:r>
      <w:r>
        <w:rPr>
          <w:rFonts w:hint="cs"/>
          <w:rtl/>
        </w:rPr>
        <w:t xml:space="preserve">، </w:t>
      </w:r>
      <w:r w:rsidR="00421982">
        <w:rPr>
          <w:rFonts w:hint="cs"/>
          <w:rtl/>
        </w:rPr>
        <w:t>زیرا</w:t>
      </w:r>
      <w:r>
        <w:rPr>
          <w:rFonts w:hint="cs"/>
          <w:rtl/>
        </w:rPr>
        <w:t xml:space="preserve"> قرآن «</w:t>
      </w:r>
      <w:r w:rsidR="00111687" w:rsidRPr="00111687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 xml:space="preserve"> </w:t>
      </w:r>
      <w:r w:rsidR="00111687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هُدىً‏ لِلنَّاس‏</w:t>
      </w:r>
      <w:r w:rsidR="00E60966">
        <w:rPr>
          <w:rFonts w:hint="cs"/>
          <w:rtl/>
        </w:rPr>
        <w:t>»</w:t>
      </w:r>
      <w:r>
        <w:rPr>
          <w:rStyle w:val="FootnoteReference"/>
          <w:rtl/>
        </w:rPr>
        <w:footnoteReference w:id="9"/>
      </w:r>
      <w:r>
        <w:rPr>
          <w:rFonts w:hint="cs"/>
          <w:rtl/>
        </w:rPr>
        <w:t xml:space="preserve"> و «</w:t>
      </w:r>
      <w:r w:rsidR="00111687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 xml:space="preserve">تِبْياناً لِكُلِ‏ </w:t>
      </w:r>
      <w:r w:rsidR="0023402E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شَيْ‏ءٍ</w:t>
      </w:r>
      <w:r>
        <w:rPr>
          <w:rFonts w:hint="cs"/>
          <w:rtl/>
        </w:rPr>
        <w:t>»</w:t>
      </w:r>
      <w:r>
        <w:rPr>
          <w:rStyle w:val="FootnoteReference"/>
          <w:rtl/>
        </w:rPr>
        <w:footnoteReference w:id="10"/>
      </w:r>
      <w:r>
        <w:rPr>
          <w:rFonts w:hint="cs"/>
          <w:rtl/>
        </w:rPr>
        <w:t xml:space="preserve"> است.</w:t>
      </w:r>
    </w:p>
    <w:p w:rsidR="00E60966" w:rsidRDefault="00D3721E" w:rsidP="00111687">
      <w:r>
        <w:rPr>
          <w:rFonts w:hint="cs"/>
          <w:rtl/>
        </w:rPr>
        <w:t>ولی اشکال اول ایشان صحیح نیست، و ظواهر برای غیر مقصودین بالافهام حجت نیستند و</w:t>
      </w:r>
      <w:r w:rsidR="00E60966">
        <w:rPr>
          <w:rFonts w:hint="cs"/>
          <w:rtl/>
        </w:rPr>
        <w:t xml:space="preserve"> بزرگانی مثل مرحوم ایروانی</w:t>
      </w:r>
      <w:r w:rsidR="00762375">
        <w:rPr>
          <w:rStyle w:val="FootnoteReference"/>
          <w:rtl/>
        </w:rPr>
        <w:footnoteReference w:id="11"/>
      </w:r>
      <w:r w:rsidR="00E60966">
        <w:rPr>
          <w:rFonts w:hint="cs"/>
          <w:rtl/>
        </w:rPr>
        <w:t xml:space="preserve"> و حائری</w:t>
      </w:r>
      <w:r w:rsidR="00111687">
        <w:t xml:space="preserve"> </w:t>
      </w:r>
      <w:r w:rsidR="00E60966">
        <w:rPr>
          <w:rFonts w:hint="cs"/>
          <w:rtl/>
        </w:rPr>
        <w:t>و روحانی</w:t>
      </w:r>
      <w:r w:rsidR="00762375">
        <w:rPr>
          <w:rStyle w:val="FootnoteReference"/>
          <w:rtl/>
        </w:rPr>
        <w:footnoteReference w:id="12"/>
      </w:r>
      <w:r>
        <w:rPr>
          <w:rFonts w:hint="cs"/>
          <w:rtl/>
        </w:rPr>
        <w:t xml:space="preserve"> رحمهم الله نیز آن را پ</w:t>
      </w:r>
      <w:r w:rsidR="00421982">
        <w:rPr>
          <w:rFonts w:hint="cs"/>
          <w:rtl/>
        </w:rPr>
        <w:t>ذ</w:t>
      </w:r>
      <w:r>
        <w:rPr>
          <w:rFonts w:hint="cs"/>
          <w:rtl/>
        </w:rPr>
        <w:t xml:space="preserve">یرفتند. و اما اخذ به اقرار زید در مثال مذکور </w:t>
      </w:r>
      <w:r w:rsidR="00E60966">
        <w:rPr>
          <w:rFonts w:hint="cs"/>
          <w:rtl/>
        </w:rPr>
        <w:t xml:space="preserve"> </w:t>
      </w:r>
      <w:r>
        <w:rPr>
          <w:rFonts w:hint="cs"/>
          <w:rtl/>
        </w:rPr>
        <w:t>به این سبب است که در اقرار ما اطمینان داریم به این که مراد م</w:t>
      </w:r>
      <w:r w:rsidR="00421982">
        <w:rPr>
          <w:rFonts w:hint="cs"/>
          <w:rtl/>
        </w:rPr>
        <w:t>ُ</w:t>
      </w:r>
      <w:r>
        <w:rPr>
          <w:rFonts w:hint="cs"/>
          <w:rtl/>
        </w:rPr>
        <w:t>قر</w:t>
      </w:r>
      <w:r w:rsidR="00DD42A4">
        <w:rPr>
          <w:rFonts w:hint="cs"/>
          <w:rtl/>
        </w:rPr>
        <w:t xml:space="preserve"> همان</w:t>
      </w:r>
      <w:r>
        <w:rPr>
          <w:rFonts w:hint="cs"/>
          <w:rtl/>
        </w:rPr>
        <w:t xml:space="preserve"> ظاهر کلامش است ولذا اگر ا</w:t>
      </w:r>
      <w:r w:rsidR="00DD42A4">
        <w:rPr>
          <w:rFonts w:hint="cs"/>
          <w:rtl/>
        </w:rPr>
        <w:t>حتمال عقلائی وجود یک قرینه متصله بین آن متکلم و مقصود بالافهام داده شود،</w:t>
      </w:r>
      <w:r w:rsidR="00E60966">
        <w:rPr>
          <w:rFonts w:hint="cs"/>
          <w:rtl/>
        </w:rPr>
        <w:t xml:space="preserve"> تمس</w:t>
      </w:r>
      <w:r w:rsidR="00DD42A4">
        <w:rPr>
          <w:rFonts w:hint="cs"/>
          <w:rtl/>
        </w:rPr>
        <w:t>ک به ظهور اولیه کلام او مشکل خواهد بود</w:t>
      </w:r>
      <w:r w:rsidR="00E60966">
        <w:rPr>
          <w:rFonts w:hint="cs"/>
          <w:rtl/>
        </w:rPr>
        <w:t xml:space="preserve"> چون هیچ متکلمی خ</w:t>
      </w:r>
      <w:r w:rsidR="00DD42A4">
        <w:rPr>
          <w:rFonts w:hint="cs"/>
          <w:rtl/>
        </w:rPr>
        <w:t>ود را ملزم نمی داند که قرائن کلامش را برای کسی</w:t>
      </w:r>
      <w:r w:rsidR="00E60966">
        <w:rPr>
          <w:rFonts w:hint="cs"/>
          <w:rtl/>
        </w:rPr>
        <w:t xml:space="preserve"> که مقصود بالافهام او نیس</w:t>
      </w:r>
      <w:r w:rsidR="00DD42A4">
        <w:rPr>
          <w:rFonts w:hint="cs"/>
          <w:rtl/>
        </w:rPr>
        <w:t>ت نیز بیان کند.</w:t>
      </w:r>
    </w:p>
    <w:p w:rsidR="00E60966" w:rsidRDefault="00E60966" w:rsidP="00421982">
      <w:pPr>
        <w:rPr>
          <w:rtl/>
        </w:rPr>
      </w:pPr>
      <w:r>
        <w:rPr>
          <w:rFonts w:hint="cs"/>
          <w:rtl/>
        </w:rPr>
        <w:t>و لذا تفسیر محقق قمی، تفسیر درستی است و</w:t>
      </w:r>
      <w:r w:rsidR="00DD42A4">
        <w:rPr>
          <w:rFonts w:hint="cs"/>
          <w:rtl/>
        </w:rPr>
        <w:t xml:space="preserve"> در قرآن</w:t>
      </w:r>
      <w:r>
        <w:rPr>
          <w:rFonts w:hint="cs"/>
          <w:rtl/>
        </w:rPr>
        <w:t xml:space="preserve"> اشکال </w:t>
      </w:r>
      <w:r w:rsidR="00421982">
        <w:rPr>
          <w:rFonts w:hint="cs"/>
          <w:rtl/>
        </w:rPr>
        <w:t>بالاتری</w:t>
      </w:r>
      <w:r w:rsidR="00DD42A4">
        <w:rPr>
          <w:rFonts w:hint="cs"/>
          <w:rtl/>
        </w:rPr>
        <w:t xml:space="preserve"> مطرح می شود که عبارت است از این که: شاید شان نزول ها مثل قرینه حالیه  شخصیه</w:t>
      </w:r>
      <w:r>
        <w:rPr>
          <w:rFonts w:hint="cs"/>
          <w:rtl/>
        </w:rPr>
        <w:t xml:space="preserve"> بوده باش</w:t>
      </w:r>
      <w:r w:rsidR="00DD42A4">
        <w:rPr>
          <w:rFonts w:hint="cs"/>
          <w:rtl/>
        </w:rPr>
        <w:t>ن</w:t>
      </w:r>
      <w:r>
        <w:rPr>
          <w:rFonts w:hint="cs"/>
          <w:rtl/>
        </w:rPr>
        <w:t>د</w:t>
      </w:r>
      <w:r w:rsidR="00DD42A4">
        <w:rPr>
          <w:rFonts w:hint="cs"/>
          <w:rtl/>
        </w:rPr>
        <w:t xml:space="preserve"> و ظهور آیه تحت تاثیر آن شأن نزول ها است و</w:t>
      </w:r>
      <w:r>
        <w:rPr>
          <w:rFonts w:hint="cs"/>
          <w:rtl/>
        </w:rPr>
        <w:t xml:space="preserve"> ما آن ها را نمی دانیم و مسملین </w:t>
      </w:r>
      <w:r w:rsidR="00DD42A4">
        <w:rPr>
          <w:rFonts w:hint="cs"/>
          <w:rtl/>
        </w:rPr>
        <w:t>نیز خود را ملزم به ثبت شأ</w:t>
      </w:r>
      <w:r>
        <w:rPr>
          <w:rFonts w:hint="cs"/>
          <w:rtl/>
        </w:rPr>
        <w:t xml:space="preserve">ن نزول نمی دانستند. </w:t>
      </w:r>
    </w:p>
    <w:p w:rsidR="00E60966" w:rsidRDefault="00DD42A4" w:rsidP="00E60966">
      <w:pPr>
        <w:rPr>
          <w:rtl/>
        </w:rPr>
      </w:pPr>
      <w:r>
        <w:rPr>
          <w:rFonts w:hint="cs"/>
          <w:rtl/>
        </w:rPr>
        <w:t xml:space="preserve">ولی از این شبهه جواب هایی داده شد، که ان شاء الله در بحث حجیت ظواهر کتاب آن را مطرح می کنیم. </w:t>
      </w:r>
    </w:p>
    <w:p w:rsidR="00E60966" w:rsidRDefault="00E60966" w:rsidP="00DD42A4">
      <w:pPr>
        <w:pStyle w:val="Heading2"/>
        <w:rPr>
          <w:rtl/>
        </w:rPr>
      </w:pPr>
      <w:bookmarkStart w:id="16" w:name="_Toc120694078"/>
      <w:r>
        <w:rPr>
          <w:rFonts w:hint="cs"/>
          <w:rtl/>
        </w:rPr>
        <w:t>ثمره دوم:</w:t>
      </w:r>
      <w:bookmarkEnd w:id="16"/>
      <w:r>
        <w:rPr>
          <w:rFonts w:hint="cs"/>
          <w:rtl/>
        </w:rPr>
        <w:t xml:space="preserve"> </w:t>
      </w:r>
    </w:p>
    <w:p w:rsidR="00183706" w:rsidRDefault="00E60966" w:rsidP="00020EBD">
      <w:pPr>
        <w:pStyle w:val="NoSpacing"/>
        <w:rPr>
          <w:rtl/>
        </w:rPr>
      </w:pPr>
      <w:r>
        <w:rPr>
          <w:rFonts w:hint="cs"/>
          <w:rtl/>
        </w:rPr>
        <w:t>برخی از آیات قرآن</w:t>
      </w:r>
      <w:r w:rsidR="00183706">
        <w:rPr>
          <w:rFonts w:hint="cs"/>
          <w:rtl/>
        </w:rPr>
        <w:t xml:space="preserve"> مثل«</w:t>
      </w:r>
      <w:r w:rsidR="00020EBD" w:rsidRPr="00020EBD">
        <w:rPr>
          <w:rFonts w:hint="cs"/>
          <w:rtl/>
        </w:rPr>
        <w:t xml:space="preserve"> </w:t>
      </w:r>
      <w:r w:rsidR="008E62FA">
        <w:rPr>
          <w:rFonts w:hint="cs"/>
          <w:rtl/>
        </w:rPr>
        <w:t>ی</w:t>
      </w:r>
      <w:r w:rsidR="00020EBD">
        <w:rPr>
          <w:rFonts w:hint="cs"/>
          <w:rtl/>
        </w:rPr>
        <w:t>ا أَيُّهَا الَّذينَ آمَنُوا إِذا نُودِيَ‏ لِلصَّلاةِ مِنْ يَوْمِ الْجُمُعَةِ فَاسْعَوْا إِلى‏ ذِكْرِ اللَّهِ وَ ذَرُوا الْبَيْع‏</w:t>
      </w:r>
      <w:r w:rsidR="00183706">
        <w:rPr>
          <w:rFonts w:hint="cs"/>
          <w:rtl/>
        </w:rPr>
        <w:t>»</w:t>
      </w:r>
      <w:r w:rsidR="00183706">
        <w:rPr>
          <w:rStyle w:val="FootnoteReference"/>
          <w:rtl/>
        </w:rPr>
        <w:footnoteReference w:id="13"/>
      </w:r>
      <w:r w:rsidR="00183706">
        <w:rPr>
          <w:rFonts w:hint="cs"/>
          <w:rtl/>
        </w:rPr>
        <w:t xml:space="preserve"> خطاب به مومنین است، </w:t>
      </w:r>
      <w:r>
        <w:rPr>
          <w:rFonts w:hint="cs"/>
          <w:rtl/>
        </w:rPr>
        <w:t>بنابر این که قدر میتقن</w:t>
      </w:r>
      <w:r w:rsidR="00183706">
        <w:rPr>
          <w:rFonts w:hint="cs"/>
          <w:rtl/>
        </w:rPr>
        <w:t xml:space="preserve"> آن خطاب به مومنین حاض</w:t>
      </w:r>
      <w:r w:rsidR="008E62FA">
        <w:rPr>
          <w:rFonts w:hint="cs"/>
          <w:rtl/>
        </w:rPr>
        <w:t>ر در زمان نزول باشد این آیه</w:t>
      </w:r>
      <w:r w:rsidR="00183706">
        <w:rPr>
          <w:rFonts w:hint="cs"/>
          <w:rtl/>
        </w:rPr>
        <w:t xml:space="preserve"> فقط دلالت بر وجوب نماز جمعه بر حاضرین زمان پیامبر صلی الله علیه و آله و سلم می کند، و نسبت به معدومین در آن زمان دلالت بر وجوب نمی کند. </w:t>
      </w:r>
    </w:p>
    <w:p w:rsidR="00DC68B4" w:rsidRDefault="00183706" w:rsidP="00020EBD">
      <w:pPr>
        <w:pStyle w:val="NoSpacing"/>
        <w:rPr>
          <w:rtl/>
        </w:rPr>
      </w:pPr>
      <w:r>
        <w:rPr>
          <w:rFonts w:hint="cs"/>
          <w:rtl/>
        </w:rPr>
        <w:t xml:space="preserve">و </w:t>
      </w:r>
      <w:r w:rsidR="00DC68B4">
        <w:rPr>
          <w:rFonts w:hint="cs"/>
          <w:rtl/>
        </w:rPr>
        <w:t>همچنین آیه «</w:t>
      </w:r>
      <w:r w:rsidR="00DC68B4" w:rsidRPr="00DC68B4">
        <w:rPr>
          <w:rFonts w:ascii="NoorLotus" w:hAnsi="NoorLotus"/>
          <w:sz w:val="28"/>
          <w:rtl/>
        </w:rPr>
        <w:t xml:space="preserve"> </w:t>
      </w:r>
      <w:r w:rsidR="00020EBD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الزَّانِيَةُ وَ الزَّاني‏ فَاجْلِدُوا كُلَّ واحِدٍ مِنْهُما مِائَةَ جَلْدَة</w:t>
      </w:r>
      <w:r w:rsidR="00DC68B4">
        <w:rPr>
          <w:rFonts w:ascii="NoorLotus" w:hAnsi="NoorLotus" w:hint="cs"/>
          <w:sz w:val="28"/>
          <w:rtl/>
        </w:rPr>
        <w:t>»</w:t>
      </w:r>
      <w:r w:rsidR="00DC68B4">
        <w:rPr>
          <w:rStyle w:val="FootnoteReference"/>
          <w:rtl/>
        </w:rPr>
        <w:footnoteReference w:id="14"/>
      </w:r>
      <w:r w:rsidR="00E60966">
        <w:rPr>
          <w:rFonts w:hint="cs"/>
          <w:rtl/>
        </w:rPr>
        <w:t xml:space="preserve"> که اگر مختص به حاضرین زمان صدور باشد</w:t>
      </w:r>
      <w:r w:rsidR="00DC68B4">
        <w:rPr>
          <w:rFonts w:hint="cs"/>
          <w:rtl/>
        </w:rPr>
        <w:t xml:space="preserve"> فقط دلالت بر وجوب اجرای حد در مجتمعی که معصوم علیه السلام حاکم آن مجتمع باشد، می کند، و دلالت بر وجوب اجرای حد در زمان ما نمی کند</w:t>
      </w:r>
      <w:r w:rsidR="00B85AEA">
        <w:rPr>
          <w:rStyle w:val="FootnoteReference"/>
          <w:rtl/>
        </w:rPr>
        <w:footnoteReference w:id="15"/>
      </w:r>
      <w:r w:rsidR="00DC68B4">
        <w:rPr>
          <w:rFonts w:hint="cs"/>
          <w:rtl/>
        </w:rPr>
        <w:t>.</w:t>
      </w:r>
    </w:p>
    <w:p w:rsidR="00E60966" w:rsidRDefault="00DC68B4" w:rsidP="006515E3">
      <w:pPr>
        <w:rPr>
          <w:rtl/>
        </w:rPr>
      </w:pPr>
      <w:r>
        <w:rPr>
          <w:rFonts w:hint="cs"/>
          <w:rtl/>
        </w:rPr>
        <w:t xml:space="preserve"> این ثمره ی مهمی است که</w:t>
      </w:r>
      <w:r w:rsidR="00E60966">
        <w:rPr>
          <w:rFonts w:hint="cs"/>
          <w:rtl/>
        </w:rPr>
        <w:t xml:space="preserve"> آیا</w:t>
      </w:r>
      <w:r>
        <w:rPr>
          <w:rFonts w:hint="cs"/>
          <w:rtl/>
        </w:rPr>
        <w:t xml:space="preserve"> ما</w:t>
      </w:r>
      <w:r w:rsidR="00E60966">
        <w:rPr>
          <w:rFonts w:hint="cs"/>
          <w:rtl/>
        </w:rPr>
        <w:t xml:space="preserve"> مخا</w:t>
      </w:r>
      <w:r>
        <w:rPr>
          <w:rFonts w:hint="cs"/>
          <w:rtl/>
        </w:rPr>
        <w:t>طب این آیات هستیم</w:t>
      </w:r>
      <w:r w:rsidR="00E60966">
        <w:rPr>
          <w:rFonts w:hint="cs"/>
          <w:rtl/>
        </w:rPr>
        <w:t xml:space="preserve"> یا مخاطب نیستیم</w:t>
      </w:r>
      <w:r>
        <w:rPr>
          <w:rFonts w:hint="cs"/>
          <w:rtl/>
        </w:rPr>
        <w:t xml:space="preserve">؟ و لذا مرحوم </w:t>
      </w:r>
      <w:r w:rsidR="008E62FA">
        <w:rPr>
          <w:rFonts w:hint="cs"/>
          <w:rtl/>
        </w:rPr>
        <w:t xml:space="preserve">آقا سید احمد </w:t>
      </w:r>
      <w:r>
        <w:rPr>
          <w:rFonts w:hint="cs"/>
          <w:rtl/>
        </w:rPr>
        <w:t xml:space="preserve">خوانساری رحمه الله بر خلاف مشهور </w:t>
      </w:r>
      <w:r w:rsidR="00E60966">
        <w:rPr>
          <w:rFonts w:hint="cs"/>
          <w:rtl/>
        </w:rPr>
        <w:t>در اجرای حدود در زمان غیبت</w:t>
      </w:r>
      <w:r>
        <w:rPr>
          <w:rFonts w:hint="cs"/>
          <w:rtl/>
        </w:rPr>
        <w:t xml:space="preserve"> تشکیک</w:t>
      </w:r>
      <w:r w:rsidR="00E60966">
        <w:rPr>
          <w:rFonts w:hint="cs"/>
          <w:rtl/>
        </w:rPr>
        <w:t xml:space="preserve"> می </w:t>
      </w:r>
      <w:r>
        <w:rPr>
          <w:rFonts w:hint="cs"/>
          <w:rtl/>
        </w:rPr>
        <w:t xml:space="preserve">کنند و می گویند: </w:t>
      </w:r>
      <w:r w:rsidR="00E60966">
        <w:rPr>
          <w:rFonts w:hint="cs"/>
          <w:rtl/>
        </w:rPr>
        <w:t>دلیلی ب</w:t>
      </w:r>
      <w:r>
        <w:rPr>
          <w:rFonts w:hint="cs"/>
          <w:rtl/>
        </w:rPr>
        <w:t>ر اجر</w:t>
      </w:r>
      <w:r w:rsidR="00F06BD0">
        <w:rPr>
          <w:rFonts w:hint="cs"/>
          <w:rtl/>
        </w:rPr>
        <w:t>ای حدود در زمان غیبت وجود ندارد</w:t>
      </w:r>
      <w:r>
        <w:rPr>
          <w:rStyle w:val="FootnoteReference"/>
          <w:rtl/>
        </w:rPr>
        <w:footnoteReference w:id="16"/>
      </w:r>
      <w:r w:rsidR="00F06BD0" w:rsidRPr="00F06BD0">
        <w:rPr>
          <w:rFonts w:hint="cs"/>
          <w:rtl/>
        </w:rPr>
        <w:t>.</w:t>
      </w:r>
    </w:p>
    <w:p w:rsidR="00B85AEA" w:rsidRDefault="00EF7A86" w:rsidP="00270F8E">
      <w:pPr>
        <w:pStyle w:val="NoSpacing"/>
        <w:rPr>
          <w:rtl/>
        </w:rPr>
      </w:pPr>
      <w:r>
        <w:rPr>
          <w:rFonts w:hint="cs"/>
          <w:rtl/>
        </w:rPr>
        <w:t xml:space="preserve">البته </w:t>
      </w:r>
      <w:r w:rsidR="00E60966">
        <w:rPr>
          <w:rFonts w:hint="cs"/>
          <w:rtl/>
        </w:rPr>
        <w:t>زمان امام صادق علیه السلام که زمان معصوم است</w:t>
      </w:r>
      <w:r w:rsidR="006515E3">
        <w:rPr>
          <w:rFonts w:hint="cs"/>
          <w:rtl/>
        </w:rPr>
        <w:t xml:space="preserve"> از زمان پیامبر اکرم</w:t>
      </w:r>
      <w:r w:rsidR="00270F8E">
        <w:rPr>
          <w:rFonts w:hint="cs"/>
          <w:rtl/>
        </w:rPr>
        <w:t xml:space="preserve"> (صلی الله علیه و آله وسلم)</w:t>
      </w:r>
      <w:r>
        <w:rPr>
          <w:rFonts w:hint="cs"/>
          <w:rtl/>
        </w:rPr>
        <w:t xml:space="preserve"> به زمان معصوم علیه السلام</w:t>
      </w:r>
      <w:r w:rsidR="00E60966">
        <w:rPr>
          <w:rFonts w:hint="cs"/>
          <w:rtl/>
        </w:rPr>
        <w:t xml:space="preserve"> الغاء خصوصیت می شود ولی آیا می توان در زمان غیبت الغاء خصوصیت کرد؟ البته مناسبات حکم و موضوع گاهی موجب الغاء خصویت می شود مثل</w:t>
      </w:r>
      <w:r w:rsidR="00020EBD">
        <w:t xml:space="preserve"> </w:t>
      </w:r>
      <w:r w:rsidR="00E60966">
        <w:rPr>
          <w:rFonts w:hint="cs"/>
          <w:rtl/>
        </w:rPr>
        <w:t>«</w:t>
      </w:r>
      <w:r w:rsidR="00881422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يا أَيُّهَا الَّذينَ آمَنُوا اتَّقُوا اللَّهَ وَ ذَرُوا ما بَقِيَ مِنَ الرِّبا إِنْ كُنْتُمْ مُؤْمِنين‏</w:t>
      </w:r>
      <w:r w:rsidR="00E60966">
        <w:rPr>
          <w:rFonts w:hint="cs"/>
          <w:rtl/>
        </w:rPr>
        <w:t>»</w:t>
      </w:r>
      <w:r>
        <w:rPr>
          <w:rStyle w:val="FootnoteReference"/>
          <w:rtl/>
        </w:rPr>
        <w:footnoteReference w:id="17"/>
      </w:r>
      <w:r w:rsidR="00E60966">
        <w:rPr>
          <w:rFonts w:hint="cs"/>
          <w:rtl/>
        </w:rPr>
        <w:t xml:space="preserve"> </w:t>
      </w:r>
      <w:r>
        <w:rPr>
          <w:rFonts w:hint="cs"/>
          <w:rtl/>
        </w:rPr>
        <w:t xml:space="preserve">روشن است </w:t>
      </w:r>
      <w:r w:rsidR="00E60966">
        <w:rPr>
          <w:rFonts w:hint="cs"/>
          <w:rtl/>
        </w:rPr>
        <w:t xml:space="preserve">که ربا ظلم است و تحریم آن اختصاص به زمان پیامبر </w:t>
      </w:r>
      <w:r>
        <w:rPr>
          <w:rFonts w:hint="cs"/>
          <w:rtl/>
        </w:rPr>
        <w:t>(</w:t>
      </w:r>
      <w:r w:rsidR="00E60966">
        <w:rPr>
          <w:rFonts w:hint="cs"/>
          <w:rtl/>
        </w:rPr>
        <w:t>ص</w:t>
      </w:r>
      <w:r>
        <w:rPr>
          <w:rFonts w:hint="cs"/>
          <w:rtl/>
        </w:rPr>
        <w:t>لی الله علیه و آله وسلم)</w:t>
      </w:r>
      <w:r w:rsidR="00E60966">
        <w:rPr>
          <w:rFonts w:hint="cs"/>
          <w:rtl/>
        </w:rPr>
        <w:t xml:space="preserve"> ندارد</w:t>
      </w:r>
      <w:r>
        <w:rPr>
          <w:rFonts w:hint="cs"/>
          <w:rtl/>
        </w:rPr>
        <w:t>، یا «</w:t>
      </w:r>
      <w:r w:rsidR="00020EBD" w:rsidRPr="00020EBD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 xml:space="preserve"> </w:t>
      </w:r>
      <w:r w:rsidR="00020EBD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يا أَيُّهَا الَّذينَ آمَنُوا كُتِبَ‏ عَلَيْكُمُ‏ الصِّيام‏</w:t>
      </w:r>
      <w:r w:rsidR="00020EBD">
        <w:rPr>
          <w:rFonts w:ascii="Traditional Arabic" w:hAnsi="Traditional Arabic" w:cs="Traditional Arabic"/>
          <w:color w:val="000000"/>
          <w:sz w:val="30"/>
          <w:szCs w:val="30"/>
        </w:rPr>
        <w:t xml:space="preserve"> </w:t>
      </w:r>
      <w:r w:rsidR="00020EBD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كَما كُتِبَ عَلَى الَّذينَ مِنْ قَبْلِكُمْ لَعَلَّكُمْ تَتَّقُون‏</w:t>
      </w:r>
      <w:r>
        <w:rPr>
          <w:rFonts w:hint="cs"/>
          <w:rtl/>
        </w:rPr>
        <w:t>»</w:t>
      </w:r>
      <w:r w:rsidR="00020EBD">
        <w:rPr>
          <w:rStyle w:val="FootnoteReference"/>
          <w:rtl/>
        </w:rPr>
        <w:footnoteReference w:id="18"/>
      </w:r>
      <w:r>
        <w:rPr>
          <w:rFonts w:hint="cs"/>
          <w:rtl/>
        </w:rPr>
        <w:t xml:space="preserve"> که وجوب صوم مختص به زمان حضور نیست و حدیث «</w:t>
      </w:r>
      <w:r w:rsidR="00881422">
        <w:rPr>
          <w:rFonts w:hint="cs"/>
          <w:rtl/>
        </w:rPr>
        <w:t xml:space="preserve">بنی الاسلام علی </w:t>
      </w:r>
      <w:r>
        <w:rPr>
          <w:rFonts w:hint="cs"/>
          <w:rtl/>
        </w:rPr>
        <w:t>خمس»</w:t>
      </w:r>
      <w:r>
        <w:rPr>
          <w:rStyle w:val="FootnoteReference"/>
          <w:rtl/>
        </w:rPr>
        <w:footnoteReference w:id="19"/>
      </w:r>
      <w:r>
        <w:rPr>
          <w:rFonts w:hint="cs"/>
          <w:rtl/>
        </w:rPr>
        <w:t xml:space="preserve"> که یکی از آن ها صوم است نیز دلالت بر آن می کند. ولی در مواردی</w:t>
      </w:r>
      <w:r w:rsidR="00E60966">
        <w:rPr>
          <w:rFonts w:hint="cs"/>
          <w:rtl/>
        </w:rPr>
        <w:t xml:space="preserve"> که احتمال خصوصیت داده شود و خطاب نیز با تعبیر«</w:t>
      </w:r>
      <w:r>
        <w:rPr>
          <w:rFonts w:ascii="NoorLotus" w:hAnsi="NoorLotus"/>
          <w:sz w:val="28"/>
          <w:rtl/>
        </w:rPr>
        <w:t>یا ایها الذین آمنوا</w:t>
      </w:r>
      <w:r w:rsidR="00E60966">
        <w:rPr>
          <w:rFonts w:hint="cs"/>
          <w:rtl/>
        </w:rPr>
        <w:t>» باشد شاید خطاب به حاضرین باشد مثل</w:t>
      </w:r>
      <w:r>
        <w:rPr>
          <w:rFonts w:hint="cs"/>
          <w:rtl/>
        </w:rPr>
        <w:t xml:space="preserve"> آیه ی </w:t>
      </w:r>
      <w:r w:rsidR="00E60966">
        <w:rPr>
          <w:rFonts w:hint="cs"/>
          <w:rtl/>
        </w:rPr>
        <w:t>«</w:t>
      </w:r>
      <w:r w:rsidR="00881422" w:rsidRPr="00881422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 xml:space="preserve"> </w:t>
      </w:r>
      <w:r w:rsidR="00881422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يا أَيُّهَا الَّذينَ آمَنُوا إِذا ناجَيْتُمُ‏ الرَّسُولَ فَقَدِّمُوا بَيْنَ يَدَيْ نَجْواكُمْ صَدَقَة</w:t>
      </w:r>
      <w:r w:rsidR="00E60966">
        <w:rPr>
          <w:rFonts w:hint="cs"/>
          <w:rtl/>
        </w:rPr>
        <w:t>»</w:t>
      </w:r>
      <w:r w:rsidR="00881422">
        <w:rPr>
          <w:rStyle w:val="FootnoteReference"/>
          <w:rtl/>
        </w:rPr>
        <w:footnoteReference w:id="20"/>
      </w:r>
      <w:r>
        <w:rPr>
          <w:rFonts w:hint="cs"/>
          <w:rtl/>
        </w:rPr>
        <w:t xml:space="preserve"> که خطاب به حاضرین زمان پیامبر (صلی الله علیه و آله و سلم) است یا آیه ی «</w:t>
      </w:r>
      <w:r w:rsidR="00881422" w:rsidRPr="00881422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 xml:space="preserve"> </w:t>
      </w:r>
      <w:r w:rsidR="00881422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يا أَيُّهَا الَّذينَ آمَنُوا لَيَبْلُوَنَّكُمُ اللَّهُ بِشَيْ‏ءٍ مِنَ‏ الصَّيْدِ تَنالُهُ أَيْديكُمْ وَ رِماحُكُم‏</w:t>
      </w:r>
      <w:r>
        <w:rPr>
          <w:rFonts w:hint="cs"/>
          <w:rtl/>
        </w:rPr>
        <w:t>»</w:t>
      </w:r>
      <w:r>
        <w:rPr>
          <w:rStyle w:val="FootnoteReference"/>
          <w:rtl/>
        </w:rPr>
        <w:footnoteReference w:id="21"/>
      </w:r>
      <w:r>
        <w:rPr>
          <w:rFonts w:hint="cs"/>
          <w:rtl/>
        </w:rPr>
        <w:t xml:space="preserve"> که دلالت می کند بر حرام بودن صید برّی بر محرم، و خداوند این را یک آزمایش برای آن ها معرفی می کند، که در سفر به حج پرنده هایی </w:t>
      </w:r>
      <w:r w:rsidR="00E60966">
        <w:rPr>
          <w:rFonts w:hint="cs"/>
          <w:rtl/>
        </w:rPr>
        <w:t xml:space="preserve">پرواز می کنند </w:t>
      </w:r>
      <w:r>
        <w:rPr>
          <w:rFonts w:hint="cs"/>
          <w:rtl/>
        </w:rPr>
        <w:t>که گوشت لذیذ دارند</w:t>
      </w:r>
      <w:r w:rsidR="00881422">
        <w:rPr>
          <w:rFonts w:hint="cs"/>
          <w:rtl/>
        </w:rPr>
        <w:t xml:space="preserve"> و به نحوی هستند که با دست نیز می توان آن ها را گرفت</w:t>
      </w:r>
      <w:r>
        <w:rPr>
          <w:rFonts w:hint="cs"/>
          <w:rtl/>
        </w:rPr>
        <w:t xml:space="preserve"> و </w:t>
      </w:r>
      <w:r w:rsidR="00E60966">
        <w:rPr>
          <w:rFonts w:hint="cs"/>
          <w:rtl/>
        </w:rPr>
        <w:t>شما را وسوسه می کنند</w:t>
      </w:r>
      <w:r>
        <w:rPr>
          <w:rFonts w:hint="cs"/>
          <w:rtl/>
        </w:rPr>
        <w:t>،</w:t>
      </w:r>
      <w:r w:rsidR="00E60966">
        <w:rPr>
          <w:rFonts w:hint="cs"/>
          <w:rtl/>
        </w:rPr>
        <w:t xml:space="preserve"> </w:t>
      </w:r>
      <w:r w:rsidR="00881422">
        <w:rPr>
          <w:rFonts w:hint="cs"/>
          <w:rtl/>
        </w:rPr>
        <w:t>ـ</w:t>
      </w:r>
      <w:r w:rsidR="00E60966">
        <w:rPr>
          <w:rFonts w:hint="cs"/>
          <w:rtl/>
        </w:rPr>
        <w:t>مثل اصحاب سبت که بر آن ها صید در</w:t>
      </w:r>
      <w:r>
        <w:rPr>
          <w:rFonts w:hint="cs"/>
          <w:rtl/>
        </w:rPr>
        <w:t xml:space="preserve"> روز شنبه حرام شد و با این حک</w:t>
      </w:r>
      <w:r w:rsidR="00881422">
        <w:rPr>
          <w:rFonts w:hint="cs"/>
          <w:rtl/>
        </w:rPr>
        <w:t>م آن ها مورد آزمایش قرار گرفتندـ</w:t>
      </w:r>
      <w:r>
        <w:rPr>
          <w:rFonts w:hint="cs"/>
          <w:rtl/>
        </w:rPr>
        <w:t xml:space="preserve"> </w:t>
      </w:r>
      <w:r w:rsidR="00881422">
        <w:rPr>
          <w:rFonts w:hint="cs"/>
          <w:rtl/>
        </w:rPr>
        <w:t xml:space="preserve">ولی الان این محل ابتلاء ما نیست چون ما با </w:t>
      </w:r>
      <w:r w:rsidR="00B85AEA">
        <w:rPr>
          <w:rFonts w:hint="cs"/>
          <w:rtl/>
        </w:rPr>
        <w:t xml:space="preserve">هواپیما به جده </w:t>
      </w:r>
      <w:r w:rsidR="00881422">
        <w:rPr>
          <w:rFonts w:hint="cs"/>
          <w:rtl/>
        </w:rPr>
        <w:t xml:space="preserve">یا مدینه </w:t>
      </w:r>
      <w:r w:rsidR="00270F8E">
        <w:rPr>
          <w:rFonts w:hint="cs"/>
          <w:rtl/>
        </w:rPr>
        <w:t xml:space="preserve">سفر می کنیم </w:t>
      </w:r>
      <w:r w:rsidR="00881422">
        <w:rPr>
          <w:rFonts w:hint="cs"/>
          <w:rtl/>
        </w:rPr>
        <w:t>و ا</w:t>
      </w:r>
      <w:r w:rsidR="00B85AEA">
        <w:rPr>
          <w:rFonts w:hint="cs"/>
          <w:rtl/>
        </w:rPr>
        <w:t>زآن جا</w:t>
      </w:r>
      <w:r w:rsidR="00881422">
        <w:rPr>
          <w:rFonts w:hint="cs"/>
          <w:rtl/>
        </w:rPr>
        <w:t xml:space="preserve"> نیز به سمت مکه</w:t>
      </w:r>
      <w:r w:rsidR="00B85AEA">
        <w:rPr>
          <w:rFonts w:hint="cs"/>
          <w:rtl/>
        </w:rPr>
        <w:t xml:space="preserve"> می رویم</w:t>
      </w:r>
      <w:r w:rsidR="00881422">
        <w:rPr>
          <w:rFonts w:hint="cs"/>
          <w:rtl/>
        </w:rPr>
        <w:t>، و  این آزمایش الان برای ما موضوع ندارد لذا ممکن است گفته شود که شاید آیات دیگر نیز همین طور باشند و مختص به حاضرین و مخاطبین باشند.</w:t>
      </w:r>
    </w:p>
    <w:p w:rsidR="00881422" w:rsidRDefault="00881422" w:rsidP="00881422">
      <w:pPr>
        <w:pStyle w:val="Heading2"/>
        <w:rPr>
          <w:rtl/>
        </w:rPr>
      </w:pPr>
      <w:bookmarkStart w:id="17" w:name="_Toc120694079"/>
      <w:r>
        <w:rPr>
          <w:rFonts w:hint="cs"/>
          <w:rtl/>
        </w:rPr>
        <w:t>تحریر محل نزاع</w:t>
      </w:r>
      <w:bookmarkEnd w:id="17"/>
    </w:p>
    <w:p w:rsidR="00E60966" w:rsidRPr="00C06A29" w:rsidRDefault="00881422" w:rsidP="00881422">
      <w:pPr>
        <w:rPr>
          <w:rtl/>
        </w:rPr>
      </w:pPr>
      <w:r>
        <w:rPr>
          <w:rFonts w:hint="cs"/>
          <w:rtl/>
        </w:rPr>
        <w:t>صاحب کفایه رحمه الله</w:t>
      </w:r>
      <w:r w:rsidR="00B85AEA">
        <w:rPr>
          <w:rFonts w:hint="cs"/>
          <w:rtl/>
        </w:rPr>
        <w:t xml:space="preserve"> محل نزاع را </w:t>
      </w:r>
      <w:r>
        <w:rPr>
          <w:rFonts w:hint="cs"/>
          <w:rtl/>
        </w:rPr>
        <w:t>به سه نحو تحریر می کند.</w:t>
      </w:r>
      <w:r>
        <w:rPr>
          <w:rStyle w:val="FootnoteReference"/>
          <w:rtl/>
        </w:rPr>
        <w:footnoteReference w:id="22"/>
      </w:r>
      <w:r>
        <w:rPr>
          <w:rFonts w:hint="cs"/>
          <w:rtl/>
        </w:rPr>
        <w:t xml:space="preserve"> که باید آن ها را بررسی کنیم و مختار خود در این بحث </w:t>
      </w:r>
      <w:r w:rsidR="008A36CD">
        <w:rPr>
          <w:rFonts w:hint="cs"/>
          <w:rtl/>
        </w:rPr>
        <w:t>را مطرح نمای</w:t>
      </w:r>
      <w:r>
        <w:rPr>
          <w:rFonts w:hint="cs"/>
          <w:rtl/>
        </w:rPr>
        <w:t xml:space="preserve">یم. </w:t>
      </w:r>
    </w:p>
    <w:sectPr w:rsidR="00E60966" w:rsidRPr="00C06A2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9F" w:rsidRDefault="00F4789F" w:rsidP="004D6BD4">
      <w:pPr>
        <w:spacing w:after="0" w:line="240" w:lineRule="auto"/>
      </w:pPr>
      <w:r>
        <w:separator/>
      </w:r>
    </w:p>
  </w:endnote>
  <w:endnote w:type="continuationSeparator" w:id="0">
    <w:p w:rsidR="00F4789F" w:rsidRDefault="00F4789F" w:rsidP="004D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orLotus">
    <w:altName w:val="Segoe UI Semilight"/>
    <w:panose1 w:val="02000400000000000000"/>
    <w:charset w:val="00"/>
    <w:family w:val="auto"/>
    <w:pitch w:val="variable"/>
    <w:sig w:usb0="00000000" w:usb1="80002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orKoodak">
    <w:altName w:val="Segoe UI Semilight"/>
    <w:charset w:val="00"/>
    <w:family w:val="auto"/>
    <w:pitch w:val="variable"/>
    <w:sig w:usb0="00000000" w:usb1="80002000" w:usb2="00000008" w:usb3="00000000" w:csb0="0000004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98" w:rsidRDefault="00003BF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569A">
      <w:rPr>
        <w:noProof/>
        <w:rtl/>
      </w:rPr>
      <w:t>1</w:t>
    </w:r>
    <w:r>
      <w:rPr>
        <w:noProof/>
      </w:rPr>
      <w:fldChar w:fldCharType="end"/>
    </w:r>
  </w:p>
  <w:p w:rsidR="00654898" w:rsidRDefault="00167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9F" w:rsidRDefault="00F4789F" w:rsidP="004D6BD4">
      <w:pPr>
        <w:spacing w:after="0" w:line="240" w:lineRule="auto"/>
      </w:pPr>
      <w:r>
        <w:separator/>
      </w:r>
    </w:p>
  </w:footnote>
  <w:footnote w:type="continuationSeparator" w:id="0">
    <w:p w:rsidR="00F4789F" w:rsidRDefault="00F4789F" w:rsidP="004D6BD4">
      <w:pPr>
        <w:spacing w:after="0" w:line="240" w:lineRule="auto"/>
      </w:pPr>
      <w:r>
        <w:continuationSeparator/>
      </w:r>
    </w:p>
  </w:footnote>
  <w:footnote w:id="1">
    <w:p w:rsidR="0003728E" w:rsidRDefault="0003728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المحاضرات(مباحث اصول الفقه)، محقق داماد، محمد، ج1، ص465.</w:t>
      </w:r>
    </w:p>
  </w:footnote>
  <w:footnote w:id="2">
    <w:p w:rsidR="00906B52" w:rsidRPr="00B35507" w:rsidRDefault="00906B52" w:rsidP="00B35507">
      <w:pPr>
        <w:pStyle w:val="NormalWeb"/>
        <w:bidi/>
        <w:jc w:val="both"/>
        <w:rPr>
          <w:rFonts w:ascii="NoorLotus" w:hAnsi="NoorLotus" w:cs="NoorLotus"/>
          <w:sz w:val="20"/>
          <w:szCs w:val="20"/>
        </w:rPr>
      </w:pPr>
      <w:r w:rsidRPr="00B35507">
        <w:rPr>
          <w:rStyle w:val="FootnoteReference"/>
          <w:rFonts w:ascii="NoorLotus" w:hAnsi="NoorLotus" w:cs="NoorLotus"/>
          <w:sz w:val="20"/>
          <w:szCs w:val="20"/>
        </w:rPr>
        <w:footnoteRef/>
      </w:r>
      <w:r w:rsidRPr="00B35507">
        <w:rPr>
          <w:rFonts w:ascii="NoorLotus" w:hAnsi="NoorLotus" w:cs="NoorLotus"/>
          <w:sz w:val="20"/>
          <w:szCs w:val="20"/>
          <w:rtl/>
        </w:rPr>
        <w:t xml:space="preserve"> </w:t>
      </w:r>
      <w:r w:rsidRPr="00B35507">
        <w:rPr>
          <w:rFonts w:ascii="NoorLotus" w:hAnsi="NoorLotus" w:cs="NoorLotus"/>
          <w:sz w:val="20"/>
          <w:szCs w:val="20"/>
          <w:rtl/>
          <w:lang w:bidi="fa-IR"/>
        </w:rPr>
        <w:t>نهج البلاغة خطبه 201</w:t>
      </w:r>
      <w:r w:rsidR="00B35507" w:rsidRPr="00B35507">
        <w:rPr>
          <w:rFonts w:ascii="NoorLotus" w:hAnsi="NoorLotus" w:cs="NoorLotus"/>
          <w:sz w:val="20"/>
          <w:szCs w:val="20"/>
          <w:rtl/>
          <w:lang w:bidi="fa-IR"/>
        </w:rPr>
        <w:t>؛ الكافي (ط - الإسلامية)، ج‌1، ص: 62‌</w:t>
      </w:r>
    </w:p>
  </w:footnote>
  <w:footnote w:id="3">
    <w:p w:rsidR="00B85AEA" w:rsidRDefault="00B85AE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کفایة الاصول(يبع آل البیت)، آخوند خراسانی، محمد کاظم بن حسین، 227.</w:t>
      </w:r>
    </w:p>
  </w:footnote>
  <w:footnote w:id="4">
    <w:p w:rsidR="00B85AEA" w:rsidRDefault="00B85AEA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محاضرات فی اصول الفقه(طبع موسسة احیاء آثار السید الخویی)، خویی، ابوالقاسم، ج4، ص</w:t>
      </w:r>
      <w:r w:rsidR="00762375">
        <w:t>428-429</w:t>
      </w:r>
      <w:r w:rsidR="00762375">
        <w:rPr>
          <w:rFonts w:hint="cs"/>
          <w:rtl/>
        </w:rPr>
        <w:t>.</w:t>
      </w:r>
    </w:p>
  </w:footnote>
  <w:footnote w:id="5">
    <w:p w:rsidR="00185D48" w:rsidRDefault="00185D4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6">
    <w:p w:rsidR="00762375" w:rsidRDefault="0076237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کفایة الاصول(طبع آل البیت)، آخوند خراسانی، محمد کاظم بن حسین، ص227.</w:t>
      </w:r>
    </w:p>
  </w:footnote>
  <w:footnote w:id="7">
    <w:p w:rsidR="00D3721E" w:rsidRDefault="00D3721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020EBD">
        <w:rPr>
          <w:rFonts w:hint="cs"/>
          <w:rtl/>
        </w:rPr>
        <w:t>القوانین المحکمة فی الاصول(يبع جدید)، میرزای قمی، ابوالقاسم بن محمد حسن، ج1، ص517.</w:t>
      </w:r>
    </w:p>
  </w:footnote>
  <w:footnote w:id="8">
    <w:p w:rsidR="00421982" w:rsidRDefault="0042198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مائده: 67</w:t>
      </w:r>
    </w:p>
  </w:footnote>
  <w:footnote w:id="9">
    <w:p w:rsidR="00D3721E" w:rsidRDefault="00D3721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111687">
        <w:rPr>
          <w:rFonts w:hint="cs"/>
          <w:rtl/>
        </w:rPr>
        <w:t>البقرة:185.</w:t>
      </w:r>
    </w:p>
  </w:footnote>
  <w:footnote w:id="10">
    <w:p w:rsidR="00D3721E" w:rsidRDefault="00D3721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23402E">
        <w:rPr>
          <w:rFonts w:hint="cs"/>
          <w:rtl/>
        </w:rPr>
        <w:t>النحل:89.</w:t>
      </w:r>
    </w:p>
  </w:footnote>
  <w:footnote w:id="11">
    <w:p w:rsidR="00762375" w:rsidRDefault="00762375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D5030C">
        <w:rPr>
          <w:rFonts w:hint="cs"/>
          <w:rtl/>
        </w:rPr>
        <w:t>الاصول فی علم الاصول، ایروانی، علی، ج2، ص250.</w:t>
      </w:r>
    </w:p>
  </w:footnote>
  <w:footnote w:id="12">
    <w:p w:rsidR="00762375" w:rsidRDefault="00762375">
      <w:pPr>
        <w:pStyle w:val="FootnoteText"/>
      </w:pPr>
      <w:r>
        <w:rPr>
          <w:rStyle w:val="FootnoteReference"/>
        </w:rPr>
        <w:footnoteRef/>
      </w:r>
      <w:r w:rsidR="00D5030C">
        <w:rPr>
          <w:rFonts w:hint="cs"/>
          <w:rtl/>
        </w:rPr>
        <w:t>منتقی الاصول،</w:t>
      </w:r>
      <w:r w:rsidR="00D5030C">
        <w:t xml:space="preserve"> </w:t>
      </w:r>
      <w:r w:rsidR="00D5030C">
        <w:rPr>
          <w:rFonts w:hint="cs"/>
          <w:rtl/>
        </w:rPr>
        <w:t>روحانی، محمد، ج4، ص217.</w:t>
      </w:r>
      <w:r>
        <w:rPr>
          <w:rtl/>
        </w:rPr>
        <w:t xml:space="preserve"> </w:t>
      </w:r>
    </w:p>
  </w:footnote>
  <w:footnote w:id="13">
    <w:p w:rsidR="00183706" w:rsidRDefault="0018370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020EBD">
        <w:rPr>
          <w:rFonts w:hint="cs"/>
          <w:rtl/>
        </w:rPr>
        <w:t>البقرة:9.</w:t>
      </w:r>
    </w:p>
  </w:footnote>
  <w:footnote w:id="14">
    <w:p w:rsidR="00DC68B4" w:rsidRDefault="00DC68B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020EBD">
        <w:rPr>
          <w:rFonts w:hint="cs"/>
          <w:rtl/>
        </w:rPr>
        <w:t>النور:2.</w:t>
      </w:r>
    </w:p>
  </w:footnote>
  <w:footnote w:id="15">
    <w:p w:rsidR="00B85AEA" w:rsidRDefault="00B85AE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کفایة الاصول(طبع آل البیت)، آخوند خراسانی، محمد کاظم بن حسین، ص231.</w:t>
      </w:r>
    </w:p>
  </w:footnote>
  <w:footnote w:id="16">
    <w:p w:rsidR="00DC68B4" w:rsidRDefault="00DC68B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23402E">
        <w:rPr>
          <w:rFonts w:hint="cs"/>
          <w:rtl/>
        </w:rPr>
        <w:t>جامع المدارک فی شرح مختصر النافع، خوانساری، سید احمد</w:t>
      </w:r>
      <w:r w:rsidR="00D40BA9">
        <w:rPr>
          <w:rFonts w:hint="cs"/>
          <w:rtl/>
        </w:rPr>
        <w:t xml:space="preserve"> بن یوسف</w:t>
      </w:r>
      <w:r w:rsidR="0023402E">
        <w:rPr>
          <w:rFonts w:hint="cs"/>
          <w:rtl/>
        </w:rPr>
        <w:t>، ج1، ص522.</w:t>
      </w:r>
    </w:p>
  </w:footnote>
  <w:footnote w:id="17">
    <w:p w:rsidR="00EF7A86" w:rsidRDefault="00EF7A8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881422">
        <w:rPr>
          <w:rFonts w:hint="cs"/>
          <w:rtl/>
        </w:rPr>
        <w:t>البقرة:278.</w:t>
      </w:r>
    </w:p>
  </w:footnote>
  <w:footnote w:id="18">
    <w:p w:rsidR="00020EBD" w:rsidRDefault="00020EBD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البقرة:183.</w:t>
      </w:r>
    </w:p>
  </w:footnote>
  <w:footnote w:id="19">
    <w:p w:rsidR="00EF7A86" w:rsidRDefault="00EF7A8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881422">
        <w:rPr>
          <w:rFonts w:hint="cs"/>
          <w:rtl/>
        </w:rPr>
        <w:t>الکافی(ط- الاسلامیة)، کلینی، محمد بن یعقوب، ج2، ص18، ح1.</w:t>
      </w:r>
    </w:p>
  </w:footnote>
  <w:footnote w:id="20">
    <w:p w:rsidR="00881422" w:rsidRDefault="0088142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المجادلة:12.</w:t>
      </w:r>
    </w:p>
  </w:footnote>
  <w:footnote w:id="21">
    <w:p w:rsidR="00EF7A86" w:rsidRDefault="00EF7A86">
      <w:pPr>
        <w:pStyle w:val="FootnoteText"/>
      </w:pPr>
      <w:r>
        <w:rPr>
          <w:rStyle w:val="FootnoteReference"/>
        </w:rPr>
        <w:footnoteRef/>
      </w:r>
      <w:r w:rsidR="00881422">
        <w:rPr>
          <w:rFonts w:hint="cs"/>
          <w:rtl/>
        </w:rPr>
        <w:t>المائدة:94.</w:t>
      </w:r>
    </w:p>
  </w:footnote>
  <w:footnote w:id="22">
    <w:p w:rsidR="00881422" w:rsidRDefault="0088142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کفایة الاصول(طبع آل البیت)، آخوند خراسانی، محمد کاظم بن حسین، ص228.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98" w:rsidRDefault="00003BF6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</w:tabs>
      <w:rPr>
        <w:b/>
        <w:bCs/>
        <w:sz w:val="20"/>
        <w:szCs w:val="24"/>
      </w:rPr>
    </w:pPr>
    <w:r>
      <w:rPr>
        <w:rFonts w:hint="cs"/>
        <w:b/>
        <w:bCs/>
        <w:sz w:val="20"/>
        <w:szCs w:val="24"/>
        <w:rtl/>
      </w:rPr>
      <w:tab/>
    </w:r>
    <w:r>
      <w:rPr>
        <w:rFonts w:hint="cs"/>
        <w:b/>
        <w:bCs/>
        <w:sz w:val="20"/>
        <w:szCs w:val="24"/>
        <w:rtl/>
      </w:rPr>
      <w:tab/>
      <w:t>بسم الله الرحمن الرحیم</w:t>
    </w:r>
    <w:r>
      <w:rPr>
        <w:b/>
        <w:bCs/>
        <w:sz w:val="20"/>
        <w:szCs w:val="24"/>
        <w:rtl/>
      </w:rPr>
      <w:tab/>
    </w:r>
    <w:r>
      <w:rPr>
        <w:b/>
        <w:bCs/>
        <w:sz w:val="20"/>
        <w:szCs w:val="24"/>
        <w:rtl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  <w:rtl/>
      </w:rPr>
      <w:t>بسم الله الرحمن الرحیم</w:t>
    </w:r>
  </w:p>
  <w:p w:rsidR="00654898" w:rsidRPr="004D6BD4" w:rsidRDefault="00003BF6" w:rsidP="004D6BD4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  <w:tab w:val="left" w:pos="4395"/>
      </w:tabs>
      <w:rPr>
        <w:rFonts w:ascii="NoorLotus" w:hAnsi="NoorLotus"/>
        <w:sz w:val="18"/>
        <w:szCs w:val="18"/>
      </w:rPr>
    </w:pPr>
    <w:r>
      <w:rPr>
        <w:rFonts w:ascii="NoorLotus" w:hAnsi="NoorLotus"/>
        <w:b/>
        <w:bCs/>
        <w:sz w:val="18"/>
        <w:szCs w:val="18"/>
        <w:rtl/>
      </w:rPr>
      <w:t>درس خارج اصول استاد شهیدی پور حفظه الله(دوره سوم، سال4)</w:t>
    </w:r>
    <w:r>
      <w:rPr>
        <w:rFonts w:ascii="NoorLotus" w:hAnsi="NoorLotus"/>
        <w:sz w:val="18"/>
        <w:szCs w:val="18"/>
        <w:rtl/>
      </w:rPr>
      <w:t xml:space="preserve"> </w:t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</w:rPr>
      <w:t xml:space="preserve"> </w:t>
    </w:r>
    <w:r>
      <w:rPr>
        <w:rFonts w:ascii="NoorLotus" w:hAnsi="NoorLotus"/>
        <w:sz w:val="18"/>
        <w:szCs w:val="18"/>
      </w:rPr>
      <w:tab/>
    </w:r>
    <w:r w:rsidR="004D6BD4">
      <w:rPr>
        <w:rFonts w:ascii="NoorLotus" w:hAnsi="NoorLotus" w:hint="cs"/>
        <w:sz w:val="18"/>
        <w:szCs w:val="18"/>
        <w:rtl/>
      </w:rPr>
      <w:t>جلسه</w:t>
    </w:r>
    <w:r w:rsidR="004D6BD4">
      <w:rPr>
        <w:rFonts w:ascii="NoorLotus" w:hAnsi="NoorLotus"/>
        <w:sz w:val="18"/>
        <w:szCs w:val="18"/>
      </w:rPr>
      <w:t>54</w:t>
    </w:r>
    <w:r>
      <w:rPr>
        <w:rFonts w:ascii="NoorLotus" w:hAnsi="NoorLotus"/>
        <w:sz w:val="18"/>
        <w:szCs w:val="18"/>
        <w:rtl/>
      </w:rPr>
      <w:t>(تاریخ</w:t>
    </w:r>
    <w:r>
      <w:rPr>
        <w:rFonts w:ascii="NoorLotus" w:hAnsi="NoorLotus" w:hint="cs"/>
        <w:sz w:val="18"/>
        <w:szCs w:val="18"/>
        <w:rtl/>
      </w:rPr>
      <w:t>:</w:t>
    </w:r>
    <w:r w:rsidR="004D6BD4">
      <w:rPr>
        <w:rFonts w:ascii="NoorLotus" w:hAnsi="NoorLotus"/>
        <w:sz w:val="18"/>
        <w:szCs w:val="18"/>
      </w:rPr>
      <w:t>9</w:t>
    </w:r>
    <w:r>
      <w:rPr>
        <w:rFonts w:ascii="NoorLotus" w:hAnsi="NoorLotus"/>
        <w:sz w:val="18"/>
        <w:szCs w:val="18"/>
        <w:rtl/>
      </w:rPr>
      <w:t>/</w:t>
    </w:r>
    <w:r>
      <w:rPr>
        <w:rFonts w:ascii="NoorLotus" w:hAnsi="NoorLotus" w:hint="cs"/>
        <w:sz w:val="18"/>
        <w:szCs w:val="18"/>
        <w:rtl/>
      </w:rPr>
      <w:t>9</w:t>
    </w:r>
    <w:r>
      <w:rPr>
        <w:rFonts w:ascii="NoorLotus" w:hAnsi="NoorLotus"/>
        <w:sz w:val="18"/>
        <w:szCs w:val="18"/>
        <w:rtl/>
      </w:rPr>
      <w:t>/1401)</w:t>
    </w:r>
  </w:p>
  <w:p w:rsidR="00654898" w:rsidRDefault="001673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6F"/>
    <w:multiLevelType w:val="hybridMultilevel"/>
    <w:tmpl w:val="E776304C"/>
    <w:lvl w:ilvl="0" w:tplc="81BEB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D4"/>
    <w:rsid w:val="00003BF6"/>
    <w:rsid w:val="00020EBD"/>
    <w:rsid w:val="0003728E"/>
    <w:rsid w:val="0005199F"/>
    <w:rsid w:val="00087A6F"/>
    <w:rsid w:val="00111687"/>
    <w:rsid w:val="001673FA"/>
    <w:rsid w:val="00170FAF"/>
    <w:rsid w:val="00183706"/>
    <w:rsid w:val="00185D48"/>
    <w:rsid w:val="0023402E"/>
    <w:rsid w:val="00270F8E"/>
    <w:rsid w:val="00421982"/>
    <w:rsid w:val="004752E6"/>
    <w:rsid w:val="00477F9E"/>
    <w:rsid w:val="004902AB"/>
    <w:rsid w:val="004D6BD4"/>
    <w:rsid w:val="005476E6"/>
    <w:rsid w:val="006515E3"/>
    <w:rsid w:val="00675080"/>
    <w:rsid w:val="006D14BE"/>
    <w:rsid w:val="006F7DF4"/>
    <w:rsid w:val="00762375"/>
    <w:rsid w:val="00804D6E"/>
    <w:rsid w:val="00881422"/>
    <w:rsid w:val="008A36CD"/>
    <w:rsid w:val="008E62FA"/>
    <w:rsid w:val="008F7791"/>
    <w:rsid w:val="00906B52"/>
    <w:rsid w:val="00977B0E"/>
    <w:rsid w:val="00A346FA"/>
    <w:rsid w:val="00B35507"/>
    <w:rsid w:val="00B44D10"/>
    <w:rsid w:val="00B85AEA"/>
    <w:rsid w:val="00C06A29"/>
    <w:rsid w:val="00CC4828"/>
    <w:rsid w:val="00CF486A"/>
    <w:rsid w:val="00D222C3"/>
    <w:rsid w:val="00D3721E"/>
    <w:rsid w:val="00D40BA9"/>
    <w:rsid w:val="00D5030C"/>
    <w:rsid w:val="00DC68B4"/>
    <w:rsid w:val="00DD42A4"/>
    <w:rsid w:val="00E60966"/>
    <w:rsid w:val="00EC001C"/>
    <w:rsid w:val="00EF7A86"/>
    <w:rsid w:val="00F06BD0"/>
    <w:rsid w:val="00F131DA"/>
    <w:rsid w:val="00F4789F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D4"/>
    <w:pPr>
      <w:bidi/>
      <w:spacing w:after="160" w:line="256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1DA"/>
    <w:pPr>
      <w:keepNext/>
      <w:keepLines/>
      <w:spacing w:after="0" w:line="259" w:lineRule="auto"/>
      <w:outlineLvl w:val="0"/>
    </w:pPr>
    <w:rPr>
      <w:rFonts w:ascii="NoorLotus" w:eastAsia="NoorLotus" w:hAnsi="NoorLotus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6BD4"/>
    <w:pPr>
      <w:keepNext/>
      <w:keepLines/>
      <w:spacing w:before="40" w:after="0"/>
      <w:outlineLvl w:val="1"/>
    </w:pPr>
    <w:rPr>
      <w:rFonts w:ascii="Calibri Light" w:eastAsia="SimSun" w:hAnsi="Calibri Light" w:cs="NoorKoodak"/>
      <w:bCs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1DA"/>
    <w:rPr>
      <w:rFonts w:ascii="NoorLotus" w:eastAsia="NoorLotus" w:hAnsi="NoorLotus" w:cs="NoorLotus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D6BD4"/>
    <w:rPr>
      <w:rFonts w:ascii="Calibri Light" w:eastAsia="SimSun" w:hAnsi="Calibri Light" w:cs="NoorKoodak"/>
      <w:bCs/>
      <w:sz w:val="26"/>
      <w:szCs w:val="32"/>
      <w:lang w:bidi="fa-IR"/>
    </w:rPr>
  </w:style>
  <w:style w:type="character" w:styleId="Hyperlink">
    <w:name w:val="Hyperlink"/>
    <w:basedOn w:val="DefaultParagraphFont"/>
    <w:uiPriority w:val="99"/>
    <w:rsid w:val="004D6BD4"/>
    <w:rPr>
      <w:color w:val="0563C1"/>
      <w:u w:val="single"/>
    </w:rPr>
  </w:style>
  <w:style w:type="paragraph" w:styleId="TOC1">
    <w:name w:val="toc 1"/>
    <w:basedOn w:val="Normal"/>
    <w:next w:val="Normal"/>
    <w:uiPriority w:val="39"/>
    <w:rsid w:val="004D6BD4"/>
    <w:pPr>
      <w:spacing w:after="100"/>
    </w:pPr>
  </w:style>
  <w:style w:type="paragraph" w:styleId="TOC2">
    <w:name w:val="toc 2"/>
    <w:basedOn w:val="Normal"/>
    <w:next w:val="Normal"/>
    <w:uiPriority w:val="39"/>
    <w:rsid w:val="004D6BD4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rsid w:val="004D6B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6BD4"/>
    <w:rPr>
      <w:rFonts w:ascii="Calibri" w:eastAsia="Calibri" w:hAnsi="Calibri" w:cs="NoorLotus"/>
      <w:sz w:val="20"/>
      <w:szCs w:val="20"/>
      <w:lang w:bidi="fa-IR"/>
    </w:rPr>
  </w:style>
  <w:style w:type="paragraph" w:styleId="TOCHeading">
    <w:name w:val="TOC Heading"/>
    <w:basedOn w:val="Heading1"/>
    <w:next w:val="Normal"/>
    <w:uiPriority w:val="39"/>
    <w:qFormat/>
    <w:rsid w:val="004D6BD4"/>
    <w:pPr>
      <w:bidi w:val="0"/>
      <w:spacing w:before="240" w:line="256" w:lineRule="auto"/>
      <w:outlineLvl w:val="9"/>
    </w:pPr>
    <w:rPr>
      <w:rFonts w:ascii="Calibri Light" w:eastAsia="SimSun" w:hAnsi="Calibri Light" w:cs="Times New Roman"/>
      <w:b w:val="0"/>
      <w:color w:val="2E74B5"/>
      <w:szCs w:val="32"/>
    </w:rPr>
  </w:style>
  <w:style w:type="character" w:styleId="FootnoteReference">
    <w:name w:val="footnote reference"/>
    <w:basedOn w:val="DefaultParagraphFont"/>
    <w:uiPriority w:val="99"/>
    <w:rsid w:val="004D6BD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D6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BD4"/>
    <w:rPr>
      <w:rFonts w:ascii="Calibri" w:eastAsia="Calibri" w:hAnsi="Calibri" w:cs="NoorLotus"/>
      <w:szCs w:val="28"/>
      <w:lang w:bidi="fa-IR"/>
    </w:rPr>
  </w:style>
  <w:style w:type="paragraph" w:styleId="Footer">
    <w:name w:val="footer"/>
    <w:basedOn w:val="Normal"/>
    <w:link w:val="FooterChar"/>
    <w:uiPriority w:val="99"/>
    <w:rsid w:val="004D6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BD4"/>
    <w:rPr>
      <w:rFonts w:ascii="Calibri" w:eastAsia="Calibri" w:hAnsi="Calibri" w:cs="NoorLotus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4D6B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14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881422"/>
    <w:pPr>
      <w:bidi/>
      <w:spacing w:after="0" w:line="240" w:lineRule="auto"/>
    </w:pPr>
    <w:rPr>
      <w:rFonts w:ascii="Calibri" w:eastAsia="Calibri" w:hAnsi="Calibri" w:cs="NoorLotus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D0"/>
    <w:rPr>
      <w:rFonts w:ascii="Tahoma" w:eastAsia="Calibri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D4"/>
    <w:pPr>
      <w:bidi/>
      <w:spacing w:after="160" w:line="256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1DA"/>
    <w:pPr>
      <w:keepNext/>
      <w:keepLines/>
      <w:spacing w:after="0" w:line="259" w:lineRule="auto"/>
      <w:outlineLvl w:val="0"/>
    </w:pPr>
    <w:rPr>
      <w:rFonts w:ascii="NoorLotus" w:eastAsia="NoorLotus" w:hAnsi="NoorLotus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6BD4"/>
    <w:pPr>
      <w:keepNext/>
      <w:keepLines/>
      <w:spacing w:before="40" w:after="0"/>
      <w:outlineLvl w:val="1"/>
    </w:pPr>
    <w:rPr>
      <w:rFonts w:ascii="Calibri Light" w:eastAsia="SimSun" w:hAnsi="Calibri Light" w:cs="NoorKoodak"/>
      <w:bCs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1DA"/>
    <w:rPr>
      <w:rFonts w:ascii="NoorLotus" w:eastAsia="NoorLotus" w:hAnsi="NoorLotus" w:cs="NoorLotus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D6BD4"/>
    <w:rPr>
      <w:rFonts w:ascii="Calibri Light" w:eastAsia="SimSun" w:hAnsi="Calibri Light" w:cs="NoorKoodak"/>
      <w:bCs/>
      <w:sz w:val="26"/>
      <w:szCs w:val="32"/>
      <w:lang w:bidi="fa-IR"/>
    </w:rPr>
  </w:style>
  <w:style w:type="character" w:styleId="Hyperlink">
    <w:name w:val="Hyperlink"/>
    <w:basedOn w:val="DefaultParagraphFont"/>
    <w:uiPriority w:val="99"/>
    <w:rsid w:val="004D6BD4"/>
    <w:rPr>
      <w:color w:val="0563C1"/>
      <w:u w:val="single"/>
    </w:rPr>
  </w:style>
  <w:style w:type="paragraph" w:styleId="TOC1">
    <w:name w:val="toc 1"/>
    <w:basedOn w:val="Normal"/>
    <w:next w:val="Normal"/>
    <w:uiPriority w:val="39"/>
    <w:rsid w:val="004D6BD4"/>
    <w:pPr>
      <w:spacing w:after="100"/>
    </w:pPr>
  </w:style>
  <w:style w:type="paragraph" w:styleId="TOC2">
    <w:name w:val="toc 2"/>
    <w:basedOn w:val="Normal"/>
    <w:next w:val="Normal"/>
    <w:uiPriority w:val="39"/>
    <w:rsid w:val="004D6BD4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rsid w:val="004D6B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6BD4"/>
    <w:rPr>
      <w:rFonts w:ascii="Calibri" w:eastAsia="Calibri" w:hAnsi="Calibri" w:cs="NoorLotus"/>
      <w:sz w:val="20"/>
      <w:szCs w:val="20"/>
      <w:lang w:bidi="fa-IR"/>
    </w:rPr>
  </w:style>
  <w:style w:type="paragraph" w:styleId="TOCHeading">
    <w:name w:val="TOC Heading"/>
    <w:basedOn w:val="Heading1"/>
    <w:next w:val="Normal"/>
    <w:uiPriority w:val="39"/>
    <w:qFormat/>
    <w:rsid w:val="004D6BD4"/>
    <w:pPr>
      <w:bidi w:val="0"/>
      <w:spacing w:before="240" w:line="256" w:lineRule="auto"/>
      <w:outlineLvl w:val="9"/>
    </w:pPr>
    <w:rPr>
      <w:rFonts w:ascii="Calibri Light" w:eastAsia="SimSun" w:hAnsi="Calibri Light" w:cs="Times New Roman"/>
      <w:b w:val="0"/>
      <w:color w:val="2E74B5"/>
      <w:szCs w:val="32"/>
    </w:rPr>
  </w:style>
  <w:style w:type="character" w:styleId="FootnoteReference">
    <w:name w:val="footnote reference"/>
    <w:basedOn w:val="DefaultParagraphFont"/>
    <w:uiPriority w:val="99"/>
    <w:rsid w:val="004D6BD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D6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BD4"/>
    <w:rPr>
      <w:rFonts w:ascii="Calibri" w:eastAsia="Calibri" w:hAnsi="Calibri" w:cs="NoorLotus"/>
      <w:szCs w:val="28"/>
      <w:lang w:bidi="fa-IR"/>
    </w:rPr>
  </w:style>
  <w:style w:type="paragraph" w:styleId="Footer">
    <w:name w:val="footer"/>
    <w:basedOn w:val="Normal"/>
    <w:link w:val="FooterChar"/>
    <w:uiPriority w:val="99"/>
    <w:rsid w:val="004D6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BD4"/>
    <w:rPr>
      <w:rFonts w:ascii="Calibri" w:eastAsia="Calibri" w:hAnsi="Calibri" w:cs="NoorLotus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4D6B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14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881422"/>
    <w:pPr>
      <w:bidi/>
      <w:spacing w:after="0" w:line="240" w:lineRule="auto"/>
    </w:pPr>
    <w:rPr>
      <w:rFonts w:ascii="Calibri" w:eastAsia="Calibri" w:hAnsi="Calibri" w:cs="NoorLotus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D0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8585-A413-4B70-9310-4F8CBD1B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محمدمهدی عمادی</cp:lastModifiedBy>
  <cp:revision>8</cp:revision>
  <cp:lastPrinted>2022-11-30T08:14:00Z</cp:lastPrinted>
  <dcterms:created xsi:type="dcterms:W3CDTF">2022-11-30T04:50:00Z</dcterms:created>
  <dcterms:modified xsi:type="dcterms:W3CDTF">2022-12-03T10:53:00Z</dcterms:modified>
</cp:coreProperties>
</file>