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Default="00202794" w:rsidP="0020279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202794" w:rsidRDefault="00202794" w:rsidP="00202794">
      <w:pPr>
        <w:spacing w:before="240" w:line="276" w:lineRule="auto"/>
        <w:jc w:val="center"/>
        <w:rPr>
          <w:rFonts w:ascii="Arabic Typesetting" w:hAnsi="Arabic Typesetting" w:cs="Arabic Typesetting"/>
          <w:sz w:val="28"/>
          <w:szCs w:val="28"/>
          <w:lang w:bidi="ar-LB"/>
        </w:rPr>
      </w:pPr>
    </w:p>
    <w:p w:rsidR="00202794" w:rsidRDefault="00202794" w:rsidP="0020279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sidR="006F04D7">
        <w:rPr>
          <w:rFonts w:ascii="Lotus Linotype" w:hAnsi="Lotus Linotype" w:cs="Lotus Linotype" w:hint="cs"/>
          <w:b/>
          <w:bCs/>
          <w:color w:val="FF0000"/>
          <w:sz w:val="28"/>
          <w:szCs w:val="28"/>
          <w:rtl/>
          <w:lang w:bidi="ar-LB"/>
        </w:rPr>
        <w:t xml:space="preserve"> 54</w:t>
      </w:r>
      <w:r>
        <w:rPr>
          <w:rFonts w:ascii="Lotus Linotype" w:hAnsi="Lotus Linotype" w:cs="Lotus Linotype" w:hint="cs"/>
          <w:b/>
          <w:bCs/>
          <w:color w:val="FF0000"/>
          <w:sz w:val="28"/>
          <w:szCs w:val="28"/>
          <w:rtl/>
          <w:lang w:bidi="ar-LB"/>
        </w:rPr>
        <w:t xml:space="preserve">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02794" w:rsidRDefault="00202794" w:rsidP="00A26433">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sidR="000C07EB">
        <w:rPr>
          <w:rFonts w:ascii="Arabic Typesetting" w:hAnsi="Arabic Typesetting" w:cs="Arabic Typesetting"/>
          <w:b/>
          <w:bCs/>
          <w:color w:val="FF0000"/>
          <w:sz w:val="28"/>
          <w:szCs w:val="28"/>
          <w:rtl/>
          <w:lang w:bidi="ar-LB"/>
        </w:rPr>
        <w:t>الم</w:t>
      </w:r>
      <w:r w:rsidR="000C07EB">
        <w:rPr>
          <w:rFonts w:ascii="Arabic Typesetting" w:hAnsi="Arabic Typesetting" w:cs="Arabic Typesetting" w:hint="cs"/>
          <w:b/>
          <w:bCs/>
          <w:color w:val="FF0000"/>
          <w:sz w:val="28"/>
          <w:szCs w:val="28"/>
          <w:rtl/>
          <w:lang w:bidi="ar-LB"/>
        </w:rPr>
        <w:t>طلق والمقيد</w:t>
      </w:r>
      <w:r>
        <w:rPr>
          <w:rFonts w:ascii="Arabic Typesetting" w:hAnsi="Arabic Typesetting" w:cs="Arabic Typesetting"/>
          <w:color w:val="FF0000"/>
          <w:sz w:val="28"/>
          <w:szCs w:val="28"/>
          <w:rtl/>
          <w:lang w:bidi="ar-LB"/>
        </w:rPr>
        <w:t xml:space="preserve"> </w:t>
      </w:r>
      <w:r w:rsidR="00A26433">
        <w:rPr>
          <w:rFonts w:ascii="Arabic Typesetting" w:hAnsi="Arabic Typesetting" w:cs="Arabic Typesetting" w:hint="cs"/>
          <w:sz w:val="28"/>
          <w:szCs w:val="28"/>
          <w:rtl/>
          <w:lang w:bidi="ar-LB"/>
        </w:rPr>
        <w:t xml:space="preserve">         </w:t>
      </w:r>
      <w:r w:rsidR="000C07EB">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202794" w:rsidRDefault="00202794" w:rsidP="0020279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sidR="00A26433">
        <w:rPr>
          <w:rFonts w:ascii="Arabic Typesetting" w:hAnsi="Arabic Typesetting" w:cs="Arabic Typesetting" w:hint="cs"/>
          <w:sz w:val="28"/>
          <w:szCs w:val="28"/>
          <w:rtl/>
          <w:lang w:bidi="ar-LB"/>
        </w:rPr>
        <w:t xml:space="preserve"> السبت، 6 رجب، 1444 ه</w:t>
      </w:r>
    </w:p>
    <w:p w:rsidR="00202794" w:rsidRDefault="00202794" w:rsidP="00202794">
      <w:pPr>
        <w:rPr>
          <w:rFonts w:ascii="Lotus Linotype" w:hAnsi="Lotus Linotype" w:cs="Lotus Linotype"/>
          <w:sz w:val="28"/>
          <w:szCs w:val="28"/>
          <w:lang w:bidi="ar-LB"/>
        </w:rPr>
      </w:pPr>
    </w:p>
    <w:p w:rsidR="00202794" w:rsidRDefault="00202794" w:rsidP="00202794">
      <w:pPr>
        <w:jc w:val="center"/>
        <w:rPr>
          <w:rFonts w:ascii="Lotus Linotype" w:hAnsi="Lotus Linotype" w:cs="Lotus Linotype"/>
          <w:color w:val="AFD597"/>
          <w:sz w:val="28"/>
          <w:szCs w:val="28"/>
          <w:lang w:bidi="ar-LB"/>
        </w:rPr>
      </w:pPr>
    </w:p>
    <w:p w:rsidR="00202794" w:rsidRPr="00202794" w:rsidRDefault="00202794" w:rsidP="00202794">
      <w:pPr>
        <w:jc w:val="center"/>
        <w:rPr>
          <w:rFonts w:ascii="Lotus Linotype" w:hAnsi="Lotus Linotype" w:cs="Lotus Linotype"/>
          <w:color w:val="222A35" w:themeColor="text2" w:themeShade="80"/>
          <w:sz w:val="28"/>
          <w:szCs w:val="28"/>
          <w:lang w:bidi="ar-LB"/>
        </w:rPr>
      </w:pPr>
      <w:r w:rsidRPr="00202794">
        <w:rPr>
          <w:rFonts w:ascii="Arabic Typesetting" w:hAnsi="Arabic Typesetting" w:cs="Arabic Typesetting"/>
          <w:b/>
          <w:bCs/>
          <w:color w:val="222A35" w:themeColor="text2" w:themeShade="8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28"/>
          <w:szCs w:val="28"/>
          <w:rtl/>
          <w:lang w:bidi="ar-LB"/>
        </w:rPr>
      </w:pPr>
    </w:p>
    <w:p w:rsidR="00202794" w:rsidRDefault="00DD1117"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كان الكلام في </w:t>
      </w:r>
      <w:r w:rsidRPr="00A26433">
        <w:rPr>
          <w:rFonts w:ascii="Lotus Linotype" w:hAnsi="Lotus Linotype" w:cs="Lotus Linotype" w:hint="cs"/>
          <w:b/>
          <w:bCs/>
          <w:color w:val="FF0000"/>
          <w:sz w:val="28"/>
          <w:szCs w:val="28"/>
          <w:rtl/>
          <w:lang w:bidi="ar-LB"/>
        </w:rPr>
        <w:t>ثمرات النزاع حول تقابل الإطلاق والتقييد الثبوتيّين</w:t>
      </w:r>
      <w:r>
        <w:rPr>
          <w:rFonts w:ascii="Lotus Linotype" w:hAnsi="Lotus Linotype" w:cs="Lotus Linotype" w:hint="cs"/>
          <w:sz w:val="28"/>
          <w:szCs w:val="28"/>
          <w:rtl/>
          <w:lang w:bidi="ar-LB"/>
        </w:rPr>
        <w:t>، وقبل أن أستمرّ في هذا البحث أنقل كلاماً عن بعض المعاصرين حول ما ذكره السيد الخوئي</w:t>
      </w:r>
      <w:r w:rsidR="00A26433">
        <w:rPr>
          <w:rFonts w:ascii="Lotus Linotype" w:hAnsi="Lotus Linotype" w:cs="Lotus Linotype" w:hint="cs"/>
          <w:sz w:val="28"/>
          <w:szCs w:val="28"/>
          <w:rtl/>
          <w:lang w:bidi="ar-LB"/>
        </w:rPr>
        <w:t xml:space="preserve"> </w:t>
      </w:r>
      <w:r w:rsidR="006C7DD3">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من أنّه وإن كان التقابل بين الإطلاق والتقييد الثبوتيّين تقابل التضادّ لكن هذا لا يعني أنّه يمكن أن لا يكون في مقام الثبوت إطلاقٌ ولا تقيّيدٌ في مقام الجعل بل يثبت الإهمال، بل حتى لو امتنع التقييد يجب الإطلاق</w:t>
      </w:r>
      <w:r w:rsidR="0043165F">
        <w:rPr>
          <w:rFonts w:ascii="Lotus Linotype" w:hAnsi="Lotus Linotype" w:cs="Lotus Linotype" w:hint="cs"/>
          <w:sz w:val="28"/>
          <w:szCs w:val="28"/>
          <w:rtl/>
          <w:lang w:bidi="ar-LB"/>
        </w:rPr>
        <w:t>، هذا كلام السيد الخوئي</w:t>
      </w:r>
      <w:r w:rsidR="00A26433">
        <w:rPr>
          <w:rFonts w:ascii="Lotus Linotype" w:hAnsi="Lotus Linotype" w:cs="Lotus Linotype" w:hint="cs"/>
          <w:sz w:val="28"/>
          <w:szCs w:val="28"/>
          <w:rtl/>
          <w:lang w:bidi="ar-LB"/>
        </w:rPr>
        <w:t xml:space="preserve"> </w:t>
      </w:r>
      <w:r w:rsidR="006C7DD3">
        <w:rPr>
          <w:rFonts w:ascii="Lotus Linotype" w:hAnsi="Lotus Linotype" w:cs="Taher" w:hint="cs"/>
          <w:sz w:val="28"/>
          <w:szCs w:val="28"/>
          <w:rtl/>
          <w:lang w:bidi="ar-LB"/>
        </w:rPr>
        <w:t>رحمه الله</w:t>
      </w:r>
      <w:r w:rsidR="0043165F">
        <w:rPr>
          <w:rFonts w:ascii="Lotus Linotype" w:hAnsi="Lotus Linotype" w:cs="Lotus Linotype" w:hint="cs"/>
          <w:sz w:val="28"/>
          <w:szCs w:val="28"/>
          <w:rtl/>
          <w:lang w:bidi="ar-LB"/>
        </w:rPr>
        <w:t>.</w:t>
      </w:r>
    </w:p>
    <w:p w:rsidR="00A26433" w:rsidRDefault="0043165F" w:rsidP="00A2643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بعض المعاصرين من تلامذة السيد الصدر</w:t>
      </w:r>
      <w:r w:rsidR="00A26433">
        <w:rPr>
          <w:rFonts w:ascii="Lotus Linotype" w:hAnsi="Lotus Linotype" w:cs="Lotus Linotype" w:hint="cs"/>
          <w:sz w:val="28"/>
          <w:szCs w:val="28"/>
          <w:rtl/>
          <w:lang w:bidi="ar-LB"/>
        </w:rPr>
        <w:t xml:space="preserve"> </w:t>
      </w:r>
      <w:r w:rsidR="006C7DD3">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w:t>
      </w:r>
      <w:r w:rsidR="00B0478D">
        <w:rPr>
          <w:rFonts w:ascii="Lotus Linotype" w:hAnsi="Lotus Linotype" w:cs="Lotus Linotype" w:hint="cs"/>
          <w:sz w:val="28"/>
          <w:szCs w:val="28"/>
          <w:rtl/>
          <w:lang w:bidi="ar-LB"/>
        </w:rPr>
        <w:t>ناقش في كلام السيد الخوئي</w:t>
      </w:r>
      <w:r w:rsidR="00A26433">
        <w:rPr>
          <w:rFonts w:ascii="Lotus Linotype" w:hAnsi="Lotus Linotype" w:cs="Lotus Linotype" w:hint="cs"/>
          <w:sz w:val="28"/>
          <w:szCs w:val="28"/>
          <w:rtl/>
          <w:lang w:bidi="ar-LB"/>
        </w:rPr>
        <w:t xml:space="preserve"> </w:t>
      </w:r>
      <w:r w:rsidR="006C7DD3">
        <w:rPr>
          <w:rFonts w:ascii="Lotus Linotype" w:hAnsi="Lotus Linotype" w:cs="Taher" w:hint="cs"/>
          <w:sz w:val="28"/>
          <w:szCs w:val="28"/>
          <w:rtl/>
          <w:lang w:bidi="ar-LB"/>
        </w:rPr>
        <w:t>رحمه الله</w:t>
      </w:r>
      <w:r w:rsidR="00B0478D">
        <w:rPr>
          <w:rFonts w:ascii="Lotus Linotype" w:hAnsi="Lotus Linotype" w:cs="Lotus Linotype" w:hint="cs"/>
          <w:sz w:val="28"/>
          <w:szCs w:val="28"/>
          <w:rtl/>
          <w:lang w:bidi="ar-LB"/>
        </w:rPr>
        <w:t xml:space="preserve"> فقال: </w:t>
      </w:r>
    </w:p>
    <w:p w:rsidR="00A26433" w:rsidRPr="006C7DD3" w:rsidRDefault="006C7DD3" w:rsidP="006C7DD3">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أ. </w:t>
      </w:r>
      <w:r w:rsidR="00AD6A57" w:rsidRPr="006C7DD3">
        <w:rPr>
          <w:rFonts w:ascii="Lotus Linotype" w:hAnsi="Lotus Linotype" w:cs="Lotus Linotype" w:hint="cs"/>
          <w:sz w:val="28"/>
          <w:szCs w:val="28"/>
          <w:rtl/>
          <w:lang w:bidi="ar-LB"/>
        </w:rPr>
        <w:t>بناءً على كون التقابل بين الإطلاق والتقيّيد تقابل السلب والإيجاب،</w:t>
      </w:r>
      <w:r w:rsidR="00A26433" w:rsidRPr="006C7DD3">
        <w:rPr>
          <w:rFonts w:ascii="Lotus Linotype" w:hAnsi="Lotus Linotype" w:cs="Lotus Linotype" w:hint="cs"/>
          <w:sz w:val="28"/>
          <w:szCs w:val="28"/>
          <w:rtl/>
          <w:lang w:bidi="ar-LB"/>
        </w:rPr>
        <w:t>:</w:t>
      </w:r>
      <w:r w:rsidR="00AD6A57" w:rsidRPr="006C7DD3">
        <w:rPr>
          <w:rFonts w:ascii="Lotus Linotype" w:hAnsi="Lotus Linotype" w:cs="Lotus Linotype" w:hint="cs"/>
          <w:sz w:val="28"/>
          <w:szCs w:val="28"/>
          <w:rtl/>
          <w:lang w:bidi="ar-LB"/>
        </w:rPr>
        <w:t xml:space="preserve"> إذا استحال التقييد وجب الإطلاق لأنّ الإطلاق ليس إلا عدم التقييد</w:t>
      </w:r>
      <w:r w:rsidR="00A26433" w:rsidRPr="006C7DD3">
        <w:rPr>
          <w:rFonts w:ascii="Lotus Linotype" w:hAnsi="Lotus Linotype" w:cs="Lotus Linotype" w:hint="cs"/>
          <w:sz w:val="28"/>
          <w:szCs w:val="28"/>
          <w:rtl/>
          <w:lang w:bidi="ar-LB"/>
        </w:rPr>
        <w:t>.</w:t>
      </w:r>
    </w:p>
    <w:p w:rsidR="0071667F" w:rsidRPr="006C7DD3" w:rsidRDefault="006C7DD3" w:rsidP="006C7DD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ب. </w:t>
      </w:r>
      <w:r w:rsidR="00AD6A57" w:rsidRPr="006C7DD3">
        <w:rPr>
          <w:rFonts w:ascii="Lotus Linotype" w:hAnsi="Lotus Linotype" w:cs="Lotus Linotype" w:hint="cs"/>
          <w:sz w:val="28"/>
          <w:szCs w:val="28"/>
          <w:rtl/>
          <w:lang w:bidi="ar-LB"/>
        </w:rPr>
        <w:t>وأمّاً بناءً على ما يذكره السيد الخوئي من أنّ الإطلاق يختلف عن الماهيّة المهملة، الماهية المطلقة تختلف عن الماهية المهملة، فالماهية المطلقة تت</w:t>
      </w:r>
      <w:r w:rsidR="00A26433" w:rsidRPr="006C7DD3">
        <w:rPr>
          <w:rFonts w:ascii="Lotus Linotype" w:hAnsi="Lotus Linotype" w:cs="Lotus Linotype" w:hint="cs"/>
          <w:sz w:val="28"/>
          <w:szCs w:val="28"/>
          <w:rtl/>
          <w:lang w:bidi="ar-LB"/>
        </w:rPr>
        <w:t>قوّم بلحاظ السريان،</w:t>
      </w:r>
      <w:r w:rsidR="00AD6A57" w:rsidRPr="006C7DD3">
        <w:rPr>
          <w:rFonts w:ascii="Lotus Linotype" w:hAnsi="Lotus Linotype" w:cs="Lotus Linotype" w:hint="cs"/>
          <w:sz w:val="28"/>
          <w:szCs w:val="28"/>
          <w:rtl/>
          <w:lang w:bidi="ar-LB"/>
        </w:rPr>
        <w:t xml:space="preserve"> يقول هذا المستشكل: إذاً يمكن للشارع أن يفرض الحكم على ماهيّةٍ بلا لحاظ سريانها في أفرادها وذلك فيما إذا كان غرض المولى مختصّاً بحصّةٍ من الطبيعة، كما إذا أوجب الجهر في صلاة الصبح على المكلّف فإنّه لا يتمكن من أن يقيّد المكلّف بالمكلّف العالم بوجوب الجهر؛ فإنّ أخذ العلم بالحكم في موضوع الحكم نفسه مستحيل، ولكن قد يكون غرض المولى في إيجاب الجهر مختصّاً بفرض العلم بوجوب الجهر، ولأجل ذلك يأتي المولى بمتمم الجعل الذي يكون منتجاً لنتيجة التقييد، فيقول: إذا أخفت شخصٌ  في موضعٍ ينبغي الجهر فيه وهو لا يدري فقد تمّت صلاته ولا شيء عليه، يقول هذا المستشكل: إذاً المولى يجعل وجوب الجهر في حق المكلّف ولكن لا يلحظ سريان الطبيعة في جميع أفرادها أي لا يلحظ سريان المكلّف بالنسبة إلى المكلّف الجاهل بالحكم، </w:t>
      </w:r>
      <w:r w:rsidR="00692F9A" w:rsidRPr="006C7DD3">
        <w:rPr>
          <w:rFonts w:ascii="Lotus Linotype" w:hAnsi="Lotus Linotype" w:cs="Lotus Linotype" w:hint="cs"/>
          <w:sz w:val="28"/>
          <w:szCs w:val="28"/>
          <w:rtl/>
          <w:lang w:bidi="ar-LB"/>
        </w:rPr>
        <w:t>فإذاً على مسلككم تترتّب هذه الثمرة وإن أنكرتموها، وهذه الثمرة هي أنّه يوجد شقٌّ ثالث بين التقييد الثبوتي والإطلاق الثبوتي، فكلّما امتنع التقييد لا يعني وجوب الإطلاق</w:t>
      </w:r>
      <w:r w:rsidR="00A26433" w:rsidRPr="006C7DD3">
        <w:rPr>
          <w:rFonts w:ascii="Lotus Linotype" w:hAnsi="Lotus Linotype" w:cs="Lotus Linotype" w:hint="cs"/>
          <w:sz w:val="28"/>
          <w:szCs w:val="28"/>
          <w:rtl/>
          <w:lang w:bidi="ar-LB"/>
        </w:rPr>
        <w:t>.</w:t>
      </w:r>
      <w:r w:rsidR="0071667F" w:rsidRPr="006C7DD3">
        <w:rPr>
          <w:rFonts w:ascii="Lotus Linotype" w:hAnsi="Lotus Linotype" w:cs="Lotus Linotype" w:hint="cs"/>
          <w:sz w:val="28"/>
          <w:szCs w:val="28"/>
          <w:rtl/>
          <w:lang w:bidi="ar-LB"/>
        </w:rPr>
        <w:t xml:space="preserve"> </w:t>
      </w:r>
    </w:p>
    <w:p w:rsidR="00C201A5" w:rsidRDefault="0071667F" w:rsidP="00C201A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وهكذا أورد السيد الزنجاني</w:t>
      </w:r>
      <w:r w:rsidR="00A26433">
        <w:rPr>
          <w:rFonts w:ascii="Lotus Linotype" w:hAnsi="Lotus Linotype" w:cs="Lotus Linotype" w:hint="cs"/>
          <w:sz w:val="28"/>
          <w:szCs w:val="28"/>
          <w:rtl/>
          <w:lang w:bidi="ar-LB"/>
        </w:rPr>
        <w:t xml:space="preserve"> </w:t>
      </w:r>
      <w:r w:rsidR="00A26433">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على قول المشهور ومنهم السيد الخوئي</w:t>
      </w:r>
      <w:r w:rsidR="00A26433">
        <w:rPr>
          <w:rFonts w:ascii="Lotus Linotype" w:hAnsi="Lotus Linotype" w:cs="Lotus Linotype" w:hint="cs"/>
          <w:sz w:val="28"/>
          <w:szCs w:val="28"/>
          <w:rtl/>
          <w:lang w:bidi="ar-LB"/>
        </w:rPr>
        <w:t xml:space="preserve"> </w:t>
      </w:r>
      <w:r w:rsidR="006C7DD3">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بامتناع الإهمال </w:t>
      </w:r>
      <w:r w:rsidR="00DF6385">
        <w:rPr>
          <w:rFonts w:ascii="Lotus Linotype" w:hAnsi="Lotus Linotype" w:cs="Lotus Linotype" w:hint="cs"/>
          <w:sz w:val="28"/>
          <w:szCs w:val="28"/>
          <w:rtl/>
          <w:lang w:bidi="ar-LB"/>
        </w:rPr>
        <w:t xml:space="preserve">الثبوتي، فقال: الإنسان حينما يلحظ طبيعةً فلا يعني أنّه لاحظ جميع خصوصياتها؛ فقد يكون غافلاً عن الخصوصيات، فترون أنّه لو نذر شخصٌ أن يصوم إلى اليوم الخامس والعشرين من رجب، لا يلتفت إلى أنّ اليوم الخامس والعشرين داخل </w:t>
      </w:r>
      <w:r w:rsidR="00C201A5">
        <w:rPr>
          <w:rFonts w:ascii="Lotus Linotype" w:hAnsi="Lotus Linotype" w:cs="Lotus Linotype" w:hint="cs"/>
          <w:sz w:val="28"/>
          <w:szCs w:val="28"/>
          <w:rtl/>
          <w:lang w:bidi="ar-LB"/>
        </w:rPr>
        <w:t>في نذره أن يصوم أو خارج عن نذره، فلو سُئل هذا الناذر وقيل له: هل تنوي نذر صوم اليوم الخامس وعشرين من رجب؟ يقول: ما كنت ملتفتاً. أو في العقد المنقطع؛ يحدّد الأجل إلى اليوم العشرين من شهر رجب، أيضاً من ناحية أنّه لم يفكر أول اليوم العشرين أو آخر اليوم العشرين وأيضاً لم يفكر أنّه متى ينتهي اليوم الخامس والعشرون من  رجب؛ بغروب الشمس؟ بزوال الحمرة المشرقية؟ بمنتصف الليل؟ ما يدري؛ لأنّه لم يفكر، لم يلتفت إلى الخصوصيات.</w:t>
      </w:r>
    </w:p>
    <w:p w:rsidR="003D3F0B" w:rsidRDefault="0031127A" w:rsidP="008A21F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[سؤال، وجوابه] إذا هو ملتفتٌ إجمالاً بحيث لو س</w:t>
      </w:r>
      <w:r w:rsidR="003D3F0B">
        <w:rPr>
          <w:rFonts w:ascii="Lotus Linotype" w:hAnsi="Lotus Linotype" w:cs="Lotus Linotype" w:hint="cs"/>
          <w:sz w:val="28"/>
          <w:szCs w:val="28"/>
          <w:rtl/>
          <w:lang w:bidi="ar-LB"/>
        </w:rPr>
        <w:t>ُ</w:t>
      </w:r>
      <w:r>
        <w:rPr>
          <w:rFonts w:ascii="Lotus Linotype" w:hAnsi="Lotus Linotype" w:cs="Lotus Linotype" w:hint="cs"/>
          <w:sz w:val="28"/>
          <w:szCs w:val="28"/>
          <w:rtl/>
          <w:lang w:bidi="ar-LB"/>
        </w:rPr>
        <w:t>ئل لما تردد فكيف ترونه مترددا؟ كلّما يُسئل يقول: ما أدر</w:t>
      </w:r>
      <w:r w:rsidR="003D3F0B">
        <w:rPr>
          <w:rFonts w:ascii="Lotus Linotype" w:hAnsi="Lotus Linotype" w:cs="Lotus Linotype" w:hint="cs"/>
          <w:sz w:val="28"/>
          <w:szCs w:val="28"/>
          <w:rtl/>
          <w:lang w:bidi="ar-LB"/>
        </w:rPr>
        <w:t xml:space="preserve">ي، ليس جوابه إلا قول "لا أدري". </w:t>
      </w:r>
    </w:p>
    <w:p w:rsidR="003D3F0B" w:rsidRPr="00A26433" w:rsidRDefault="003D3F0B" w:rsidP="00A26433">
      <w:pPr>
        <w:jc w:val="center"/>
        <w:rPr>
          <w:rFonts w:ascii="Lotus Linotype" w:hAnsi="Lotus Linotype" w:cs="Lotus Linotype"/>
          <w:b/>
          <w:bCs/>
          <w:sz w:val="28"/>
          <w:szCs w:val="28"/>
          <w:rtl/>
          <w:lang w:bidi="ar-LB"/>
        </w:rPr>
      </w:pPr>
      <w:r w:rsidRPr="00A26433">
        <w:rPr>
          <w:rFonts w:ascii="Lotus Linotype" w:hAnsi="Lotus Linotype" w:cs="Lotus Linotype" w:hint="cs"/>
          <w:b/>
          <w:bCs/>
          <w:color w:val="FF0000"/>
          <w:sz w:val="28"/>
          <w:szCs w:val="28"/>
          <w:rtl/>
          <w:lang w:bidi="ar-LB"/>
        </w:rPr>
        <w:t>[</w:t>
      </w:r>
      <w:r w:rsidR="00A26433" w:rsidRPr="00A26433">
        <w:rPr>
          <w:rFonts w:ascii="Lotus Linotype" w:hAnsi="Lotus Linotype" w:cs="Lotus Linotype" w:hint="cs"/>
          <w:b/>
          <w:bCs/>
          <w:color w:val="FF0000"/>
          <w:sz w:val="28"/>
          <w:szCs w:val="28"/>
          <w:rtl/>
          <w:lang w:bidi="ar-LB"/>
        </w:rPr>
        <w:t>دفع الإشكالين عن مختار السيد الخوئي</w:t>
      </w:r>
      <w:r w:rsidRPr="00A26433">
        <w:rPr>
          <w:rFonts w:ascii="Lotus Linotype" w:hAnsi="Lotus Linotype" w:cs="Lotus Linotype" w:hint="cs"/>
          <w:b/>
          <w:bCs/>
          <w:color w:val="FF0000"/>
          <w:sz w:val="28"/>
          <w:szCs w:val="28"/>
          <w:rtl/>
          <w:lang w:bidi="ar-LB"/>
        </w:rPr>
        <w:t>]</w:t>
      </w:r>
    </w:p>
    <w:p w:rsidR="003D3F0B" w:rsidRPr="00A26433" w:rsidRDefault="003D3F0B" w:rsidP="003D3F0B">
      <w:pPr>
        <w:jc w:val="both"/>
        <w:rPr>
          <w:rFonts w:ascii="Lotus Linotype" w:hAnsi="Lotus Linotype" w:cs="Lotus Linotype"/>
          <w:b/>
          <w:bCs/>
          <w:sz w:val="28"/>
          <w:szCs w:val="28"/>
          <w:rtl/>
          <w:lang w:bidi="ar-LB"/>
        </w:rPr>
      </w:pPr>
      <w:r w:rsidRPr="00A26433">
        <w:rPr>
          <w:rFonts w:ascii="Lotus Linotype" w:hAnsi="Lotus Linotype" w:cs="Lotus Linotype" w:hint="cs"/>
          <w:b/>
          <w:bCs/>
          <w:color w:val="FF0000"/>
          <w:sz w:val="28"/>
          <w:szCs w:val="28"/>
          <w:rtl/>
          <w:lang w:bidi="ar-LB"/>
        </w:rPr>
        <w:t xml:space="preserve">الظاهر: </w:t>
      </w:r>
      <w:r w:rsidRPr="00A26433">
        <w:rPr>
          <w:rFonts w:ascii="Lotus Linotype" w:hAnsi="Lotus Linotype" w:cs="Lotus Linotype" w:hint="cs"/>
          <w:b/>
          <w:bCs/>
          <w:sz w:val="28"/>
          <w:szCs w:val="28"/>
          <w:rtl/>
          <w:lang w:bidi="ar-LB"/>
        </w:rPr>
        <w:t>عدم تماميّة كلا الإشكالي</w:t>
      </w:r>
      <w:r w:rsidR="009E503C" w:rsidRPr="00A26433">
        <w:rPr>
          <w:rFonts w:ascii="Lotus Linotype" w:hAnsi="Lotus Linotype" w:cs="Lotus Linotype" w:hint="cs"/>
          <w:b/>
          <w:bCs/>
          <w:sz w:val="28"/>
          <w:szCs w:val="28"/>
          <w:rtl/>
          <w:lang w:bidi="ar-LB"/>
        </w:rPr>
        <w:t>ن:</w:t>
      </w:r>
    </w:p>
    <w:p w:rsidR="009E503C" w:rsidRPr="008A21F5" w:rsidRDefault="008A21F5" w:rsidP="008A21F5">
      <w:pPr>
        <w:jc w:val="both"/>
        <w:rPr>
          <w:rFonts w:ascii="Lotus Linotype" w:hAnsi="Lotus Linotype" w:cs="Lotus Linotype"/>
          <w:sz w:val="28"/>
          <w:szCs w:val="28"/>
          <w:lang w:bidi="ar-LB"/>
        </w:rPr>
      </w:pPr>
      <w:r>
        <w:rPr>
          <w:rFonts w:ascii="Lotus Linotype" w:hAnsi="Lotus Linotype" w:cs="Lotus Linotype" w:hint="cs"/>
          <w:b/>
          <w:bCs/>
          <w:sz w:val="28"/>
          <w:szCs w:val="28"/>
          <w:rtl/>
          <w:lang w:bidi="ar-LB"/>
        </w:rPr>
        <w:t xml:space="preserve">1. </w:t>
      </w:r>
      <w:r w:rsidR="009E503C" w:rsidRPr="008A21F5">
        <w:rPr>
          <w:rFonts w:ascii="Lotus Linotype" w:hAnsi="Lotus Linotype" w:cs="Lotus Linotype" w:hint="cs"/>
          <w:b/>
          <w:bCs/>
          <w:sz w:val="28"/>
          <w:szCs w:val="28"/>
          <w:rtl/>
          <w:lang w:bidi="ar-LB"/>
        </w:rPr>
        <w:t>أمّا إشكال بعض المعاصرين، فنقول:</w:t>
      </w:r>
      <w:r w:rsidR="009E503C" w:rsidRPr="008A21F5">
        <w:rPr>
          <w:rFonts w:ascii="Lotus Linotype" w:hAnsi="Lotus Linotype" w:cs="Lotus Linotype" w:hint="cs"/>
          <w:sz w:val="28"/>
          <w:szCs w:val="28"/>
          <w:rtl/>
          <w:lang w:bidi="ar-LB"/>
        </w:rPr>
        <w:t xml:space="preserve"> صرّح السيد الخوئي</w:t>
      </w:r>
      <w:r w:rsidR="003D69D5" w:rsidRPr="008A21F5">
        <w:rPr>
          <w:rFonts w:ascii="Lotus Linotype" w:hAnsi="Lotus Linotype" w:cs="Lotus Linotype" w:hint="cs"/>
          <w:sz w:val="28"/>
          <w:szCs w:val="28"/>
          <w:rtl/>
          <w:lang w:bidi="ar-LB"/>
        </w:rPr>
        <w:t xml:space="preserve"> </w:t>
      </w:r>
      <w:r w:rsidR="006C7DD3" w:rsidRPr="008A21F5">
        <w:rPr>
          <w:rFonts w:ascii="Lotus Linotype" w:hAnsi="Lotus Linotype" w:cs="Taher" w:hint="cs"/>
          <w:sz w:val="28"/>
          <w:szCs w:val="28"/>
          <w:rtl/>
          <w:lang w:bidi="ar-LB"/>
        </w:rPr>
        <w:t>رحمه الله</w:t>
      </w:r>
      <w:r w:rsidR="009E503C" w:rsidRPr="008A21F5">
        <w:rPr>
          <w:rFonts w:ascii="Lotus Linotype" w:hAnsi="Lotus Linotype" w:cs="Lotus Linotype" w:hint="cs"/>
          <w:sz w:val="28"/>
          <w:szCs w:val="28"/>
          <w:rtl/>
          <w:lang w:bidi="ar-LB"/>
        </w:rPr>
        <w:t xml:space="preserve"> بأنّ مرادي من الإطلاق هو لحاظ المولى عدم أخذ القيد الزائد في موضوع الجعل، ويقول: هذا المولى الذي يرى أنّ الملاك مختصٌّ في وجوب الجهر بالمكلّف العالم بالوجوب لكنّه يرى امتناع هذا التقييد فهو ملتفتٌ إلى أنّه لم يأخذ هذا القيد الزائد في موضوع الجعل، </w:t>
      </w:r>
      <w:r w:rsidR="007A6B46" w:rsidRPr="008A21F5">
        <w:rPr>
          <w:rFonts w:ascii="Lotus Linotype" w:hAnsi="Lotus Linotype" w:cs="Lotus Linotype" w:hint="cs"/>
          <w:sz w:val="28"/>
          <w:szCs w:val="28"/>
          <w:rtl/>
          <w:lang w:bidi="ar-LB"/>
        </w:rPr>
        <w:t xml:space="preserve">كيف يكون الجاعل حين جعله جاهلاً بكيفية جعله؟! هذا مستحيل، وحينما يعبّر عن الماهية المطلقة بلحاظ السريان يقصد هذا المعنى؛ يقصد أنّه ملتفتٌ إلى أنّ موضوع جعله هو المكلّف وهذا يسري </w:t>
      </w:r>
      <w:r w:rsidR="0011749F" w:rsidRPr="008A21F5">
        <w:rPr>
          <w:rFonts w:ascii="Lotus Linotype" w:hAnsi="Lotus Linotype" w:cs="Lotus Linotype" w:hint="cs"/>
          <w:sz w:val="28"/>
          <w:szCs w:val="28"/>
          <w:rtl/>
          <w:lang w:bidi="ar-LB"/>
        </w:rPr>
        <w:t>إلى جميع أفراده لالتفاته إلى عدم أخذ قيدٍ زائدٍ مع هذه الطبيعة.</w:t>
      </w:r>
    </w:p>
    <w:p w:rsidR="0011749F" w:rsidRPr="008A21F5" w:rsidRDefault="0011749F" w:rsidP="0011749F">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نعم، لو كان مقصود السيد الخوئي</w:t>
      </w:r>
      <w:r w:rsidR="003D69D5" w:rsidRPr="008A21F5">
        <w:rPr>
          <w:rFonts w:ascii="Lotus Linotype" w:hAnsi="Lotus Linotype" w:cs="Lotus Linotype" w:hint="cs"/>
          <w:sz w:val="28"/>
          <w:szCs w:val="28"/>
          <w:rtl/>
          <w:lang w:bidi="ar-LB"/>
        </w:rPr>
        <w:t xml:space="preserve"> </w:t>
      </w:r>
      <w:r w:rsidR="006C7DD3" w:rsidRPr="008A21F5">
        <w:rPr>
          <w:rFonts w:ascii="Lotus Linotype" w:hAnsi="Lotus Linotype" w:cs="Taher" w:hint="cs"/>
          <w:sz w:val="28"/>
          <w:szCs w:val="28"/>
          <w:rtl/>
          <w:lang w:bidi="ar-LB"/>
        </w:rPr>
        <w:t>رحمه الله</w:t>
      </w:r>
      <w:r w:rsidRPr="008A21F5">
        <w:rPr>
          <w:rFonts w:ascii="Lotus Linotype" w:hAnsi="Lotus Linotype" w:cs="Lotus Linotype" w:hint="cs"/>
          <w:sz w:val="28"/>
          <w:szCs w:val="28"/>
          <w:rtl/>
          <w:lang w:bidi="ar-LB"/>
        </w:rPr>
        <w:t xml:space="preserve"> من الماهية المطلقة في مقام الجعل إلتفات المولى ولحاظ المولى عدم دخل القيد الزائد في غرضه، إذا كان هذا هو المقصود فحتى أنتم اللي تعتقدون أنّ التقابل بين الإطلاق والتقييد الثبوتيّين تقابل السلب والإيجاب لازم تلتزمون بأنّه إذا امتنع التقييد لا يجب الإطلاق إذا كان الإطلاق بمعنى لحاظ المولى عدم دخل القيد الزائد في غرضه، أنتم حينما تصلون إلى مبناكم تقولون بأنّ: الإطلاق هو عدم أخذ القيد الزائد في موضوع الجعل في قبال التقييد وهو أخذ القيد الزائد في موضوع الجعل، حينما تصلون إلى مبنى السيد الخوئي الذي يقول بأنّ التقييد هو أخذ قيد زائد في موضوع الجعل والإطلاق لحاظ عدم أخذ القيد الزائد في موضوع الجعل تعترضون عليه؟! تقولون: قد لا يلحظ المولى عدم دخل القيد الزائد في غرضه! فلا معنى له.</w:t>
      </w:r>
    </w:p>
    <w:p w:rsidR="00275B18" w:rsidRPr="008A21F5" w:rsidRDefault="00275B18" w:rsidP="003D69D5">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نعم، ذكرنا أنّ النزاع بين السيد الخوئي والشيخ النائيني</w:t>
      </w:r>
      <w:r w:rsidR="003D69D5" w:rsidRPr="008A21F5">
        <w:rPr>
          <w:rFonts w:ascii="Lotus Linotype" w:hAnsi="Lotus Linotype" w:cs="Lotus Linotype" w:hint="cs"/>
          <w:sz w:val="28"/>
          <w:szCs w:val="28"/>
          <w:rtl/>
          <w:lang w:bidi="ar-LB"/>
        </w:rPr>
        <w:t xml:space="preserve"> </w:t>
      </w:r>
      <w:r w:rsidRPr="008A21F5">
        <w:rPr>
          <w:rFonts w:ascii="Lotus Linotype" w:hAnsi="Lotus Linotype" w:cs="Lotus Linotype" w:hint="cs"/>
          <w:sz w:val="28"/>
          <w:szCs w:val="28"/>
          <w:rtl/>
          <w:lang w:bidi="ar-LB"/>
        </w:rPr>
        <w:t xml:space="preserve"> حيث يقول الشيخ النائيني</w:t>
      </w:r>
      <w:r w:rsidR="003D69D5" w:rsidRPr="008A21F5">
        <w:rPr>
          <w:rFonts w:ascii="Lotus Linotype" w:hAnsi="Lotus Linotype" w:cs="Lotus Linotype" w:hint="cs"/>
          <w:sz w:val="28"/>
          <w:szCs w:val="28"/>
          <w:rtl/>
          <w:lang w:bidi="ar-LB"/>
        </w:rPr>
        <w:t xml:space="preserve"> </w:t>
      </w:r>
      <w:r w:rsidR="008A21F5">
        <w:rPr>
          <w:rFonts w:ascii="Lotus Linotype" w:hAnsi="Lotus Linotype" w:cs="Taher" w:hint="cs"/>
          <w:sz w:val="28"/>
          <w:szCs w:val="28"/>
          <w:rtl/>
          <w:lang w:bidi="ar-LB"/>
        </w:rPr>
        <w:t>قدس سره</w:t>
      </w:r>
      <w:r w:rsidRPr="008A21F5">
        <w:rPr>
          <w:rFonts w:ascii="Lotus Linotype" w:hAnsi="Lotus Linotype" w:cs="Lotus Linotype" w:hint="cs"/>
          <w:sz w:val="28"/>
          <w:szCs w:val="28"/>
          <w:rtl/>
          <w:lang w:bidi="ar-LB"/>
        </w:rPr>
        <w:t xml:space="preserve"> بأنّ امتناع التقييد يوجب امتناع الإطلاق الثبوتي ويجب الإهمال، لعلّ مقصود النائيني</w:t>
      </w:r>
      <w:r w:rsidR="003D69D5" w:rsidRPr="008A21F5">
        <w:rPr>
          <w:rFonts w:ascii="Lotus Linotype" w:hAnsi="Lotus Linotype" w:cs="Lotus Linotype" w:hint="cs"/>
          <w:sz w:val="28"/>
          <w:szCs w:val="28"/>
          <w:rtl/>
          <w:lang w:bidi="ar-LB"/>
        </w:rPr>
        <w:t xml:space="preserve"> </w:t>
      </w:r>
      <w:r w:rsidR="008A21F5">
        <w:rPr>
          <w:rFonts w:ascii="Lotus Linotype" w:hAnsi="Lotus Linotype" w:cs="Taher" w:hint="cs"/>
          <w:sz w:val="28"/>
          <w:szCs w:val="28"/>
          <w:rtl/>
          <w:lang w:bidi="ar-LB"/>
        </w:rPr>
        <w:t>قدس سره</w:t>
      </w:r>
      <w:r w:rsidRPr="008A21F5">
        <w:rPr>
          <w:rFonts w:ascii="Lotus Linotype" w:hAnsi="Lotus Linotype" w:cs="Lotus Linotype" w:hint="cs"/>
          <w:sz w:val="28"/>
          <w:szCs w:val="28"/>
          <w:rtl/>
          <w:lang w:bidi="ar-LB"/>
        </w:rPr>
        <w:t xml:space="preserve"> ا</w:t>
      </w:r>
      <w:r w:rsidR="00B330B4" w:rsidRPr="008A21F5">
        <w:rPr>
          <w:rFonts w:ascii="Lotus Linotype" w:hAnsi="Lotus Linotype" w:cs="Lotus Linotype" w:hint="cs"/>
          <w:sz w:val="28"/>
          <w:szCs w:val="28"/>
          <w:rtl/>
          <w:lang w:bidi="ar-LB"/>
        </w:rPr>
        <w:t>لإهمال بلحاظ الكشف عن سعة الغرض، وهذا ممّا لا ينبغي أن ينكره السيد الخوئي</w:t>
      </w:r>
      <w:r w:rsidR="003D69D5" w:rsidRPr="008A21F5">
        <w:rPr>
          <w:rFonts w:ascii="Lotus Linotype" w:hAnsi="Lotus Linotype" w:cs="Lotus Linotype" w:hint="cs"/>
          <w:sz w:val="28"/>
          <w:szCs w:val="28"/>
          <w:rtl/>
          <w:lang w:bidi="ar-LB"/>
        </w:rPr>
        <w:t xml:space="preserve"> </w:t>
      </w:r>
      <w:r w:rsidR="006C7DD3" w:rsidRPr="008A21F5">
        <w:rPr>
          <w:rFonts w:ascii="Lotus Linotype" w:hAnsi="Lotus Linotype" w:cs="Taher" w:hint="cs"/>
          <w:sz w:val="28"/>
          <w:szCs w:val="28"/>
          <w:rtl/>
          <w:lang w:bidi="ar-LB"/>
        </w:rPr>
        <w:t>رحمه الله</w:t>
      </w:r>
      <w:r w:rsidR="00B330B4" w:rsidRPr="008A21F5">
        <w:rPr>
          <w:rFonts w:ascii="Lotus Linotype" w:hAnsi="Lotus Linotype" w:cs="Lotus Linotype" w:hint="cs"/>
          <w:sz w:val="28"/>
          <w:szCs w:val="28"/>
          <w:rtl/>
          <w:lang w:bidi="ar-LB"/>
        </w:rPr>
        <w:t>، وحينما يقول السيد الخوئي</w:t>
      </w:r>
      <w:r w:rsidR="003D69D5" w:rsidRPr="008A21F5">
        <w:rPr>
          <w:rFonts w:ascii="Lotus Linotype" w:hAnsi="Lotus Linotype" w:cs="Lotus Linotype" w:hint="cs"/>
          <w:sz w:val="28"/>
          <w:szCs w:val="28"/>
          <w:rtl/>
          <w:lang w:bidi="ar-LB"/>
        </w:rPr>
        <w:t xml:space="preserve"> </w:t>
      </w:r>
      <w:r w:rsidR="006C7DD3" w:rsidRPr="008A21F5">
        <w:rPr>
          <w:rFonts w:ascii="Lotus Linotype" w:hAnsi="Lotus Linotype" w:cs="Taher" w:hint="cs"/>
          <w:sz w:val="28"/>
          <w:szCs w:val="28"/>
          <w:rtl/>
          <w:lang w:bidi="ar-LB"/>
        </w:rPr>
        <w:t>رحمه الله</w:t>
      </w:r>
      <w:r w:rsidR="00B330B4" w:rsidRPr="008A21F5">
        <w:rPr>
          <w:rFonts w:ascii="Lotus Linotype" w:hAnsi="Lotus Linotype" w:cs="Lotus Linotype" w:hint="cs"/>
          <w:sz w:val="28"/>
          <w:szCs w:val="28"/>
          <w:rtl/>
          <w:lang w:bidi="ar-LB"/>
        </w:rPr>
        <w:t xml:space="preserve"> بأنّ امتناع التقييد يوجب ضرورة الإطلاق يعني التفات المولى إلى عدم أخذ القيد الزائد في موضوع جعله وإن كان دخيلاً في غرضه، وهذا مما لا ينبغي أن ينكره الشيخ النائيني</w:t>
      </w:r>
      <w:r w:rsidR="003D69D5" w:rsidRPr="008A21F5">
        <w:rPr>
          <w:rFonts w:ascii="Lotus Linotype" w:hAnsi="Lotus Linotype" w:cs="Lotus Linotype" w:hint="cs"/>
          <w:sz w:val="28"/>
          <w:szCs w:val="28"/>
          <w:rtl/>
          <w:lang w:bidi="ar-LB"/>
        </w:rPr>
        <w:t xml:space="preserve"> </w:t>
      </w:r>
      <w:r w:rsidR="008A21F5">
        <w:rPr>
          <w:rFonts w:ascii="Lotus Linotype" w:hAnsi="Lotus Linotype" w:cs="Taher" w:hint="cs"/>
          <w:sz w:val="28"/>
          <w:szCs w:val="28"/>
          <w:rtl/>
          <w:lang w:bidi="ar-LB"/>
        </w:rPr>
        <w:t>قدس سره</w:t>
      </w:r>
      <w:r w:rsidR="00B330B4" w:rsidRPr="008A21F5">
        <w:rPr>
          <w:rFonts w:ascii="Lotus Linotype" w:hAnsi="Lotus Linotype" w:cs="Lotus Linotype" w:hint="cs"/>
          <w:sz w:val="28"/>
          <w:szCs w:val="28"/>
          <w:rtl/>
          <w:lang w:bidi="ar-LB"/>
        </w:rPr>
        <w:t>.</w:t>
      </w:r>
    </w:p>
    <w:p w:rsidR="00E37D1D" w:rsidRPr="008A21F5" w:rsidRDefault="008A21F5" w:rsidP="008A21F5">
      <w:pPr>
        <w:jc w:val="both"/>
        <w:rPr>
          <w:rFonts w:ascii="Lotus Linotype" w:hAnsi="Lotus Linotype" w:cs="Lotus Linotype"/>
          <w:b/>
          <w:bCs/>
          <w:sz w:val="28"/>
          <w:szCs w:val="28"/>
          <w:rtl/>
          <w:lang w:bidi="ar-LB"/>
        </w:rPr>
      </w:pPr>
      <w:r>
        <w:rPr>
          <w:rFonts w:ascii="Lotus Linotype" w:hAnsi="Lotus Linotype" w:cs="Lotus Linotype" w:hint="cs"/>
          <w:b/>
          <w:bCs/>
          <w:sz w:val="28"/>
          <w:szCs w:val="28"/>
          <w:rtl/>
          <w:lang w:bidi="ar-LB"/>
        </w:rPr>
        <w:t xml:space="preserve">2. </w:t>
      </w:r>
      <w:r w:rsidR="00E37D1D" w:rsidRPr="008A21F5">
        <w:rPr>
          <w:rFonts w:ascii="Lotus Linotype" w:hAnsi="Lotus Linotype" w:cs="Lotus Linotype" w:hint="cs"/>
          <w:b/>
          <w:bCs/>
          <w:sz w:val="28"/>
          <w:szCs w:val="28"/>
          <w:rtl/>
          <w:lang w:bidi="ar-LB"/>
        </w:rPr>
        <w:t>وأمّا كلام السيد الزنجاني</w:t>
      </w:r>
      <w:r w:rsidR="003D69D5" w:rsidRPr="008A21F5">
        <w:rPr>
          <w:rFonts w:ascii="Lotus Linotype" w:hAnsi="Lotus Linotype" w:cs="Lotus Linotype" w:hint="cs"/>
          <w:b/>
          <w:bCs/>
          <w:sz w:val="28"/>
          <w:szCs w:val="28"/>
          <w:rtl/>
          <w:lang w:bidi="ar-LB"/>
        </w:rPr>
        <w:t xml:space="preserve"> </w:t>
      </w:r>
      <w:r w:rsidR="003D69D5" w:rsidRPr="008A21F5">
        <w:rPr>
          <w:rFonts w:ascii="Lotus Linotype" w:hAnsi="Lotus Linotype" w:cs="Taher" w:hint="cs"/>
          <w:b/>
          <w:bCs/>
          <w:sz w:val="28"/>
          <w:szCs w:val="28"/>
          <w:rtl/>
          <w:lang w:bidi="ar-LB"/>
        </w:rPr>
        <w:t>'</w:t>
      </w:r>
      <w:r w:rsidR="00E37D1D" w:rsidRPr="008A21F5">
        <w:rPr>
          <w:rFonts w:ascii="Lotus Linotype" w:hAnsi="Lotus Linotype" w:cs="Lotus Linotype" w:hint="cs"/>
          <w:b/>
          <w:bCs/>
          <w:sz w:val="28"/>
          <w:szCs w:val="28"/>
          <w:rtl/>
          <w:lang w:bidi="ar-LB"/>
        </w:rPr>
        <w:t>:</w:t>
      </w:r>
    </w:p>
    <w:p w:rsidR="00E309DC" w:rsidRPr="008A21F5" w:rsidRDefault="00E37D1D" w:rsidP="0011749F">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أقول:</w:t>
      </w:r>
      <w:r w:rsidR="00601D19" w:rsidRPr="008A21F5">
        <w:rPr>
          <w:rFonts w:ascii="Lotus Linotype" w:hAnsi="Lotus Linotype" w:cs="Lotus Linotype" w:hint="cs"/>
          <w:sz w:val="28"/>
          <w:szCs w:val="28"/>
          <w:rtl/>
          <w:lang w:bidi="ar-LB"/>
        </w:rPr>
        <w:t xml:space="preserve"> هذا المثال اللي ذكرتم أنّ الناذر قد يكون غافلاً عن الخصوصيات، قد يكون الملحوظ في ذهنه من الطبيعة الحصّة الواجدة للقيد، فحينما يقول: لله عليّ أن لا آكل اللحم إمّا لكونه مضرّاً بالبدن أو مضرّاً بالمال لغلائه، يقول: أنا ما كنت أتصور أنّه يوجد لحمٌ غير اللحم الأحمر، آكل لحم رخيص وأنا ما كنت أتصور أنّ اللحم ينقسم إلى لحمٍ أحمر ولحمٍ أصفر مثلاً، أحضروا لحماً أصفر وقالوا: هذا حلال وإن كان مكروه. هذا يعني أنّه لاحظ من خلال الطبيعة الحصّة وهذا هو الذي يسميّه السيد السيستاني بالتقييد الذاتي؛ "لله عليّ أن لا أشرب الحليب" جاؤوا بحليب </w:t>
      </w:r>
      <w:r w:rsidR="00601D19" w:rsidRPr="008A21F5">
        <w:rPr>
          <w:rFonts w:ascii="Times New Roman" w:hAnsi="Times New Roman" w:cs="Times New Roman" w:hint="cs"/>
          <w:sz w:val="28"/>
          <w:szCs w:val="28"/>
          <w:rtl/>
          <w:lang w:bidi="ar-LB"/>
        </w:rPr>
        <w:t>–</w:t>
      </w:r>
      <w:r w:rsidR="00601D19" w:rsidRPr="008A21F5">
        <w:rPr>
          <w:rFonts w:ascii="Lotus Linotype" w:hAnsi="Lotus Linotype" w:cs="Lotus Linotype" w:hint="cs"/>
          <w:sz w:val="28"/>
          <w:szCs w:val="28"/>
          <w:rtl/>
          <w:lang w:bidi="ar-LB"/>
        </w:rPr>
        <w:t xml:space="preserve">كرمكم الله- الحمار وقالوا: ما تدري كم هو مفيد لقوة الذاكرة مثلاً، </w:t>
      </w:r>
      <w:r w:rsidR="008400A5" w:rsidRPr="008A21F5">
        <w:rPr>
          <w:rFonts w:ascii="Lotus Linotype" w:hAnsi="Lotus Linotype" w:cs="Lotus Linotype" w:hint="cs"/>
          <w:sz w:val="28"/>
          <w:szCs w:val="28"/>
          <w:rtl/>
          <w:lang w:bidi="ar-LB"/>
        </w:rPr>
        <w:t>هو يقول: حينما أنا نذرت أنا لا أشرب الحليب أنا ما كنت أتصور من الحليب إلا حليب البقر، حليب الماعز، فلا إشكال؛ هذا يوجب الإنصراف وأمّا حينما يقول: أنا متردد، ما فكرت، هذا يعني أنّ الحصّة الفاقدة لهذا القيد الذي لم يفكّر فيه خارجٌ عن متعلّق نذره،</w:t>
      </w:r>
      <w:r w:rsidR="00240F38" w:rsidRPr="008A21F5">
        <w:rPr>
          <w:rFonts w:ascii="Lotus Linotype" w:hAnsi="Lotus Linotype" w:cs="Lotus Linotype" w:hint="cs"/>
          <w:sz w:val="28"/>
          <w:szCs w:val="28"/>
          <w:rtl/>
          <w:lang w:bidi="ar-LB"/>
        </w:rPr>
        <w:t xml:space="preserve"> "لله عليّ أن أصوم إلى اليوم الخامس والعشرين"</w:t>
      </w:r>
      <w:r w:rsidR="00E309DC" w:rsidRPr="008A21F5">
        <w:rPr>
          <w:rFonts w:ascii="Lotus Linotype" w:hAnsi="Lotus Linotype" w:cs="Lotus Linotype" w:hint="cs"/>
          <w:sz w:val="28"/>
          <w:szCs w:val="28"/>
          <w:rtl/>
          <w:lang w:bidi="ar-LB"/>
        </w:rPr>
        <w:t>:</w:t>
      </w:r>
    </w:p>
    <w:p w:rsidR="00E309DC" w:rsidRPr="008A21F5" w:rsidRDefault="008A21F5" w:rsidP="008A21F5">
      <w:pPr>
        <w:jc w:val="both"/>
        <w:rPr>
          <w:rFonts w:ascii="Lotus Linotype" w:hAnsi="Lotus Linotype" w:cs="Lotus Linotype"/>
          <w:sz w:val="28"/>
          <w:szCs w:val="28"/>
          <w:lang w:bidi="ar-LB"/>
        </w:rPr>
      </w:pPr>
      <w:r>
        <w:rPr>
          <w:rFonts w:ascii="Lotus Linotype" w:hAnsi="Lotus Linotype" w:cs="Lotus Linotype" w:hint="cs"/>
          <w:sz w:val="28"/>
          <w:szCs w:val="28"/>
          <w:rtl/>
          <w:lang w:bidi="ar-LB"/>
        </w:rPr>
        <w:t>-</w:t>
      </w:r>
      <w:r w:rsidR="00240F38" w:rsidRPr="008A21F5">
        <w:rPr>
          <w:rFonts w:ascii="Lotus Linotype" w:hAnsi="Lotus Linotype" w:cs="Lotus Linotype" w:hint="cs"/>
          <w:sz w:val="28"/>
          <w:szCs w:val="28"/>
          <w:rtl/>
          <w:lang w:bidi="ar-LB"/>
        </w:rPr>
        <w:t xml:space="preserve"> إمّا أنّ العرف يحدّد، يقول: الغاية داخلةٌ في المغيي عرفاًً، هذا يقول: أنا قصدي هو ما يكون ظاهر عرفاً من هذا اللفظ فلا إشكال. </w:t>
      </w:r>
    </w:p>
    <w:p w:rsidR="00E309DC" w:rsidRPr="008A21F5" w:rsidRDefault="008A21F5" w:rsidP="008A21F5">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240F38" w:rsidRPr="008A21F5">
        <w:rPr>
          <w:rFonts w:ascii="Lotus Linotype" w:hAnsi="Lotus Linotype" w:cs="Lotus Linotype" w:hint="cs"/>
          <w:sz w:val="28"/>
          <w:szCs w:val="28"/>
          <w:rtl/>
          <w:lang w:bidi="ar-LB"/>
        </w:rPr>
        <w:t>وإذا كان العرف يتحيّر في تشخيص أنّ الغاية داخلةٌ في المغي</w:t>
      </w:r>
      <w:r w:rsidR="00E309DC" w:rsidRPr="008A21F5">
        <w:rPr>
          <w:rFonts w:ascii="Lotus Linotype" w:hAnsi="Lotus Linotype" w:cs="Lotus Linotype" w:hint="cs"/>
          <w:sz w:val="28"/>
          <w:szCs w:val="28"/>
          <w:rtl/>
          <w:lang w:bidi="ar-LB"/>
        </w:rPr>
        <w:t>ّى أو خارجةٌ عنه؟</w:t>
      </w:r>
    </w:p>
    <w:p w:rsidR="00E309DC" w:rsidRPr="008A21F5" w:rsidRDefault="00E309DC" w:rsidP="008A21F5">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فهذا يعني أنّه لم ينذر، الواقع ما يمكن أن يكون بلا تعيّن، إمّا ناذر وإما غير ناذر، الإهمال الثبوتي مثلما نقول: هذا الشيء لا موجود ولا معدوم، متردد، أنا متردد لا إشكال أمّا عالم الواقع فيه تردد واقعي وعدم لا يمكن، غير معقول، هذا ناذرٌ أو غير ناذر، ناذر فيدخل اليوم الخامس والعشرون في متعلّق النذر وإلا فليس ناذراً، فأين الإهمال؟</w:t>
      </w:r>
    </w:p>
    <w:p w:rsidR="00E37D1D" w:rsidRPr="008A21F5" w:rsidRDefault="00831FE1" w:rsidP="00831FE1">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نعم، لو كان يلتفت إلى الخصوصيات لكان قد يوسّع في نذره، لو كان يطلق نذره إطلاقاً لحاظياً أو يقيّد نذره تقييدا لحاظياً وأما الآن الذي هو ليس بملتفتٍ إلى الخصوصيّات فحينما ينذر هو ليس العنوان الذي نذره واقعٌ عرفيّ معيّن فهذا أنّه لم يتعيّن النذر بالزائد إذ لا يمكن أن نقول: لا نذره ولا لم ينذره.</w:t>
      </w:r>
    </w:p>
    <w:p w:rsidR="00407931" w:rsidRPr="008A21F5" w:rsidRDefault="00EA244B" w:rsidP="00407931">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 xml:space="preserve">وهذا مع أنّ كون الإهمال الثبوتي غير معقول، </w:t>
      </w:r>
      <w:r w:rsidR="00407931" w:rsidRPr="008A21F5">
        <w:rPr>
          <w:rFonts w:ascii="Lotus Linotype" w:hAnsi="Lotus Linotype" w:cs="Lotus Linotype" w:hint="cs"/>
          <w:sz w:val="28"/>
          <w:szCs w:val="28"/>
          <w:rtl/>
          <w:lang w:bidi="ar-LB"/>
        </w:rPr>
        <w:t>نعم بلحاظ أنّ المولى قد لا يلتفت إلى وجدان الطبيعة المطلقة للملاك أو اختصاص الملاك بحصّةٍ من الطبيعة هذا طبيعي، قد لا يتصوّر المولى العرفي سعّة الملاك وضيقه، ولكن في مقام الجعل أو في مقام النذر لا يمكن الإهمال، إمّا ناذر أو ليس ناذراً، إمّا جاعل للوجوب أو غير جاعلٍ للوجوب ولا معنى للإهمال فيه.</w:t>
      </w:r>
    </w:p>
    <w:p w:rsidR="003D69D5" w:rsidRPr="003D69D5" w:rsidRDefault="003D69D5" w:rsidP="003D69D5">
      <w:pPr>
        <w:pStyle w:val="ListParagraph"/>
        <w:jc w:val="center"/>
        <w:rPr>
          <w:rFonts w:ascii="Lotus Linotype" w:hAnsi="Lotus Linotype" w:cs="Lotus Linotype"/>
          <w:b/>
          <w:bCs/>
          <w:color w:val="FF0000"/>
          <w:sz w:val="32"/>
          <w:szCs w:val="32"/>
          <w:rtl/>
          <w:lang w:bidi="ar-LB"/>
        </w:rPr>
      </w:pPr>
      <w:r w:rsidRPr="003D69D5">
        <w:rPr>
          <w:rFonts w:ascii="Lotus Linotype" w:hAnsi="Lotus Linotype" w:cs="Lotus Linotype" w:hint="cs"/>
          <w:b/>
          <w:bCs/>
          <w:color w:val="FF0000"/>
          <w:sz w:val="32"/>
          <w:szCs w:val="32"/>
          <w:rtl/>
          <w:lang w:bidi="ar-LB"/>
        </w:rPr>
        <w:t>[ثمرة النزاع]</w:t>
      </w:r>
    </w:p>
    <w:p w:rsidR="00EA244B" w:rsidRPr="008A21F5" w:rsidRDefault="00407931" w:rsidP="00407931">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هذا ما كان ينبغي التعرّض إليه ولكن نعود إلى البحث عن الثمرة المهمّة بين القول بالتقابل بين الإطلاق والتقييد الثبوتيين تقابل التضاد وبين القول بكون التقابل بينهما تقابل السلب والإيجاب:</w:t>
      </w:r>
    </w:p>
    <w:p w:rsidR="00407931" w:rsidRPr="008A21F5" w:rsidRDefault="00407931" w:rsidP="00407931">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أنا ألفت نظركم إلى مطلبٍ</w:t>
      </w:r>
      <w:r w:rsidR="00BF7CB5" w:rsidRPr="008A21F5">
        <w:rPr>
          <w:rFonts w:ascii="Lotus Linotype" w:hAnsi="Lotus Linotype" w:cs="Lotus Linotype" w:hint="cs"/>
          <w:sz w:val="28"/>
          <w:szCs w:val="28"/>
          <w:rtl/>
          <w:lang w:bidi="ar-LB"/>
        </w:rPr>
        <w:t xml:space="preserve"> اعتبروه كإشكال على كلام السيد السيستاني</w:t>
      </w:r>
      <w:r w:rsidR="003D69D5" w:rsidRPr="008A21F5">
        <w:rPr>
          <w:rFonts w:ascii="Lotus Linotype" w:hAnsi="Lotus Linotype" w:cs="Lotus Linotype" w:hint="cs"/>
          <w:sz w:val="28"/>
          <w:szCs w:val="28"/>
          <w:rtl/>
          <w:lang w:bidi="ar-LB"/>
        </w:rPr>
        <w:t xml:space="preserve"> </w:t>
      </w:r>
      <w:r w:rsidR="003D69D5" w:rsidRPr="008A21F5">
        <w:rPr>
          <w:rFonts w:ascii="Lotus Linotype" w:hAnsi="Lotus Linotype" w:cs="Taher" w:hint="cs"/>
          <w:sz w:val="28"/>
          <w:szCs w:val="28"/>
          <w:rtl/>
          <w:lang w:bidi="ar-LB"/>
        </w:rPr>
        <w:t>'</w:t>
      </w:r>
      <w:r w:rsidR="00BF7CB5" w:rsidRPr="008A21F5">
        <w:rPr>
          <w:rFonts w:ascii="Lotus Linotype" w:hAnsi="Lotus Linotype" w:cs="Lotus Linotype" w:hint="cs"/>
          <w:sz w:val="28"/>
          <w:szCs w:val="28"/>
          <w:rtl/>
          <w:lang w:bidi="ar-LB"/>
        </w:rPr>
        <w:t>:</w:t>
      </w:r>
    </w:p>
    <w:p w:rsidR="00BF7CB5" w:rsidRPr="008A21F5" w:rsidRDefault="00BF7CB5" w:rsidP="00BF7CB5">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السيد السيستاني</w:t>
      </w:r>
      <w:r w:rsidR="003D69D5" w:rsidRPr="008A21F5">
        <w:rPr>
          <w:rFonts w:ascii="Lotus Linotype" w:hAnsi="Lotus Linotype" w:cs="Lotus Linotype" w:hint="cs"/>
          <w:sz w:val="28"/>
          <w:szCs w:val="28"/>
          <w:rtl/>
          <w:lang w:bidi="ar-LB"/>
        </w:rPr>
        <w:t xml:space="preserve"> </w:t>
      </w:r>
      <w:r w:rsidR="003D69D5" w:rsidRPr="008A21F5">
        <w:rPr>
          <w:rFonts w:ascii="Lotus Linotype" w:hAnsi="Lotus Linotype" w:cs="Taher" w:hint="cs"/>
          <w:sz w:val="28"/>
          <w:szCs w:val="28"/>
          <w:rtl/>
          <w:lang w:bidi="ar-LB"/>
        </w:rPr>
        <w:t>=</w:t>
      </w:r>
      <w:r w:rsidRPr="008A21F5">
        <w:rPr>
          <w:rFonts w:ascii="Lotus Linotype" w:hAnsi="Lotus Linotype" w:cs="Lotus Linotype" w:hint="cs"/>
          <w:sz w:val="28"/>
          <w:szCs w:val="28"/>
          <w:rtl/>
          <w:lang w:bidi="ar-LB"/>
        </w:rPr>
        <w:t xml:space="preserve"> قال: استصحاب عدم التقييد لا يثبت الإطلاق بناءً على مسلكنا من كون التقابل بين الإطلاق والتقييد تقابل العدم والملكة كما لا يمكن بناءً على مسلك التضادّ أن يثبت باستصحاب عدم التقييد الإطلاق؛ لكونه من إثبات ضدٍّ باستصحاب عدم ضدّه، وإنّما يمكن  إثبات الإطلاق باستصحاب عدم التقييد بناءً على تقابل السلب والإيحاب.</w:t>
      </w:r>
    </w:p>
    <w:p w:rsidR="00BF7CB5" w:rsidRPr="008A21F5" w:rsidRDefault="00BF7CB5" w:rsidP="00407931">
      <w:pPr>
        <w:jc w:val="both"/>
        <w:rPr>
          <w:rFonts w:ascii="Lotus Linotype" w:hAnsi="Lotus Linotype" w:cs="Lotus Linotype"/>
          <w:sz w:val="28"/>
          <w:szCs w:val="28"/>
          <w:rtl/>
          <w:lang w:bidi="ar-LB"/>
        </w:rPr>
      </w:pPr>
      <w:r w:rsidRPr="008A21F5">
        <w:rPr>
          <w:rFonts w:ascii="Lotus Linotype" w:hAnsi="Lotus Linotype" w:cs="Lotus Linotype" w:hint="cs"/>
          <w:sz w:val="28"/>
          <w:szCs w:val="28"/>
          <w:rtl/>
          <w:lang w:bidi="ar-LB"/>
        </w:rPr>
        <w:t xml:space="preserve">أنا أقول: يا سيدنا الله يحفظك: إنّما يكون إثبات عدم الملكة </w:t>
      </w:r>
      <w:r w:rsidRPr="008A21F5">
        <w:rPr>
          <w:rFonts w:ascii="Times New Roman" w:hAnsi="Times New Roman" w:cs="Times New Roman" w:hint="cs"/>
          <w:sz w:val="28"/>
          <w:szCs w:val="28"/>
          <w:rtl/>
          <w:lang w:bidi="ar-LB"/>
        </w:rPr>
        <w:t>–</w:t>
      </w:r>
      <w:r w:rsidRPr="008A21F5">
        <w:rPr>
          <w:rFonts w:ascii="Lotus Linotype" w:hAnsi="Lotus Linotype" w:cs="Lotus Linotype" w:hint="cs"/>
          <w:sz w:val="28"/>
          <w:szCs w:val="28"/>
          <w:rtl/>
          <w:lang w:bidi="ar-LB"/>
        </w:rPr>
        <w:t xml:space="preserve">كالعمى- باستصحاب عدم البصر أصلاً مثبتاً فيما إذا كان لعنوان عدم الملكة موضوعيّة كما لو أمر الشارع بأخذ يد الأعمى </w:t>
      </w:r>
      <w:r w:rsidRPr="008A21F5">
        <w:rPr>
          <w:rFonts w:ascii="Lotus Linotype" w:hAnsi="Lotus Linotype" w:cs="Cambria" w:hint="cs"/>
          <w:sz w:val="28"/>
          <w:szCs w:val="28"/>
          <w:rtl/>
          <w:lang w:bidi="ar-LB"/>
        </w:rPr>
        <w:t>"</w:t>
      </w:r>
      <w:r w:rsidRPr="008A21F5">
        <w:rPr>
          <w:rFonts w:ascii="Lotus Linotype" w:hAnsi="Lotus Linotype" w:cs="Sakkal Majalla" w:hint="cs"/>
          <w:sz w:val="28"/>
          <w:szCs w:val="28"/>
          <w:rtl/>
          <w:lang w:bidi="ar-LB"/>
        </w:rPr>
        <w:t xml:space="preserve">خذ بيد الأعمى" </w:t>
      </w:r>
      <w:r w:rsidRPr="008A21F5">
        <w:rPr>
          <w:rFonts w:ascii="Lotus Linotype" w:hAnsi="Lotus Linotype" w:cs="Lotus Linotype" w:hint="cs"/>
          <w:sz w:val="28"/>
          <w:szCs w:val="28"/>
          <w:rtl/>
          <w:lang w:bidi="ar-LB"/>
        </w:rPr>
        <w:t>هذا قبل أن يولد، بداية انعقاد نطفته لم يكن له بصر، فنستصحب عدم البصر له ونضمّ ذلك إلى إحراز كونه فعلاً قابل</w:t>
      </w:r>
      <w:r w:rsidR="00887F95" w:rsidRPr="008A21F5">
        <w:rPr>
          <w:rFonts w:ascii="Lotus Linotype" w:hAnsi="Lotus Linotype" w:cs="Lotus Linotype" w:hint="cs"/>
          <w:sz w:val="28"/>
          <w:szCs w:val="28"/>
          <w:rtl/>
          <w:lang w:bidi="ar-LB"/>
        </w:rPr>
        <w:t>اً للبصر فنثبت بذلك أنّه أعمى</w:t>
      </w:r>
      <w:r w:rsidRPr="008A21F5">
        <w:rPr>
          <w:rFonts w:ascii="Lotus Linotype" w:hAnsi="Lotus Linotype" w:cs="Lotus Linotype" w:hint="cs"/>
          <w:sz w:val="28"/>
          <w:szCs w:val="28"/>
          <w:rtl/>
          <w:lang w:bidi="ar-LB"/>
        </w:rPr>
        <w:t xml:space="preserve"> يكون أصل مثبت، وما دام لم نثبت أنّ</w:t>
      </w:r>
      <w:r w:rsidR="00887F95" w:rsidRPr="008A21F5">
        <w:rPr>
          <w:rFonts w:ascii="Lotus Linotype" w:hAnsi="Lotus Linotype" w:cs="Lotus Linotype" w:hint="cs"/>
          <w:sz w:val="28"/>
          <w:szCs w:val="28"/>
          <w:rtl/>
          <w:lang w:bidi="ar-LB"/>
        </w:rPr>
        <w:t>ه أعمى كيف نرتّب عليه أثر الأعمى</w:t>
      </w:r>
      <w:r w:rsidR="005407AF" w:rsidRPr="008A21F5">
        <w:rPr>
          <w:rFonts w:ascii="Lotus Linotype" w:hAnsi="Lotus Linotype" w:cs="Lotus Linotype" w:hint="cs"/>
          <w:sz w:val="28"/>
          <w:szCs w:val="28"/>
          <w:rtl/>
          <w:lang w:bidi="ar-LB"/>
        </w:rPr>
        <w:t>،</w:t>
      </w:r>
      <w:r w:rsidRPr="008A21F5">
        <w:rPr>
          <w:rFonts w:ascii="Lotus Linotype" w:hAnsi="Lotus Linotype" w:cs="Lotus Linotype" w:hint="cs"/>
          <w:sz w:val="28"/>
          <w:szCs w:val="28"/>
          <w:rtl/>
          <w:lang w:bidi="ar-LB"/>
        </w:rPr>
        <w:t xml:space="preserve"> صحيح. </w:t>
      </w:r>
    </w:p>
    <w:p w:rsidR="00BF7CB5" w:rsidRPr="0021210B" w:rsidRDefault="00BF7CB5" w:rsidP="00407931">
      <w:pPr>
        <w:jc w:val="both"/>
        <w:rPr>
          <w:rFonts w:ascii="Lotus Linotype" w:hAnsi="Lotus Linotype" w:cs="Lotus Linotype"/>
          <w:sz w:val="28"/>
          <w:szCs w:val="28"/>
          <w:rtl/>
          <w:lang w:bidi="ar-LB"/>
        </w:rPr>
      </w:pPr>
      <w:r w:rsidRPr="0021210B">
        <w:rPr>
          <w:rFonts w:ascii="Lotus Linotype" w:hAnsi="Lotus Linotype" w:cs="Lotus Linotype" w:hint="cs"/>
          <w:sz w:val="28"/>
          <w:szCs w:val="28"/>
          <w:rtl/>
          <w:lang w:bidi="ar-LB"/>
        </w:rPr>
        <w:t xml:space="preserve">أمّا نسألكم: هل عنوان المطلق موضوعٌ لأثرٍ شرعيٍّ في الخطابات الشرعيّة؟ أبداً؛ الأثر مترتبٌ على الواقع لا على هذا العنوان البسيط، والواقع هو عدم التقييد مع كون المحلّ قابلاً للتقييد، المحلّ قابلٌ للتقييد بالوجدان واستصحاب عدم التقييد يثبت عدم التقييد ولا حاجة لنا في إثبات عنوان المطلق؛ لأنّ لا نبحث عن أثرٍ شرعيٍّ يترتب على هذا العنوان بل نتبع الأثر </w:t>
      </w:r>
      <w:r w:rsidR="00366B3E" w:rsidRPr="0021210B">
        <w:rPr>
          <w:rFonts w:ascii="Lotus Linotype" w:hAnsi="Lotus Linotype" w:cs="Lotus Linotype" w:hint="cs"/>
          <w:sz w:val="28"/>
          <w:szCs w:val="28"/>
          <w:rtl/>
          <w:lang w:bidi="ar-LB"/>
        </w:rPr>
        <w:t>العقلي، أو نتبع الأثر الشرعيّ المترتب على واقع الإطلاق لا على عنوان الإطلاق، نقول: إذا حكم الشارع بكون الطواف سبباً لحليّة محرّمات الإحرام ولم يكن مقيّداً بكون الطواف بين البيت والمقام فبعد أن طفنا خارج البيت والمقام نتحلل من الإحرام، ليس هذا الأثر الشرعي مترتباً على ماذا؟ مترتباً على عنوان إطلاق الطواف بل على واقعه وهو الطواف غير المقيّد، الطواف الذي لم يقيّد بكونه بين البيت والمقام.</w:t>
      </w:r>
    </w:p>
    <w:p w:rsidR="00366B3E" w:rsidRPr="0021210B" w:rsidRDefault="00366B3E" w:rsidP="00407931">
      <w:pPr>
        <w:jc w:val="both"/>
        <w:rPr>
          <w:rFonts w:ascii="Lotus Linotype" w:hAnsi="Lotus Linotype" w:cs="Lotus Linotype"/>
          <w:sz w:val="28"/>
          <w:szCs w:val="28"/>
          <w:rtl/>
          <w:lang w:bidi="ar-LB"/>
        </w:rPr>
      </w:pPr>
      <w:r w:rsidRPr="0021210B">
        <w:rPr>
          <w:rFonts w:ascii="Lotus Linotype" w:hAnsi="Lotus Linotype" w:cs="Lotus Linotype" w:hint="cs"/>
          <w:sz w:val="28"/>
          <w:szCs w:val="28"/>
          <w:rtl/>
          <w:lang w:bidi="ar-LB"/>
        </w:rPr>
        <w:t>فإذاً على مسلك السيد السيستاني</w:t>
      </w:r>
      <w:r w:rsidR="003D69D5" w:rsidRPr="0021210B">
        <w:rPr>
          <w:rFonts w:ascii="Lotus Linotype" w:hAnsi="Lotus Linotype" w:cs="Lotus Linotype" w:hint="cs"/>
          <w:sz w:val="28"/>
          <w:szCs w:val="28"/>
          <w:rtl/>
          <w:lang w:bidi="ar-LB"/>
        </w:rPr>
        <w:t xml:space="preserve"> </w:t>
      </w:r>
      <w:r w:rsidR="003D69D5" w:rsidRPr="0021210B">
        <w:rPr>
          <w:rFonts w:ascii="Lotus Linotype" w:hAnsi="Lotus Linotype" w:cs="Taher" w:hint="cs"/>
          <w:sz w:val="28"/>
          <w:szCs w:val="28"/>
          <w:rtl/>
          <w:lang w:bidi="ar-LB"/>
        </w:rPr>
        <w:t>'</w:t>
      </w:r>
      <w:r w:rsidRPr="0021210B">
        <w:rPr>
          <w:rFonts w:ascii="Lotus Linotype" w:hAnsi="Lotus Linotype" w:cs="Lotus Linotype" w:hint="cs"/>
          <w:sz w:val="28"/>
          <w:szCs w:val="28"/>
          <w:rtl/>
          <w:lang w:bidi="ar-LB"/>
        </w:rPr>
        <w:t xml:space="preserve"> لا مانع من أن نجري استصحاب عدم التقييد لإثبات الإطلاق إذا تخلّصنا عن محاذير إثبات الإطلاق باستصحاب عدم التقييد بناءً على كون التقابل بينهما تقابل السلب والإيجاب.</w:t>
      </w:r>
    </w:p>
    <w:p w:rsidR="00366B3E" w:rsidRPr="0021210B" w:rsidRDefault="00366B3E" w:rsidP="00407931">
      <w:pPr>
        <w:jc w:val="both"/>
        <w:rPr>
          <w:rFonts w:ascii="Lotus Linotype" w:hAnsi="Lotus Linotype" w:cs="Lotus Linotype"/>
          <w:sz w:val="28"/>
          <w:szCs w:val="28"/>
          <w:rtl/>
          <w:lang w:bidi="ar-LB"/>
        </w:rPr>
      </w:pPr>
      <w:r w:rsidRPr="0021210B">
        <w:rPr>
          <w:rFonts w:ascii="Lotus Linotype" w:hAnsi="Lotus Linotype" w:cs="Lotus Linotype" w:hint="cs"/>
          <w:sz w:val="28"/>
          <w:szCs w:val="28"/>
          <w:rtl/>
          <w:lang w:bidi="ar-LB"/>
        </w:rPr>
        <w:t>وبقية الكلام في الليلة القادمة إن شاء الله.</w:t>
      </w:r>
    </w:p>
    <w:p w:rsidR="00366B3E" w:rsidRPr="00BF7CB5" w:rsidRDefault="00366B3E" w:rsidP="0021210B">
      <w:pPr>
        <w:pStyle w:val="ListParagraph"/>
        <w:ind w:left="2160"/>
        <w:rPr>
          <w:rFonts w:ascii="Lotus Linotype" w:hAnsi="Lotus Linotype" w:cs="Lotus Linotype"/>
          <w:sz w:val="28"/>
          <w:szCs w:val="28"/>
          <w:lang w:bidi="ar-LB"/>
        </w:rPr>
      </w:pPr>
      <w:r>
        <w:rPr>
          <w:rFonts w:ascii="Lotus Linotype" w:hAnsi="Lotus Linotype" w:cs="Lotus Linotype" w:hint="cs"/>
          <w:sz w:val="28"/>
          <w:szCs w:val="28"/>
          <w:rtl/>
          <w:lang w:bidi="ar-LB"/>
        </w:rPr>
        <w:t>والحمد</w:t>
      </w:r>
      <w:bookmarkStart w:id="0" w:name="_GoBack"/>
      <w:bookmarkEnd w:id="0"/>
      <w:r>
        <w:rPr>
          <w:rFonts w:ascii="Lotus Linotype" w:hAnsi="Lotus Linotype" w:cs="Lotus Linotype" w:hint="cs"/>
          <w:sz w:val="28"/>
          <w:szCs w:val="28"/>
          <w:rtl/>
          <w:lang w:bidi="ar-LB"/>
        </w:rPr>
        <w:t xml:space="preserve"> لله ربّ العالمين.</w:t>
      </w:r>
    </w:p>
    <w:sectPr w:rsidR="00366B3E" w:rsidRPr="00BF7CB5"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99" w:rsidRDefault="00483499" w:rsidP="00795CCB">
      <w:pPr>
        <w:spacing w:after="0" w:line="240" w:lineRule="auto"/>
      </w:pPr>
      <w:r>
        <w:separator/>
      </w:r>
    </w:p>
  </w:endnote>
  <w:endnote w:type="continuationSeparator" w:id="0">
    <w:p w:rsidR="00483499" w:rsidRDefault="00483499"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21210B">
          <w:rPr>
            <w:noProof/>
            <w:rtl/>
          </w:rPr>
          <w:t>4</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99" w:rsidRDefault="00483499" w:rsidP="00795CCB">
      <w:pPr>
        <w:spacing w:after="0" w:line="240" w:lineRule="auto"/>
      </w:pPr>
      <w:r>
        <w:separator/>
      </w:r>
    </w:p>
  </w:footnote>
  <w:footnote w:type="continuationSeparator" w:id="0">
    <w:p w:rsidR="00483499" w:rsidRDefault="00483499"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8CA"/>
    <w:multiLevelType w:val="hybridMultilevel"/>
    <w:tmpl w:val="7B3C3E1E"/>
    <w:lvl w:ilvl="0" w:tplc="2892BD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64262"/>
    <w:multiLevelType w:val="hybridMultilevel"/>
    <w:tmpl w:val="CF546BE4"/>
    <w:lvl w:ilvl="0" w:tplc="69E27A68">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43A8F"/>
    <w:multiLevelType w:val="hybridMultilevel"/>
    <w:tmpl w:val="75EC43BE"/>
    <w:lvl w:ilvl="0" w:tplc="3230B0E2">
      <w:start w:val="2"/>
      <w:numFmt w:val="bullet"/>
      <w:lvlText w:val="-"/>
      <w:lvlJc w:val="left"/>
      <w:pPr>
        <w:ind w:left="1710" w:hanging="360"/>
      </w:pPr>
      <w:rPr>
        <w:rFonts w:ascii="Lotus Linotype" w:eastAsiaTheme="minorHAnsi" w:hAnsi="Lotus Linotype" w:cs="Lotus Linotype"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C07EB"/>
    <w:rsid w:val="0011749F"/>
    <w:rsid w:val="00202794"/>
    <w:rsid w:val="0021210B"/>
    <w:rsid w:val="00240F38"/>
    <w:rsid w:val="00275B18"/>
    <w:rsid w:val="0031127A"/>
    <w:rsid w:val="00366B3E"/>
    <w:rsid w:val="003D3F0B"/>
    <w:rsid w:val="003D69D5"/>
    <w:rsid w:val="00407931"/>
    <w:rsid w:val="0043165F"/>
    <w:rsid w:val="00483499"/>
    <w:rsid w:val="005407AF"/>
    <w:rsid w:val="00601D19"/>
    <w:rsid w:val="00625DDA"/>
    <w:rsid w:val="00692F9A"/>
    <w:rsid w:val="006B5BC0"/>
    <w:rsid w:val="006C7DD3"/>
    <w:rsid w:val="006F04D7"/>
    <w:rsid w:val="0071667F"/>
    <w:rsid w:val="00795CCB"/>
    <w:rsid w:val="007A6B46"/>
    <w:rsid w:val="007C4E30"/>
    <w:rsid w:val="00831FE1"/>
    <w:rsid w:val="008400A5"/>
    <w:rsid w:val="00887F95"/>
    <w:rsid w:val="008A21F5"/>
    <w:rsid w:val="009E503C"/>
    <w:rsid w:val="00A26433"/>
    <w:rsid w:val="00AD6A57"/>
    <w:rsid w:val="00B0478D"/>
    <w:rsid w:val="00B330B4"/>
    <w:rsid w:val="00BF7CB5"/>
    <w:rsid w:val="00C02B86"/>
    <w:rsid w:val="00C201A5"/>
    <w:rsid w:val="00DD1117"/>
    <w:rsid w:val="00DF6385"/>
    <w:rsid w:val="00E309DC"/>
    <w:rsid w:val="00E37D1D"/>
    <w:rsid w:val="00EA244B"/>
    <w:rsid w:val="00EA6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9E5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9E5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CFB9-2CB1-454D-9F2C-2019D59E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27</cp:revision>
  <dcterms:created xsi:type="dcterms:W3CDTF">2022-10-28T18:12:00Z</dcterms:created>
  <dcterms:modified xsi:type="dcterms:W3CDTF">2023-01-31T13:41:00Z</dcterms:modified>
</cp:coreProperties>
</file>