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505023825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2F1168" w:rsidRDefault="002F1168" w:rsidP="002F1168">
          <w:r>
            <w:rPr>
              <w:rtl/>
            </w:rPr>
            <w:t>بسمه تعالی</w:t>
          </w:r>
        </w:p>
        <w:p w:rsidR="002F1168" w:rsidRDefault="002F1168" w:rsidP="002F1168">
          <w:pPr>
            <w:pStyle w:val="TOCHeading"/>
            <w:bidi/>
          </w:pPr>
          <w:bookmarkStart w:id="0" w:name="_Toc119843303"/>
          <w:bookmarkStart w:id="1" w:name="_Toc120372668"/>
          <w:r>
            <w:rPr>
              <w:color w:val="FF0000"/>
              <w:rtl/>
            </w:rPr>
            <w:t xml:space="preserve">موضوع: </w:t>
          </w:r>
          <w:bookmarkEnd w:id="0"/>
          <w:r>
            <w:rPr>
              <w:rtl/>
            </w:rPr>
            <w:t>اختصاص خطابات قرآن به مشافهین / عام و خا</w:t>
          </w:r>
          <w:bookmarkEnd w:id="1"/>
          <w:r>
            <w:rPr>
              <w:rtl/>
            </w:rPr>
            <w:t>ص</w:t>
          </w:r>
        </w:p>
        <w:p w:rsidR="002F1168" w:rsidRDefault="002F1168" w:rsidP="002F1168">
          <w:pPr>
            <w:rPr>
              <w:rtl/>
            </w:rPr>
          </w:pPr>
        </w:p>
        <w:p w:rsidR="00733093" w:rsidRDefault="002F1168" w:rsidP="002F1168">
          <w:pPr>
            <w:pStyle w:val="TOCHeading"/>
            <w:bidi/>
            <w:rPr>
              <w:rFonts w:hint="cs"/>
              <w:rtl/>
            </w:rPr>
          </w:pPr>
          <w:r>
            <w:rPr>
              <w:rtl/>
            </w:rPr>
            <w:t>فهرست مطالب</w:t>
          </w:r>
          <w:r>
            <w:t>:</w:t>
          </w:r>
        </w:p>
        <w:p w:rsidR="00733093" w:rsidRDefault="00733093" w:rsidP="002F11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2" w:name="_GoBack"/>
          <w:bookmarkEnd w:id="2"/>
          <w:r w:rsidR="002F1168">
            <w:fldChar w:fldCharType="begin"/>
          </w:r>
          <w:r w:rsidR="002F1168">
            <w:instrText xml:space="preserve"> HYPERLINK \l "_Toc121134005" </w:instrText>
          </w:r>
          <w:r w:rsidR="002F1168">
            <w:fldChar w:fldCharType="separate"/>
          </w:r>
          <w:r w:rsidRPr="00E7148B">
            <w:rPr>
              <w:rStyle w:val="Hyperlink"/>
              <w:rFonts w:hint="eastAsia"/>
              <w:noProof/>
              <w:rtl/>
            </w:rPr>
            <w:t>اختصاص</w:t>
          </w:r>
          <w:r w:rsidRPr="00E7148B">
            <w:rPr>
              <w:rStyle w:val="Hyperlink"/>
              <w:noProof/>
              <w:rtl/>
            </w:rPr>
            <w:t xml:space="preserve"> </w:t>
          </w:r>
          <w:r w:rsidRPr="00E7148B">
            <w:rPr>
              <w:rStyle w:val="Hyperlink"/>
              <w:rFonts w:hint="eastAsia"/>
              <w:noProof/>
              <w:rtl/>
            </w:rPr>
            <w:t>خطابات</w:t>
          </w:r>
          <w:r w:rsidRPr="00E7148B">
            <w:rPr>
              <w:rStyle w:val="Hyperlink"/>
              <w:noProof/>
              <w:rtl/>
            </w:rPr>
            <w:t xml:space="preserve"> </w:t>
          </w:r>
          <w:r w:rsidRPr="00E7148B">
            <w:rPr>
              <w:rStyle w:val="Hyperlink"/>
              <w:rFonts w:hint="eastAsia"/>
              <w:noProof/>
              <w:rtl/>
            </w:rPr>
            <w:t>قرآن</w:t>
          </w:r>
          <w:r w:rsidRPr="00E7148B">
            <w:rPr>
              <w:rStyle w:val="Hyperlink"/>
              <w:noProof/>
              <w:rtl/>
            </w:rPr>
            <w:t xml:space="preserve"> </w:t>
          </w:r>
          <w:r w:rsidRPr="00E7148B">
            <w:rPr>
              <w:rStyle w:val="Hyperlink"/>
              <w:rFonts w:hint="eastAsia"/>
              <w:noProof/>
              <w:rtl/>
            </w:rPr>
            <w:t>به</w:t>
          </w:r>
          <w:r w:rsidRPr="00E7148B">
            <w:rPr>
              <w:rStyle w:val="Hyperlink"/>
              <w:noProof/>
              <w:rtl/>
            </w:rPr>
            <w:t xml:space="preserve"> </w:t>
          </w:r>
          <w:r w:rsidRPr="00E7148B">
            <w:rPr>
              <w:rStyle w:val="Hyperlink"/>
              <w:rFonts w:hint="eastAsia"/>
              <w:noProof/>
              <w:rtl/>
            </w:rPr>
            <w:t>مشافه</w:t>
          </w:r>
          <w:r w:rsidRPr="00E7148B">
            <w:rPr>
              <w:rStyle w:val="Hyperlink"/>
              <w:rFonts w:hint="cs"/>
              <w:noProof/>
              <w:rtl/>
            </w:rPr>
            <w:t>ی</w:t>
          </w:r>
          <w:r w:rsidRPr="00E7148B">
            <w:rPr>
              <w:rStyle w:val="Hyperlink"/>
              <w:rFonts w:hint="eastAsia"/>
              <w:noProof/>
              <w:rtl/>
            </w:rPr>
            <w:t>ن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_Toc121134005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D15BD2">
            <w:rPr>
              <w:noProof/>
              <w:webHidden/>
              <w:rtl/>
            </w:rPr>
            <w:t>1</w:t>
          </w:r>
          <w:r>
            <w:rPr>
              <w:noProof/>
              <w:webHidden/>
            </w:rPr>
            <w:fldChar w:fldCharType="end"/>
          </w:r>
          <w:r w:rsidR="002F1168">
            <w:rPr>
              <w:noProof/>
            </w:rPr>
            <w:fldChar w:fldCharType="end"/>
          </w:r>
        </w:p>
        <w:p w:rsidR="00733093" w:rsidRDefault="002F1168" w:rsidP="0073309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1134006" w:history="1">
            <w:r w:rsidR="00733093" w:rsidRPr="00E7148B">
              <w:rPr>
                <w:rStyle w:val="Hyperlink"/>
                <w:rFonts w:hint="eastAsia"/>
                <w:noProof/>
                <w:rtl/>
              </w:rPr>
              <w:t>کلام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مرحوم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امام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رحمه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الله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در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تحر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ر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محل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نزاع</w:t>
            </w:r>
            <w:r w:rsidR="00733093">
              <w:rPr>
                <w:noProof/>
                <w:webHidden/>
              </w:rPr>
              <w:tab/>
            </w:r>
            <w:r w:rsidR="00733093">
              <w:rPr>
                <w:noProof/>
                <w:webHidden/>
              </w:rPr>
              <w:fldChar w:fldCharType="begin"/>
            </w:r>
            <w:r w:rsidR="00733093">
              <w:rPr>
                <w:noProof/>
                <w:webHidden/>
              </w:rPr>
              <w:instrText xml:space="preserve"> PAGEREF _Toc121134006 \h </w:instrText>
            </w:r>
            <w:r w:rsidR="00733093">
              <w:rPr>
                <w:noProof/>
                <w:webHidden/>
              </w:rPr>
            </w:r>
            <w:r w:rsidR="00733093">
              <w:rPr>
                <w:noProof/>
                <w:webHidden/>
              </w:rPr>
              <w:fldChar w:fldCharType="separate"/>
            </w:r>
            <w:r w:rsidR="00D15BD2">
              <w:rPr>
                <w:noProof/>
                <w:webHidden/>
                <w:rtl/>
              </w:rPr>
              <w:t>1</w:t>
            </w:r>
            <w:r w:rsidR="00733093">
              <w:rPr>
                <w:noProof/>
                <w:webHidden/>
              </w:rPr>
              <w:fldChar w:fldCharType="end"/>
            </w:r>
          </w:hyperlink>
        </w:p>
        <w:p w:rsidR="00733093" w:rsidRDefault="002F1168" w:rsidP="0073309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1134007" w:history="1">
            <w:r w:rsidR="00733093" w:rsidRPr="00E7148B">
              <w:rPr>
                <w:rStyle w:val="Hyperlink"/>
                <w:rFonts w:hint="eastAsia"/>
                <w:noProof/>
                <w:rtl/>
              </w:rPr>
              <w:t>مناقشه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در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کلام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مرحوم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امام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رحمه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الله</w:t>
            </w:r>
            <w:r w:rsidR="00733093">
              <w:rPr>
                <w:noProof/>
                <w:webHidden/>
              </w:rPr>
              <w:tab/>
            </w:r>
            <w:r w:rsidR="00733093">
              <w:rPr>
                <w:noProof/>
                <w:webHidden/>
              </w:rPr>
              <w:fldChar w:fldCharType="begin"/>
            </w:r>
            <w:r w:rsidR="00733093">
              <w:rPr>
                <w:noProof/>
                <w:webHidden/>
              </w:rPr>
              <w:instrText xml:space="preserve"> PAGEREF _Toc121134007 \h </w:instrText>
            </w:r>
            <w:r w:rsidR="00733093">
              <w:rPr>
                <w:noProof/>
                <w:webHidden/>
              </w:rPr>
            </w:r>
            <w:r w:rsidR="00733093">
              <w:rPr>
                <w:noProof/>
                <w:webHidden/>
              </w:rPr>
              <w:fldChar w:fldCharType="separate"/>
            </w:r>
            <w:r w:rsidR="00D15BD2">
              <w:rPr>
                <w:noProof/>
                <w:webHidden/>
                <w:rtl/>
              </w:rPr>
              <w:t>2</w:t>
            </w:r>
            <w:r w:rsidR="00733093">
              <w:rPr>
                <w:noProof/>
                <w:webHidden/>
              </w:rPr>
              <w:fldChar w:fldCharType="end"/>
            </w:r>
          </w:hyperlink>
        </w:p>
        <w:p w:rsidR="00733093" w:rsidRDefault="002F1168" w:rsidP="0073309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1134008" w:history="1">
            <w:r w:rsidR="00733093" w:rsidRPr="00E7148B">
              <w:rPr>
                <w:rStyle w:val="Hyperlink"/>
                <w:rFonts w:hint="eastAsia"/>
                <w:noProof/>
                <w:rtl/>
              </w:rPr>
              <w:t>کلام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صاحب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کفا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در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بررس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نحو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اول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از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محل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نزاع</w:t>
            </w:r>
            <w:r w:rsidR="00733093">
              <w:rPr>
                <w:noProof/>
                <w:webHidden/>
              </w:rPr>
              <w:tab/>
            </w:r>
            <w:r w:rsidR="00733093">
              <w:rPr>
                <w:noProof/>
                <w:webHidden/>
              </w:rPr>
              <w:fldChar w:fldCharType="begin"/>
            </w:r>
            <w:r w:rsidR="00733093">
              <w:rPr>
                <w:noProof/>
                <w:webHidden/>
              </w:rPr>
              <w:instrText xml:space="preserve"> PAGEREF _Toc121134008 \h </w:instrText>
            </w:r>
            <w:r w:rsidR="00733093">
              <w:rPr>
                <w:noProof/>
                <w:webHidden/>
              </w:rPr>
            </w:r>
            <w:r w:rsidR="00733093">
              <w:rPr>
                <w:noProof/>
                <w:webHidden/>
              </w:rPr>
              <w:fldChar w:fldCharType="separate"/>
            </w:r>
            <w:r w:rsidR="00D15BD2">
              <w:rPr>
                <w:noProof/>
                <w:webHidden/>
                <w:rtl/>
              </w:rPr>
              <w:t>3</w:t>
            </w:r>
            <w:r w:rsidR="00733093">
              <w:rPr>
                <w:noProof/>
                <w:webHidden/>
              </w:rPr>
              <w:fldChar w:fldCharType="end"/>
            </w:r>
          </w:hyperlink>
        </w:p>
        <w:p w:rsidR="00733093" w:rsidRDefault="002F1168" w:rsidP="0073309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1134009" w:history="1">
            <w:r w:rsidR="00733093" w:rsidRPr="00E7148B">
              <w:rPr>
                <w:rStyle w:val="Hyperlink"/>
                <w:rFonts w:hint="eastAsia"/>
                <w:noProof/>
                <w:rtl/>
              </w:rPr>
              <w:t>بررس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کلام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صاحب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کفا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در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نحو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اول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از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محل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نزاع</w:t>
            </w:r>
            <w:r w:rsidR="00733093">
              <w:rPr>
                <w:noProof/>
                <w:webHidden/>
              </w:rPr>
              <w:tab/>
            </w:r>
            <w:r w:rsidR="00733093">
              <w:rPr>
                <w:noProof/>
                <w:webHidden/>
              </w:rPr>
              <w:fldChar w:fldCharType="begin"/>
            </w:r>
            <w:r w:rsidR="00733093">
              <w:rPr>
                <w:noProof/>
                <w:webHidden/>
              </w:rPr>
              <w:instrText xml:space="preserve"> PAGEREF _Toc121134009 \h </w:instrText>
            </w:r>
            <w:r w:rsidR="00733093">
              <w:rPr>
                <w:noProof/>
                <w:webHidden/>
              </w:rPr>
            </w:r>
            <w:r w:rsidR="00733093">
              <w:rPr>
                <w:noProof/>
                <w:webHidden/>
              </w:rPr>
              <w:fldChar w:fldCharType="separate"/>
            </w:r>
            <w:r w:rsidR="00D15BD2">
              <w:rPr>
                <w:noProof/>
                <w:webHidden/>
                <w:rtl/>
              </w:rPr>
              <w:t>4</w:t>
            </w:r>
            <w:r w:rsidR="00733093">
              <w:rPr>
                <w:noProof/>
                <w:webHidden/>
              </w:rPr>
              <w:fldChar w:fldCharType="end"/>
            </w:r>
          </w:hyperlink>
        </w:p>
        <w:p w:rsidR="00733093" w:rsidRDefault="002F1168" w:rsidP="0073309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1134010" w:history="1">
            <w:r w:rsidR="00733093" w:rsidRPr="00E7148B">
              <w:rPr>
                <w:rStyle w:val="Hyperlink"/>
                <w:rFonts w:hint="eastAsia"/>
                <w:noProof/>
                <w:rtl/>
              </w:rPr>
              <w:t>کلام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صاحب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کفا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در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بررس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نحو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دوم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از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محل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نزاع</w:t>
            </w:r>
            <w:r w:rsidR="00733093">
              <w:rPr>
                <w:noProof/>
                <w:webHidden/>
              </w:rPr>
              <w:tab/>
            </w:r>
            <w:r w:rsidR="00733093">
              <w:rPr>
                <w:noProof/>
                <w:webHidden/>
              </w:rPr>
              <w:fldChar w:fldCharType="begin"/>
            </w:r>
            <w:r w:rsidR="00733093">
              <w:rPr>
                <w:noProof/>
                <w:webHidden/>
              </w:rPr>
              <w:instrText xml:space="preserve"> PAGEREF _Toc121134010 \h </w:instrText>
            </w:r>
            <w:r w:rsidR="00733093">
              <w:rPr>
                <w:noProof/>
                <w:webHidden/>
              </w:rPr>
            </w:r>
            <w:r w:rsidR="00733093">
              <w:rPr>
                <w:noProof/>
                <w:webHidden/>
              </w:rPr>
              <w:fldChar w:fldCharType="separate"/>
            </w:r>
            <w:r w:rsidR="00D15BD2">
              <w:rPr>
                <w:noProof/>
                <w:webHidden/>
                <w:rtl/>
              </w:rPr>
              <w:t>4</w:t>
            </w:r>
            <w:r w:rsidR="00733093">
              <w:rPr>
                <w:noProof/>
                <w:webHidden/>
              </w:rPr>
              <w:fldChar w:fldCharType="end"/>
            </w:r>
          </w:hyperlink>
        </w:p>
        <w:p w:rsidR="00733093" w:rsidRDefault="002F1168" w:rsidP="0073309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1134011" w:history="1">
            <w:r w:rsidR="00733093" w:rsidRPr="00E7148B">
              <w:rPr>
                <w:rStyle w:val="Hyperlink"/>
                <w:rFonts w:hint="eastAsia"/>
                <w:noProof/>
                <w:rtl/>
              </w:rPr>
              <w:t>کلام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صاحب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کفا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در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بررس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نحو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سوم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از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محل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نزاع</w:t>
            </w:r>
            <w:r w:rsidR="00733093">
              <w:rPr>
                <w:noProof/>
                <w:webHidden/>
              </w:rPr>
              <w:tab/>
            </w:r>
            <w:r w:rsidR="00733093">
              <w:rPr>
                <w:noProof/>
                <w:webHidden/>
              </w:rPr>
              <w:fldChar w:fldCharType="begin"/>
            </w:r>
            <w:r w:rsidR="00733093">
              <w:rPr>
                <w:noProof/>
                <w:webHidden/>
              </w:rPr>
              <w:instrText xml:space="preserve"> PAGEREF _Toc121134011 \h </w:instrText>
            </w:r>
            <w:r w:rsidR="00733093">
              <w:rPr>
                <w:noProof/>
                <w:webHidden/>
              </w:rPr>
            </w:r>
            <w:r w:rsidR="00733093">
              <w:rPr>
                <w:noProof/>
                <w:webHidden/>
              </w:rPr>
              <w:fldChar w:fldCharType="separate"/>
            </w:r>
            <w:r w:rsidR="00D15BD2">
              <w:rPr>
                <w:noProof/>
                <w:webHidden/>
                <w:rtl/>
              </w:rPr>
              <w:t>5</w:t>
            </w:r>
            <w:r w:rsidR="00733093">
              <w:rPr>
                <w:noProof/>
                <w:webHidden/>
              </w:rPr>
              <w:fldChar w:fldCharType="end"/>
            </w:r>
          </w:hyperlink>
        </w:p>
        <w:p w:rsidR="00733093" w:rsidRDefault="002F1168" w:rsidP="0073309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1134012" w:history="1">
            <w:r w:rsidR="00733093" w:rsidRPr="00E7148B">
              <w:rPr>
                <w:rStyle w:val="Hyperlink"/>
                <w:rFonts w:hint="eastAsia"/>
                <w:noProof/>
                <w:rtl/>
              </w:rPr>
              <w:t>کلام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محقق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خو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یی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رحمه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الله</w:t>
            </w:r>
            <w:r w:rsidR="00733093">
              <w:rPr>
                <w:noProof/>
                <w:webHidden/>
              </w:rPr>
              <w:tab/>
            </w:r>
            <w:r w:rsidR="00733093">
              <w:rPr>
                <w:noProof/>
                <w:webHidden/>
              </w:rPr>
              <w:fldChar w:fldCharType="begin"/>
            </w:r>
            <w:r w:rsidR="00733093">
              <w:rPr>
                <w:noProof/>
                <w:webHidden/>
              </w:rPr>
              <w:instrText xml:space="preserve"> PAGEREF _Toc121134012 \h </w:instrText>
            </w:r>
            <w:r w:rsidR="00733093">
              <w:rPr>
                <w:noProof/>
                <w:webHidden/>
              </w:rPr>
            </w:r>
            <w:r w:rsidR="00733093">
              <w:rPr>
                <w:noProof/>
                <w:webHidden/>
              </w:rPr>
              <w:fldChar w:fldCharType="separate"/>
            </w:r>
            <w:r w:rsidR="00D15BD2">
              <w:rPr>
                <w:noProof/>
                <w:webHidden/>
                <w:rtl/>
              </w:rPr>
              <w:t>6</w:t>
            </w:r>
            <w:r w:rsidR="00733093">
              <w:rPr>
                <w:noProof/>
                <w:webHidden/>
              </w:rPr>
              <w:fldChar w:fldCharType="end"/>
            </w:r>
          </w:hyperlink>
        </w:p>
        <w:p w:rsidR="00733093" w:rsidRDefault="002F1168" w:rsidP="0073309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1134013" w:history="1">
            <w:r w:rsidR="00733093" w:rsidRPr="00E7148B">
              <w:rPr>
                <w:rStyle w:val="Hyperlink"/>
                <w:rFonts w:hint="eastAsia"/>
                <w:noProof/>
                <w:rtl/>
              </w:rPr>
              <w:t>بررس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کلام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محقق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خو</w:t>
            </w:r>
            <w:r w:rsidR="00733093" w:rsidRPr="00E7148B">
              <w:rPr>
                <w:rStyle w:val="Hyperlink"/>
                <w:rFonts w:hint="cs"/>
                <w:noProof/>
                <w:rtl/>
              </w:rPr>
              <w:t>یی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رحمه</w:t>
            </w:r>
            <w:r w:rsidR="00733093" w:rsidRPr="00E7148B">
              <w:rPr>
                <w:rStyle w:val="Hyperlink"/>
                <w:noProof/>
                <w:rtl/>
              </w:rPr>
              <w:t xml:space="preserve"> </w:t>
            </w:r>
            <w:r w:rsidR="00733093" w:rsidRPr="00E7148B">
              <w:rPr>
                <w:rStyle w:val="Hyperlink"/>
                <w:rFonts w:hint="eastAsia"/>
                <w:noProof/>
                <w:rtl/>
              </w:rPr>
              <w:t>الله</w:t>
            </w:r>
            <w:r w:rsidR="00733093">
              <w:rPr>
                <w:noProof/>
                <w:webHidden/>
              </w:rPr>
              <w:tab/>
            </w:r>
            <w:r w:rsidR="00733093">
              <w:rPr>
                <w:noProof/>
                <w:webHidden/>
              </w:rPr>
              <w:fldChar w:fldCharType="begin"/>
            </w:r>
            <w:r w:rsidR="00733093">
              <w:rPr>
                <w:noProof/>
                <w:webHidden/>
              </w:rPr>
              <w:instrText xml:space="preserve"> PAGEREF _Toc121134013 \h </w:instrText>
            </w:r>
            <w:r w:rsidR="00733093">
              <w:rPr>
                <w:noProof/>
                <w:webHidden/>
              </w:rPr>
            </w:r>
            <w:r w:rsidR="00733093">
              <w:rPr>
                <w:noProof/>
                <w:webHidden/>
              </w:rPr>
              <w:fldChar w:fldCharType="separate"/>
            </w:r>
            <w:r w:rsidR="00D15BD2">
              <w:rPr>
                <w:noProof/>
                <w:webHidden/>
                <w:rtl/>
              </w:rPr>
              <w:t>6</w:t>
            </w:r>
            <w:r w:rsidR="00733093">
              <w:rPr>
                <w:noProof/>
                <w:webHidden/>
              </w:rPr>
              <w:fldChar w:fldCharType="end"/>
            </w:r>
          </w:hyperlink>
        </w:p>
        <w:p w:rsidR="00733093" w:rsidRDefault="00733093" w:rsidP="00733093">
          <w:pPr>
            <w:tabs>
              <w:tab w:val="left" w:pos="6570"/>
            </w:tabs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33093" w:rsidRDefault="00733093" w:rsidP="007654A3">
      <w:pPr>
        <w:pStyle w:val="Heading1"/>
        <w:rPr>
          <w:rtl/>
        </w:rPr>
      </w:pPr>
      <w:bookmarkStart w:id="3" w:name="_Toc121134004"/>
      <w:r>
        <w:rPr>
          <w:rFonts w:hint="cs"/>
          <w:rtl/>
        </w:rPr>
        <w:t>خلاصه جلسه گذشته</w:t>
      </w:r>
      <w:bookmarkEnd w:id="3"/>
    </w:p>
    <w:p w:rsidR="00733093" w:rsidRPr="00733093" w:rsidRDefault="00733093" w:rsidP="00733093">
      <w:pPr>
        <w:rPr>
          <w:rtl/>
        </w:rPr>
      </w:pPr>
      <w:r>
        <w:rPr>
          <w:rFonts w:hint="cs"/>
          <w:rtl/>
        </w:rPr>
        <w:t>مرحوم خویی رحمه الله فرمودند: نزاع معقول در مقام بحث از موضوع له ادات خطاب و نداء است که</w:t>
      </w:r>
      <w:r w:rsidR="009B472B">
        <w:rPr>
          <w:rFonts w:hint="cs"/>
          <w:rtl/>
        </w:rPr>
        <w:t xml:space="preserve"> آیا</w:t>
      </w:r>
      <w:r>
        <w:rPr>
          <w:rFonts w:hint="cs"/>
          <w:rtl/>
        </w:rPr>
        <w:t xml:space="preserve"> آن ها وضع شدند برای تخاطب حقیقی تا مختص به تخاطب با حاضرین در مجلس باشد یا وضع شدند برای خطاب انشایی تا شامل غایبین و معدومین نیز شوند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>.</w:t>
      </w:r>
    </w:p>
    <w:p w:rsidR="00461675" w:rsidRDefault="006F4A78" w:rsidP="007654A3">
      <w:pPr>
        <w:pStyle w:val="Heading1"/>
        <w:rPr>
          <w:rtl/>
        </w:rPr>
      </w:pPr>
      <w:bookmarkStart w:id="4" w:name="_Toc121134005"/>
      <w:r>
        <w:rPr>
          <w:rFonts w:hint="cs"/>
          <w:rtl/>
        </w:rPr>
        <w:t>اختصاص خطابات قرآن به مشافهین</w:t>
      </w:r>
      <w:bookmarkEnd w:id="4"/>
    </w:p>
    <w:p w:rsidR="006F4A78" w:rsidRDefault="00BD0102" w:rsidP="00BD0102">
      <w:pPr>
        <w:pStyle w:val="Heading2"/>
        <w:rPr>
          <w:rtl/>
        </w:rPr>
      </w:pPr>
      <w:bookmarkStart w:id="5" w:name="_Toc121134006"/>
      <w:r>
        <w:rPr>
          <w:rFonts w:hint="cs"/>
          <w:rtl/>
        </w:rPr>
        <w:t>کلام مرحوم امام رحمه الله در تحریر محل نزاع</w:t>
      </w:r>
      <w:bookmarkEnd w:id="5"/>
    </w:p>
    <w:p w:rsidR="006F4A78" w:rsidRDefault="00BD0102" w:rsidP="00DA0616">
      <w:pPr>
        <w:rPr>
          <w:rtl/>
        </w:rPr>
      </w:pPr>
      <w:r>
        <w:rPr>
          <w:rFonts w:hint="cs"/>
          <w:rtl/>
        </w:rPr>
        <w:t>امام رحمه الله فرمودند:</w:t>
      </w:r>
      <w:r>
        <w:t xml:space="preserve"> </w:t>
      </w:r>
      <w:r>
        <w:rPr>
          <w:rFonts w:hint="cs"/>
          <w:rtl/>
        </w:rPr>
        <w:t xml:space="preserve"> </w:t>
      </w:r>
      <w:r w:rsidR="006F4A78">
        <w:rPr>
          <w:rFonts w:hint="cs"/>
          <w:rtl/>
        </w:rPr>
        <w:t>نزاع عقلی معقول این است که بحث شود</w:t>
      </w:r>
      <w:r w:rsidR="00DA0616">
        <w:rPr>
          <w:rFonts w:hint="cs"/>
          <w:rtl/>
        </w:rPr>
        <w:t xml:space="preserve"> در این که</w:t>
      </w:r>
      <w:r w:rsidR="006F4A78">
        <w:rPr>
          <w:rFonts w:hint="cs"/>
          <w:rtl/>
        </w:rPr>
        <w:t xml:space="preserve"> الفاظ عموم که عقیب ادات نداء و خطاب آمدند</w:t>
      </w:r>
      <w:r w:rsidR="00DA0616">
        <w:rPr>
          <w:rFonts w:hint="cs"/>
          <w:rtl/>
        </w:rPr>
        <w:t xml:space="preserve"> </w:t>
      </w:r>
      <w:r w:rsidR="006F4A78">
        <w:rPr>
          <w:rFonts w:hint="cs"/>
          <w:rtl/>
        </w:rPr>
        <w:t>آیا می توان</w:t>
      </w:r>
      <w:r w:rsidR="00DA0616">
        <w:rPr>
          <w:rFonts w:hint="cs"/>
          <w:rtl/>
        </w:rPr>
        <w:t>ن</w:t>
      </w:r>
      <w:r w:rsidR="006F4A78">
        <w:rPr>
          <w:rFonts w:hint="cs"/>
          <w:rtl/>
        </w:rPr>
        <w:t>د شامل معدومین و غایبین شو</w:t>
      </w:r>
      <w:r w:rsidR="00DA0616">
        <w:rPr>
          <w:rFonts w:hint="cs"/>
          <w:rtl/>
        </w:rPr>
        <w:t>ند و شمول آن ها نسبت به معدومین و غایبین مستلزم محذور - یعنی لزوم مخاطبه با غایبین و معدومین- نیست و یا</w:t>
      </w:r>
      <w:r w:rsidR="006F4A78">
        <w:rPr>
          <w:rFonts w:hint="cs"/>
          <w:rtl/>
        </w:rPr>
        <w:t xml:space="preserve"> </w:t>
      </w:r>
      <w:r w:rsidR="00DA0616">
        <w:rPr>
          <w:rFonts w:hint="cs"/>
          <w:rtl/>
        </w:rPr>
        <w:t>شمول آن</w:t>
      </w:r>
      <w:r w:rsidR="006F4A78">
        <w:rPr>
          <w:rFonts w:hint="cs"/>
          <w:rtl/>
        </w:rPr>
        <w:t xml:space="preserve"> الفاظ عموم نسبت به غایبین و معدومین </w:t>
      </w:r>
      <w:r w:rsidR="00DA0616">
        <w:rPr>
          <w:rFonts w:hint="cs"/>
          <w:rtl/>
        </w:rPr>
        <w:t xml:space="preserve">مستلزم مخاطبه و تخاطب با غایبین می باشد که آن محال است؟ و در این صورت این </w:t>
      </w:r>
      <w:r w:rsidR="00DA0616">
        <w:rPr>
          <w:rFonts w:hint="cs"/>
          <w:rtl/>
        </w:rPr>
        <w:lastRenderedPageBreak/>
        <w:t>بحث مناسب با بحث</w:t>
      </w:r>
      <w:r w:rsidR="006F4A78">
        <w:rPr>
          <w:rFonts w:hint="cs"/>
          <w:rtl/>
        </w:rPr>
        <w:t xml:space="preserve"> عام و خاص</w:t>
      </w:r>
      <w:r w:rsidR="00DA0616">
        <w:rPr>
          <w:rFonts w:hint="cs"/>
          <w:rtl/>
        </w:rPr>
        <w:t xml:space="preserve"> خواهد بود</w:t>
      </w:r>
      <w:r w:rsidR="006F4A78">
        <w:rPr>
          <w:rFonts w:hint="cs"/>
          <w:rtl/>
        </w:rPr>
        <w:t xml:space="preserve"> </w:t>
      </w:r>
      <w:r w:rsidR="00DA0616">
        <w:rPr>
          <w:rFonts w:hint="cs"/>
          <w:rtl/>
        </w:rPr>
        <w:t>و الا</w:t>
      </w:r>
      <w:r w:rsidR="006F4A78">
        <w:rPr>
          <w:rFonts w:hint="cs"/>
          <w:rtl/>
        </w:rPr>
        <w:t xml:space="preserve"> امکان تخاطب با غایبین و معدومین و عدم</w:t>
      </w:r>
      <w:r w:rsidR="00DA0616">
        <w:rPr>
          <w:rFonts w:hint="cs"/>
          <w:rtl/>
        </w:rPr>
        <w:t xml:space="preserve"> امکان آن ربطی به بحث عام و خاص ندارد</w:t>
      </w:r>
      <w:r w:rsidR="00DA0616">
        <w:rPr>
          <w:rStyle w:val="FootnoteReference"/>
          <w:rtl/>
        </w:rPr>
        <w:footnoteReference w:id="2"/>
      </w:r>
      <w:r w:rsidR="00DA0616">
        <w:rPr>
          <w:rFonts w:hint="cs"/>
          <w:rtl/>
        </w:rPr>
        <w:t>.</w:t>
      </w:r>
    </w:p>
    <w:p w:rsidR="00DA0616" w:rsidRDefault="00DA0616" w:rsidP="00DA0616">
      <w:pPr>
        <w:pStyle w:val="Heading2"/>
        <w:rPr>
          <w:rtl/>
        </w:rPr>
      </w:pPr>
      <w:bookmarkStart w:id="6" w:name="_Toc121134007"/>
      <w:r>
        <w:rPr>
          <w:rFonts w:hint="cs"/>
          <w:rtl/>
        </w:rPr>
        <w:t>مناقشه در کلام مرحوم امام رحمه الله</w:t>
      </w:r>
      <w:bookmarkEnd w:id="6"/>
    </w:p>
    <w:p w:rsidR="00250A43" w:rsidRDefault="00DA0616" w:rsidP="008D0FB3">
      <w:pPr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این کلام تمام نیست </w:t>
      </w:r>
      <w:r w:rsidR="008D0FB3">
        <w:rPr>
          <w:rFonts w:hint="cs"/>
          <w:rtl/>
        </w:rPr>
        <w:t>زیرا</w:t>
      </w:r>
      <w:r w:rsidR="00250A43">
        <w:rPr>
          <w:rFonts w:hint="cs"/>
          <w:rtl/>
        </w:rPr>
        <w:t xml:space="preserve"> همانطور که خطاب «</w:t>
      </w:r>
      <w:r w:rsidR="00250A43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کل من استطاع یجب علیه الحج»</w:t>
      </w:r>
      <w:r w:rsidR="00250A43" w:rsidRPr="00F071D8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250A43">
        <w:rPr>
          <w:rFonts w:hint="cs"/>
          <w:rtl/>
        </w:rPr>
        <w:t xml:space="preserve">چون به نحو قضیه ی حقیقیه است شامل معدومین و غایبین می شود -کما این که شمول آیاتی که متضمن ادات خطاب نیست نسبت به معدومین و غایبین مسلم است- اگر همین خطاب مصدَّر به ادات خطاب مثل«یا ایها الناس» نیز باشد چون به نحو قضیه ی حقیقیه است شامل معدومین و غایبین می شود و صرف مصدّر بودن به ادات خطاب موجب تشکیک در شمول آن نسبت به غایبین و معدومین نمی شود، و </w:t>
      </w:r>
      <w:r w:rsidR="00BE544A">
        <w:rPr>
          <w:rFonts w:ascii="NoorLotus" w:hAnsi="NoorLotus" w:hint="cs"/>
          <w:sz w:val="28"/>
          <w:rtl/>
        </w:rPr>
        <w:t>به نظر ما این شبهه که</w:t>
      </w:r>
      <w:r w:rsidR="00250A43" w:rsidRPr="00DB0560">
        <w:rPr>
          <w:rFonts w:ascii="NoorLotus" w:hAnsi="NoorLotus"/>
          <w:sz w:val="28"/>
          <w:rtl/>
        </w:rPr>
        <w:t xml:space="preserve"> </w:t>
      </w:r>
      <w:r w:rsidR="00BE544A">
        <w:rPr>
          <w:rFonts w:ascii="NoorLotus" w:hAnsi="NoorLotus" w:hint="cs"/>
          <w:sz w:val="28"/>
          <w:rtl/>
        </w:rPr>
        <w:t>«</w:t>
      </w:r>
      <w:r w:rsidR="00BE544A">
        <w:rPr>
          <w:rFonts w:ascii="NoorLotus" w:hAnsi="NoorLotus"/>
          <w:sz w:val="28"/>
          <w:rtl/>
        </w:rPr>
        <w:t xml:space="preserve">اگر شامل غائبین و معدومین </w:t>
      </w:r>
      <w:r w:rsidR="00250A43" w:rsidRPr="00DB0560">
        <w:rPr>
          <w:rFonts w:ascii="NoorLotus" w:hAnsi="NoorLotus"/>
          <w:sz w:val="28"/>
          <w:rtl/>
        </w:rPr>
        <w:t xml:space="preserve">شود مستلزم تخاطب </w:t>
      </w:r>
      <w:r w:rsidR="00250A43">
        <w:rPr>
          <w:rFonts w:ascii="NoorLotus" w:hAnsi="NoorLotus" w:hint="cs"/>
          <w:sz w:val="28"/>
          <w:rtl/>
        </w:rPr>
        <w:t>معدومین و غایبین</w:t>
      </w:r>
      <w:r w:rsidR="00250A43" w:rsidRPr="00DB0560">
        <w:rPr>
          <w:rFonts w:ascii="NoorLotus" w:hAnsi="NoorLotus"/>
          <w:sz w:val="28"/>
          <w:rtl/>
        </w:rPr>
        <w:t xml:space="preserve"> است</w:t>
      </w:r>
      <w:r w:rsidR="00BE544A">
        <w:rPr>
          <w:rFonts w:ascii="NoorLotus" w:hAnsi="NoorLotus" w:hint="cs"/>
          <w:sz w:val="28"/>
          <w:rtl/>
        </w:rPr>
        <w:t>»</w:t>
      </w:r>
      <w:r w:rsidR="00250A43">
        <w:rPr>
          <w:rFonts w:ascii="NoorLotus" w:hAnsi="NoorLotus" w:hint="cs"/>
          <w:sz w:val="28"/>
          <w:rtl/>
        </w:rPr>
        <w:t xml:space="preserve"> موجب تشکیک در شمول این خطابات نسبت به آن ها نمی شود. </w:t>
      </w:r>
      <w:r w:rsidR="00437226">
        <w:rPr>
          <w:rFonts w:ascii="NoorLotus" w:hAnsi="NoorLotus" w:hint="cs"/>
          <w:sz w:val="28"/>
          <w:rtl/>
        </w:rPr>
        <w:t>مثل این که شما به دوستتان خطاب می کنید: فلانی! هر کس مظلوم کشته شود ولی او حق قصاص دارد با این که مخاطب شما دوستتان است اما قطعا عموم در کلامتان شامل هر کس که مظلوم کشته شود است.</w:t>
      </w:r>
    </w:p>
    <w:p w:rsidR="00C96676" w:rsidRPr="00C96676" w:rsidRDefault="00C96676" w:rsidP="00C96676">
      <w:pPr>
        <w:pStyle w:val="NoSpacing"/>
        <w:rPr>
          <w:rFonts w:ascii="Times New Roman" w:hAnsi="Times New Roman"/>
          <w:sz w:val="24"/>
          <w:rtl/>
        </w:rPr>
      </w:pPr>
      <w:r>
        <w:rPr>
          <w:rFonts w:ascii="NoorLotus" w:hAnsi="NoorLotus" w:hint="cs"/>
          <w:sz w:val="28"/>
          <w:rtl/>
        </w:rPr>
        <w:t>واما ارتباط این مساله با بحث عام و خاص این است که عمومات موجود در قرآن که مشتمل بر ادات خطاب هستند مثل «</w:t>
      </w:r>
      <w:r w:rsidRPr="00C96676">
        <w:rPr>
          <w:rFonts w:hint="cs"/>
          <w:rtl/>
        </w:rPr>
        <w:t xml:space="preserve">يا أَيُّهَا الَّذينَ آمَنُوا إِذا نُودِيَ‏ لِلصَّلاةِ مِنْ يَوْمِ الْجُمُعَةِ فَاسْعَوْا إِلى‏ ذِكْرِ اللَّهِ </w:t>
      </w:r>
      <w:r>
        <w:rPr>
          <w:rFonts w:ascii="NoorLotus" w:hAnsi="NoorLotus" w:hint="cs"/>
          <w:sz w:val="28"/>
          <w:rtl/>
        </w:rPr>
        <w:t>»</w:t>
      </w:r>
      <w:r>
        <w:rPr>
          <w:rStyle w:val="FootnoteReference"/>
          <w:rFonts w:ascii="NoorLotus" w:hAnsi="NoorLotus"/>
          <w:sz w:val="28"/>
          <w:rtl/>
        </w:rPr>
        <w:footnoteReference w:id="3"/>
      </w:r>
      <w:r>
        <w:rPr>
          <w:rFonts w:ascii="NoorLotus" w:hAnsi="NoorLotus" w:hint="cs"/>
          <w:sz w:val="28"/>
          <w:rtl/>
        </w:rPr>
        <w:t xml:space="preserve"> شامل معدومین در زمان صدور خطاب می شود تا بتوان با تمسک به اطلاق آن وجوب نماز جمعه را در زمان غیبت اثبات کرد یا شامل آن ها نمی شود، و این مناسب با بحث عام و خاص است. </w:t>
      </w:r>
    </w:p>
    <w:p w:rsidR="00DE7D5E" w:rsidRPr="00B16A1C" w:rsidRDefault="00C96676" w:rsidP="0039165F">
      <w:pPr>
        <w:pStyle w:val="NoSpacing"/>
        <w:rPr>
          <w:rFonts w:ascii="Traditional Arabic" w:cs="Traditional Arabic"/>
          <w:color w:val="000000"/>
          <w:sz w:val="30"/>
          <w:szCs w:val="30"/>
          <w:rtl/>
        </w:rPr>
      </w:pPr>
      <w:r>
        <w:rPr>
          <w:rFonts w:hint="cs"/>
          <w:rtl/>
        </w:rPr>
        <w:t xml:space="preserve">و به نظر ما اشکال اساسی در امکان نیست بلکه در ظهور خطاب است که آیا </w:t>
      </w:r>
      <w:r w:rsidR="0039165F">
        <w:rPr>
          <w:rFonts w:hint="cs"/>
          <w:rtl/>
        </w:rPr>
        <w:t>خطاب</w:t>
      </w:r>
      <w:r w:rsidR="00B16A1C">
        <w:rPr>
          <w:rFonts w:hint="cs"/>
          <w:rtl/>
        </w:rPr>
        <w:t xml:space="preserve"> </w:t>
      </w:r>
      <w:r>
        <w:rPr>
          <w:rFonts w:hint="cs"/>
          <w:rtl/>
        </w:rPr>
        <w:t xml:space="preserve">ظهور در شمول نسبت به معدومین یا غایبین دارد و یا چنین ظهوری ندارد، و بلکه اشکال </w:t>
      </w:r>
      <w:r w:rsidR="00DE7D5E">
        <w:rPr>
          <w:rFonts w:hint="cs"/>
          <w:rtl/>
        </w:rPr>
        <w:t xml:space="preserve"> فراتر از این است و ممکن است ضمیر خطاب به بعضی از موجودین در زمان خطاب برگردد </w:t>
      </w:r>
      <w:r w:rsidR="0039165F">
        <w:rPr>
          <w:rFonts w:hint="cs"/>
          <w:rtl/>
        </w:rPr>
        <w:t xml:space="preserve">نه همه آنها </w:t>
      </w:r>
      <w:r w:rsidR="00DE7D5E">
        <w:rPr>
          <w:rFonts w:hint="cs"/>
          <w:rtl/>
        </w:rPr>
        <w:t>مثل کلام امام علیه السلام در مقبوله عمربن حنظله</w:t>
      </w:r>
      <w:r>
        <w:rPr>
          <w:rFonts w:hint="cs"/>
          <w:rtl/>
        </w:rPr>
        <w:t>:</w:t>
      </w:r>
      <w:r w:rsidRPr="00B16A1C">
        <w:rPr>
          <w:rFonts w:hint="cs"/>
          <w:rtl/>
        </w:rPr>
        <w:t xml:space="preserve"> </w:t>
      </w:r>
      <w:r w:rsidR="00DE7D5E" w:rsidRPr="00B16A1C">
        <w:rPr>
          <w:rFonts w:hint="cs"/>
          <w:rtl/>
        </w:rPr>
        <w:t>«</w:t>
      </w:r>
      <w:r w:rsidR="00B16A1C" w:rsidRPr="00B16A1C">
        <w:rPr>
          <w:rFonts w:ascii="Traditional Arabic" w:cs="Traditional Arabic" w:hint="cs"/>
          <w:sz w:val="30"/>
          <w:szCs w:val="30"/>
          <w:rtl/>
        </w:rPr>
        <w:t>يَنْظُرَانِ إِلَى مَنْ كَانَ مِنْكُمْ مِمَّنْ قَدْ رَوَى حَدِيثَنَا وَ نَظَرَ فِي حَلَالِنَا وَ حَرَامِنَا وَ عَرَفَ‏ أَحْكَامَنَا فَلْيَرْضَوْا بِهِ حَكَما</w:t>
      </w:r>
      <w:r w:rsidR="00DE7D5E" w:rsidRPr="00B16A1C">
        <w:rPr>
          <w:rFonts w:hint="cs"/>
          <w:rtl/>
        </w:rPr>
        <w:t>»</w:t>
      </w:r>
      <w:r w:rsidR="00B16A1C">
        <w:rPr>
          <w:rStyle w:val="FootnoteReference"/>
          <w:rtl/>
        </w:rPr>
        <w:footnoteReference w:id="4"/>
      </w:r>
      <w:r w:rsidR="00DE7D5E" w:rsidRPr="00B16A1C">
        <w:rPr>
          <w:rFonts w:hint="cs"/>
          <w:rtl/>
        </w:rPr>
        <w:t xml:space="preserve"> </w:t>
      </w:r>
      <w:r w:rsidR="00DE7D5E">
        <w:rPr>
          <w:rFonts w:hint="cs"/>
          <w:rtl/>
        </w:rPr>
        <w:t>که برخی گفتند اطلاق آن شامل</w:t>
      </w:r>
      <w:r>
        <w:rPr>
          <w:rFonts w:hint="cs"/>
          <w:rtl/>
        </w:rPr>
        <w:t xml:space="preserve"> زنی که ویژگی های مذکور در روایت را داشته باشد نیز می شود.ولی  این بیان تمام نیست و نمی توان به اطلاق آن تمسک کرد چون ممکن است </w:t>
      </w:r>
      <w:r w:rsidR="00B16A1C">
        <w:rPr>
          <w:rFonts w:hint="cs"/>
          <w:rtl/>
        </w:rPr>
        <w:t xml:space="preserve">مخاطب های این خطاب </w:t>
      </w:r>
      <w:r w:rsidR="00DE7D5E">
        <w:rPr>
          <w:rFonts w:hint="cs"/>
          <w:rtl/>
        </w:rPr>
        <w:t xml:space="preserve">رجال شیعه </w:t>
      </w:r>
      <w:r w:rsidR="00B16A1C">
        <w:rPr>
          <w:rFonts w:hint="cs"/>
          <w:rtl/>
        </w:rPr>
        <w:t>باشند.</w:t>
      </w:r>
    </w:p>
    <w:p w:rsidR="00DE7D5E" w:rsidRDefault="00B16A1C" w:rsidP="00B16A1C">
      <w:pPr>
        <w:pStyle w:val="Heading2"/>
        <w:rPr>
          <w:rtl/>
        </w:rPr>
      </w:pPr>
      <w:bookmarkStart w:id="7" w:name="_Toc121134008"/>
      <w:r>
        <w:rPr>
          <w:rFonts w:hint="cs"/>
          <w:rtl/>
        </w:rPr>
        <w:lastRenderedPageBreak/>
        <w:t>کلام صاحب کفایه در بررسی نحو اول از محل نزاع</w:t>
      </w:r>
      <w:bookmarkEnd w:id="7"/>
    </w:p>
    <w:p w:rsidR="00DE7D5E" w:rsidRDefault="00DE7D5E" w:rsidP="00B16A1C">
      <w:pPr>
        <w:rPr>
          <w:rtl/>
        </w:rPr>
      </w:pPr>
      <w:r>
        <w:rPr>
          <w:rFonts w:hint="cs"/>
          <w:rtl/>
        </w:rPr>
        <w:t>مرحوم آخوند</w:t>
      </w:r>
      <w:r w:rsidR="00B16A1C">
        <w:rPr>
          <w:rFonts w:hint="cs"/>
          <w:rtl/>
        </w:rPr>
        <w:t xml:space="preserve"> رحمه الله </w:t>
      </w:r>
      <w:r>
        <w:rPr>
          <w:rFonts w:hint="cs"/>
          <w:rtl/>
        </w:rPr>
        <w:t xml:space="preserve"> بعد از این که </w:t>
      </w:r>
      <w:r w:rsidR="00B16A1C">
        <w:rPr>
          <w:rFonts w:hint="cs"/>
          <w:rtl/>
        </w:rPr>
        <w:t xml:space="preserve">محل نزاع را به سه نحو تحریر کردند، به بررسی آن سه نحو پرداختند. </w:t>
      </w:r>
    </w:p>
    <w:p w:rsidR="00DE7D5E" w:rsidRDefault="00B16A1C" w:rsidP="00F95155">
      <w:pPr>
        <w:rPr>
          <w:rtl/>
        </w:rPr>
      </w:pPr>
      <w:r>
        <w:rPr>
          <w:rFonts w:hint="cs"/>
          <w:rtl/>
        </w:rPr>
        <w:t xml:space="preserve">ایشان نسبت به نحو اول از محل نزاع فرمودند: تعلق </w:t>
      </w:r>
      <w:r w:rsidR="00DE7D5E">
        <w:rPr>
          <w:rFonts w:hint="cs"/>
          <w:rtl/>
        </w:rPr>
        <w:t xml:space="preserve">تکلیف فعلی به معدومین محال است اما </w:t>
      </w:r>
      <w:r>
        <w:rPr>
          <w:rFonts w:hint="cs"/>
          <w:rtl/>
        </w:rPr>
        <w:t xml:space="preserve">تعلق </w:t>
      </w:r>
      <w:r w:rsidR="00DE7D5E">
        <w:rPr>
          <w:rFonts w:hint="cs"/>
          <w:rtl/>
        </w:rPr>
        <w:t xml:space="preserve">تکلیف انشایی </w:t>
      </w:r>
      <w:r>
        <w:rPr>
          <w:rFonts w:hint="cs"/>
          <w:rtl/>
        </w:rPr>
        <w:t xml:space="preserve">به معدومین ممکن است، </w:t>
      </w:r>
      <w:r w:rsidR="00DE7D5E">
        <w:rPr>
          <w:rFonts w:hint="cs"/>
          <w:rtl/>
        </w:rPr>
        <w:t xml:space="preserve">چون انشاء خفیف المئونه است و </w:t>
      </w:r>
      <w:r>
        <w:rPr>
          <w:rFonts w:hint="cs"/>
          <w:rtl/>
        </w:rPr>
        <w:t>محذوری ندارد که خداوند تکلیف به یک فعلی را انشاء کند و آن</w:t>
      </w:r>
      <w:r w:rsidR="00DE7D5E">
        <w:rPr>
          <w:rFonts w:hint="cs"/>
          <w:rtl/>
        </w:rPr>
        <w:t xml:space="preserve"> را قانون قر</w:t>
      </w:r>
      <w:r w:rsidR="0039165F">
        <w:rPr>
          <w:rFonts w:hint="cs"/>
          <w:rtl/>
        </w:rPr>
        <w:t xml:space="preserve">ار دهد که شامل موجود </w:t>
      </w:r>
      <w:r w:rsidR="00DE7D5E">
        <w:rPr>
          <w:rFonts w:hint="cs"/>
          <w:rtl/>
        </w:rPr>
        <w:t xml:space="preserve">و معدوم حین الخطاب شود البته </w:t>
      </w:r>
      <w:r>
        <w:rPr>
          <w:rFonts w:hint="cs"/>
          <w:rtl/>
        </w:rPr>
        <w:t xml:space="preserve">نسبت به موجود حین الخطاب در صورت وجود شرایط در او همان حین صدور خطاب تکلیف فعلی می شود ولی نسبت به معدوم </w:t>
      </w:r>
      <w:r w:rsidR="00DE7D5E">
        <w:rPr>
          <w:rFonts w:hint="cs"/>
          <w:rtl/>
        </w:rPr>
        <w:t xml:space="preserve">بعد از وجود </w:t>
      </w:r>
      <w:r>
        <w:rPr>
          <w:rFonts w:hint="cs"/>
          <w:rtl/>
        </w:rPr>
        <w:t>او و تحقق شرایط تکلیف در او،</w:t>
      </w:r>
      <w:r w:rsidR="00DE7D5E">
        <w:rPr>
          <w:rFonts w:hint="cs"/>
          <w:rtl/>
        </w:rPr>
        <w:t xml:space="preserve"> فعلی </w:t>
      </w:r>
      <w:r>
        <w:rPr>
          <w:rFonts w:hint="cs"/>
          <w:rtl/>
        </w:rPr>
        <w:t>می شود. و وجه انشاء خطاب به این نحو این است که(حین وجود معدومین در زمان خطاب)</w:t>
      </w:r>
      <w:r w:rsidR="00DE7D5E">
        <w:rPr>
          <w:rFonts w:hint="cs"/>
          <w:rtl/>
        </w:rPr>
        <w:t xml:space="preserve"> به انشاء جدید</w:t>
      </w:r>
      <w:r>
        <w:rPr>
          <w:rFonts w:hint="cs"/>
          <w:rtl/>
        </w:rPr>
        <w:t xml:space="preserve"> نیاز</w:t>
      </w:r>
      <w:r w:rsidR="00DE7D5E">
        <w:rPr>
          <w:rFonts w:hint="cs"/>
          <w:rtl/>
        </w:rPr>
        <w:t xml:space="preserve"> نداشته باشد</w:t>
      </w:r>
      <w:r>
        <w:rPr>
          <w:rFonts w:hint="cs"/>
          <w:rtl/>
        </w:rPr>
        <w:t>.</w:t>
      </w:r>
      <w:r w:rsidR="00DE7D5E">
        <w:rPr>
          <w:rFonts w:hint="cs"/>
          <w:rtl/>
        </w:rPr>
        <w:t xml:space="preserve"> شبیه انشاء تملیک وقف خاص بر بطون</w:t>
      </w:r>
      <w:r w:rsidR="00F95155">
        <w:rPr>
          <w:rFonts w:hint="cs"/>
          <w:rtl/>
        </w:rPr>
        <w:t>،</w:t>
      </w:r>
      <w:r w:rsidR="00DE7D5E">
        <w:rPr>
          <w:rFonts w:hint="cs"/>
          <w:rtl/>
        </w:rPr>
        <w:t xml:space="preserve"> که انشاء شامل بطن </w:t>
      </w:r>
      <w:r w:rsidR="00F95155">
        <w:rPr>
          <w:rFonts w:hint="cs"/>
          <w:rtl/>
        </w:rPr>
        <w:t>معدوم در زمان خطاب نیز می شود ولی تا موجود نشو</w:t>
      </w:r>
      <w:r w:rsidR="00DE7D5E">
        <w:rPr>
          <w:rFonts w:hint="cs"/>
          <w:rtl/>
        </w:rPr>
        <w:t>د مالک</w:t>
      </w:r>
      <w:r w:rsidR="006E7529">
        <w:rPr>
          <w:rFonts w:hint="cs"/>
          <w:rtl/>
        </w:rPr>
        <w:t xml:space="preserve"> بالفعل نسبت به این وقف</w:t>
      </w:r>
      <w:r w:rsidR="00DE7D5E">
        <w:rPr>
          <w:rFonts w:hint="cs"/>
          <w:rtl/>
        </w:rPr>
        <w:t xml:space="preserve"> نمی شوند. </w:t>
      </w:r>
    </w:p>
    <w:p w:rsidR="00DE7D5E" w:rsidRPr="00F95155" w:rsidRDefault="00F95155" w:rsidP="00F95155">
      <w:pPr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این قسمت از کلام ایشان </w:t>
      </w:r>
      <w:r w:rsidR="00DE7D5E">
        <w:rPr>
          <w:rFonts w:hint="cs"/>
          <w:rtl/>
        </w:rPr>
        <w:t xml:space="preserve">شبیه کلام </w:t>
      </w:r>
      <w:r>
        <w:rPr>
          <w:rFonts w:hint="cs"/>
          <w:rtl/>
        </w:rPr>
        <w:t xml:space="preserve">دیگر بزرگان مثل محقق نایینی رحمه الله است که فرمودند: </w:t>
      </w:r>
      <w:r>
        <w:rPr>
          <w:rFonts w:ascii="NoorLotus" w:hAnsi="NoorLotus"/>
          <w:sz w:val="28"/>
          <w:rtl/>
        </w:rPr>
        <w:t>جعل</w:t>
      </w:r>
      <w:r>
        <w:rPr>
          <w:rFonts w:ascii="NoorLotus" w:hAnsi="NoorLotus" w:hint="cs"/>
          <w:sz w:val="28"/>
          <w:rtl/>
        </w:rPr>
        <w:t xml:space="preserve"> تکلیف مثل «</w:t>
      </w:r>
      <w:r w:rsidRPr="00F95155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المستطیع البالغ العاقل یجب علیه الحج</w:t>
      </w:r>
      <w:r>
        <w:rPr>
          <w:rFonts w:ascii="NoorLotus" w:hAnsi="NoorLotus" w:hint="cs"/>
          <w:sz w:val="28"/>
          <w:rtl/>
        </w:rPr>
        <w:t>»</w:t>
      </w:r>
      <w:r>
        <w:rPr>
          <w:rFonts w:ascii="NoorLotus" w:hAnsi="NoorLotus"/>
          <w:sz w:val="28"/>
          <w:rtl/>
        </w:rPr>
        <w:t xml:space="preserve"> به نحو قضیه حقیقیه است</w:t>
      </w:r>
      <w:r>
        <w:rPr>
          <w:rFonts w:ascii="NoorLotus" w:hAnsi="NoorLotus" w:hint="cs"/>
          <w:sz w:val="28"/>
          <w:rtl/>
        </w:rPr>
        <w:t>،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که </w:t>
      </w:r>
      <w:r>
        <w:rPr>
          <w:rFonts w:ascii="NoorLotus" w:hAnsi="NoorLotus"/>
          <w:sz w:val="28"/>
          <w:rtl/>
        </w:rPr>
        <w:t>حکم</w:t>
      </w:r>
      <w:r>
        <w:rPr>
          <w:rFonts w:ascii="NoorLotus" w:hAnsi="NoorLotus" w:hint="cs"/>
          <w:sz w:val="28"/>
          <w:rtl/>
        </w:rPr>
        <w:t xml:space="preserve"> در آن</w:t>
      </w:r>
      <w:r>
        <w:rPr>
          <w:rFonts w:ascii="NoorLotus" w:hAnsi="NoorLotus"/>
          <w:sz w:val="28"/>
          <w:rtl/>
        </w:rPr>
        <w:t xml:space="preserve"> انحلالی است</w:t>
      </w:r>
      <w:r>
        <w:rPr>
          <w:rFonts w:ascii="NoorLotus" w:hAnsi="NoorLotus" w:hint="cs"/>
          <w:sz w:val="28"/>
          <w:rtl/>
        </w:rPr>
        <w:t xml:space="preserve"> و هر موقع موضوع آن محقق شد حکم فعلی می شود و نسبت به زید که امروز موجود است در صورت وجود شرایط تکلیف در حق او فعلی می شود و نسبت به شخص دیگر که صد سال دیگر موجود می شود، همان حین تحقق شرایط در او تکلیف نیز فعلی می شود</w:t>
      </w:r>
      <w:r>
        <w:rPr>
          <w:rStyle w:val="FootnoteReference"/>
          <w:rFonts w:ascii="NoorLotus" w:hAnsi="NoorLotus"/>
          <w:sz w:val="28"/>
          <w:rtl/>
        </w:rPr>
        <w:footnoteReference w:id="5"/>
      </w:r>
      <w:r>
        <w:rPr>
          <w:rFonts w:ascii="NoorLotus" w:hAnsi="NoorLotus" w:hint="cs"/>
          <w:sz w:val="28"/>
          <w:rtl/>
        </w:rPr>
        <w:t xml:space="preserve">. </w:t>
      </w:r>
    </w:p>
    <w:p w:rsidR="00DE7D5E" w:rsidRDefault="00DE7D5E" w:rsidP="00117B90">
      <w:pPr>
        <w:pStyle w:val="NoSpacing"/>
        <w:rPr>
          <w:rtl/>
        </w:rPr>
      </w:pPr>
      <w:r>
        <w:rPr>
          <w:rFonts w:hint="cs"/>
          <w:rtl/>
        </w:rPr>
        <w:t xml:space="preserve">ولی ایشان در ادامه </w:t>
      </w:r>
      <w:r w:rsidR="00F95155">
        <w:rPr>
          <w:rFonts w:hint="cs"/>
          <w:rtl/>
        </w:rPr>
        <w:t>فرمودند</w:t>
      </w:r>
      <w:r>
        <w:rPr>
          <w:rFonts w:hint="cs"/>
          <w:rtl/>
        </w:rPr>
        <w:t>: این مطلب</w:t>
      </w:r>
      <w:r w:rsidR="00F95155">
        <w:rPr>
          <w:rFonts w:hint="cs"/>
          <w:rtl/>
        </w:rPr>
        <w:t xml:space="preserve"> که </w:t>
      </w:r>
      <w:r w:rsidR="00F95155">
        <w:rPr>
          <w:rFonts w:ascii="NoorLotus" w:hAnsi="NoorLotus"/>
          <w:sz w:val="28"/>
          <w:rtl/>
        </w:rPr>
        <w:t xml:space="preserve">انشاء قبل از وجود این افراد معدوم باشد و بعد از وجود حکم </w:t>
      </w:r>
      <w:r w:rsidR="00F95155">
        <w:rPr>
          <w:rFonts w:ascii="NoorLotus" w:hAnsi="NoorLotus" w:hint="cs"/>
          <w:sz w:val="28"/>
          <w:rtl/>
        </w:rPr>
        <w:t xml:space="preserve">نسبت به آن ها </w:t>
      </w:r>
      <w:r w:rsidR="00F95155">
        <w:rPr>
          <w:rFonts w:ascii="NoorLotus" w:hAnsi="NoorLotus"/>
          <w:sz w:val="28"/>
          <w:rtl/>
        </w:rPr>
        <w:t>فعلی باشد</w:t>
      </w:r>
      <w:r w:rsidR="00F95155">
        <w:rPr>
          <w:rFonts w:ascii="NoorLotus" w:hAnsi="NoorLotus" w:hint="cs"/>
          <w:sz w:val="28"/>
          <w:rtl/>
        </w:rPr>
        <w:t>،</w:t>
      </w:r>
      <w:r>
        <w:rPr>
          <w:rFonts w:hint="cs"/>
          <w:rtl/>
        </w:rPr>
        <w:t xml:space="preserve"> نسبت به فرضی است که انشاء مطلق باشد ولی اگر انشاء مقید به </w:t>
      </w:r>
      <w:r w:rsidR="00F95155">
        <w:rPr>
          <w:rFonts w:hint="cs"/>
          <w:rtl/>
        </w:rPr>
        <w:t xml:space="preserve">وجود </w:t>
      </w:r>
      <w:r>
        <w:rPr>
          <w:rFonts w:hint="cs"/>
          <w:rtl/>
        </w:rPr>
        <w:t>مکلف جامع شرایط باشد</w:t>
      </w:r>
      <w:r w:rsidR="00117B90">
        <w:rPr>
          <w:rFonts w:hint="cs"/>
          <w:rtl/>
        </w:rPr>
        <w:t xml:space="preserve"> مثل «اذا وجد زید بعد مأة سنة</w:t>
      </w:r>
      <w:r w:rsidR="006E7529">
        <w:rPr>
          <w:rFonts w:ascii="NoorLotus" w:hAnsi="NoorLotus"/>
          <w:sz w:val="28"/>
          <w:rtl/>
        </w:rPr>
        <w:t xml:space="preserve"> و صار بالغا عاقلا</w:t>
      </w:r>
      <w:r w:rsidR="00117B90">
        <w:rPr>
          <w:rFonts w:ascii="NoorLotus" w:hAnsi="NoorLotus"/>
          <w:sz w:val="28"/>
          <w:rtl/>
        </w:rPr>
        <w:t xml:space="preserve"> مستطیعا وجب علیه الح</w:t>
      </w:r>
      <w:r w:rsidR="00117B90">
        <w:rPr>
          <w:rFonts w:hint="cs"/>
          <w:rtl/>
        </w:rPr>
        <w:t>ج»،</w:t>
      </w:r>
      <w:r>
        <w:rPr>
          <w:rFonts w:hint="cs"/>
          <w:rtl/>
        </w:rPr>
        <w:t xml:space="preserve"> امکان آن وا</w:t>
      </w:r>
      <w:r w:rsidR="006E7529">
        <w:rPr>
          <w:rFonts w:hint="cs"/>
          <w:rtl/>
        </w:rPr>
        <w:t>ضح است.</w:t>
      </w:r>
    </w:p>
    <w:p w:rsidR="00117B90" w:rsidRDefault="00117B90" w:rsidP="00117B90">
      <w:pPr>
        <w:pStyle w:val="Heading2"/>
        <w:rPr>
          <w:rtl/>
        </w:rPr>
      </w:pPr>
      <w:bookmarkStart w:id="8" w:name="_Toc121134009"/>
      <w:r>
        <w:rPr>
          <w:rFonts w:hint="cs"/>
          <w:rtl/>
        </w:rPr>
        <w:t>بررسی کلام صاحب کفایه در نحو اول از محل نزاع</w:t>
      </w:r>
      <w:bookmarkEnd w:id="8"/>
    </w:p>
    <w:p w:rsidR="00595DBC" w:rsidRDefault="00595DBC" w:rsidP="006F4A78">
      <w:pPr>
        <w:rPr>
          <w:rtl/>
        </w:rPr>
      </w:pPr>
      <w:r>
        <w:rPr>
          <w:rFonts w:hint="cs"/>
          <w:rtl/>
        </w:rPr>
        <w:t>فرق گذاشتن بین انشاء مطلق و انشاء مقید به وجود صحیح نیست چون در انشاء م</w:t>
      </w:r>
      <w:r w:rsidR="006E7529">
        <w:rPr>
          <w:rFonts w:hint="cs"/>
          <w:rtl/>
        </w:rPr>
        <w:t>طلق نیز کبرای جعل لبا مقید به و</w:t>
      </w:r>
      <w:r>
        <w:rPr>
          <w:rFonts w:hint="cs"/>
          <w:rtl/>
        </w:rPr>
        <w:t xml:space="preserve">جود موضوعش است. </w:t>
      </w:r>
    </w:p>
    <w:p w:rsidR="00D016DB" w:rsidRDefault="00595DBC" w:rsidP="00595DBC">
      <w:pPr>
        <w:rPr>
          <w:rtl/>
        </w:rPr>
      </w:pPr>
      <w:r>
        <w:rPr>
          <w:rFonts w:hint="cs"/>
          <w:rtl/>
        </w:rPr>
        <w:t xml:space="preserve">و </w:t>
      </w:r>
      <w:r w:rsidR="00D016DB">
        <w:rPr>
          <w:rFonts w:hint="cs"/>
          <w:rtl/>
        </w:rPr>
        <w:t>اگر مراد</w:t>
      </w:r>
      <w:r>
        <w:rPr>
          <w:rFonts w:hint="cs"/>
          <w:rtl/>
        </w:rPr>
        <w:t xml:space="preserve"> ایشان از انشاء مطلق این است</w:t>
      </w:r>
      <w:r w:rsidR="00D016DB">
        <w:rPr>
          <w:rFonts w:hint="cs"/>
          <w:rtl/>
        </w:rPr>
        <w:t xml:space="preserve"> که حج الان نسبت به شخصی که صد سال دیگر موجود می شود</w:t>
      </w:r>
      <w:r>
        <w:rPr>
          <w:rFonts w:hint="cs"/>
          <w:rtl/>
        </w:rPr>
        <w:t>، واجب است، و وقتی الان واجب است موضوع وجوب نیز الان موجود است</w:t>
      </w:r>
      <w:r w:rsidR="00D016DB">
        <w:rPr>
          <w:rFonts w:hint="cs"/>
          <w:rtl/>
        </w:rPr>
        <w:t xml:space="preserve"> ولی انقداح اراده در نفس مولی</w:t>
      </w:r>
      <w:r>
        <w:rPr>
          <w:rFonts w:hint="cs"/>
          <w:rtl/>
        </w:rPr>
        <w:t xml:space="preserve"> الان محقق نمی شود و</w:t>
      </w:r>
      <w:r w:rsidR="00D016DB">
        <w:rPr>
          <w:rFonts w:hint="cs"/>
          <w:rtl/>
        </w:rPr>
        <w:t xml:space="preserve"> </w:t>
      </w:r>
      <w:r>
        <w:rPr>
          <w:rFonts w:hint="cs"/>
          <w:rtl/>
        </w:rPr>
        <w:t xml:space="preserve">بعد از تحقق آن شخص محقق می شود. </w:t>
      </w:r>
      <w:r w:rsidR="00D016DB">
        <w:rPr>
          <w:rFonts w:hint="cs"/>
          <w:rtl/>
        </w:rPr>
        <w:t>این</w:t>
      </w:r>
      <w:r>
        <w:rPr>
          <w:rFonts w:hint="cs"/>
          <w:rtl/>
        </w:rPr>
        <w:t xml:space="preserve"> نحو انشاء عقلایی نیست و </w:t>
      </w:r>
      <w:r w:rsidR="00D016DB">
        <w:rPr>
          <w:rFonts w:hint="cs"/>
          <w:rtl/>
        </w:rPr>
        <w:t>لغو</w:t>
      </w:r>
      <w:r>
        <w:rPr>
          <w:rFonts w:hint="cs"/>
          <w:rtl/>
        </w:rPr>
        <w:t xml:space="preserve"> محض</w:t>
      </w:r>
      <w:r w:rsidR="00D016DB">
        <w:rPr>
          <w:rFonts w:hint="cs"/>
          <w:rtl/>
        </w:rPr>
        <w:t xml:space="preserve"> است که ح</w:t>
      </w:r>
      <w:r>
        <w:rPr>
          <w:rFonts w:hint="cs"/>
          <w:rtl/>
        </w:rPr>
        <w:t>کم قبل از وجود زید نسبت به او فعلی شود چون اصلا الان زید وجود ندارد تا گفته شود حج بر او واجب است. البته انشاء</w:t>
      </w:r>
      <w:r w:rsidR="00D016DB">
        <w:rPr>
          <w:rFonts w:hint="cs"/>
          <w:rtl/>
        </w:rPr>
        <w:t xml:space="preserve"> خفیف المئونه است ولی </w:t>
      </w:r>
      <w:r>
        <w:rPr>
          <w:rFonts w:hint="cs"/>
          <w:rtl/>
        </w:rPr>
        <w:t xml:space="preserve">نه به این مقدار. </w:t>
      </w:r>
    </w:p>
    <w:p w:rsidR="00D016DB" w:rsidRDefault="00175259" w:rsidP="009E748D">
      <w:pPr>
        <w:rPr>
          <w:rtl/>
        </w:rPr>
      </w:pPr>
      <w:r>
        <w:rPr>
          <w:rFonts w:hint="cs"/>
          <w:rtl/>
        </w:rPr>
        <w:t xml:space="preserve">بنابراین جواب صحیح این است که گفته شود </w:t>
      </w:r>
      <w:r w:rsidR="00D016DB">
        <w:rPr>
          <w:rFonts w:hint="cs"/>
          <w:rtl/>
        </w:rPr>
        <w:t>ه</w:t>
      </w:r>
      <w:r>
        <w:rPr>
          <w:rFonts w:hint="cs"/>
          <w:rtl/>
        </w:rPr>
        <w:t>ر حکمی تابع موضوعش است و هر زمانی که موضوع محقق شد حکم نیز همان موقع فعلی می شود، و امروز انشاء ا</w:t>
      </w:r>
      <w:r w:rsidR="00D016DB">
        <w:rPr>
          <w:rFonts w:hint="cs"/>
          <w:rtl/>
        </w:rPr>
        <w:t>ست نه این که حکم انشایی</w:t>
      </w:r>
      <w:r>
        <w:rPr>
          <w:rFonts w:hint="cs"/>
          <w:rtl/>
        </w:rPr>
        <w:t xml:space="preserve"> و حکم در مرتبه انشاء</w:t>
      </w:r>
      <w:r w:rsidR="00D016DB">
        <w:rPr>
          <w:rFonts w:hint="cs"/>
          <w:rtl/>
        </w:rPr>
        <w:t xml:space="preserve"> وجود داشته باشد</w:t>
      </w:r>
      <w:r>
        <w:rPr>
          <w:rFonts w:hint="cs"/>
          <w:rtl/>
        </w:rPr>
        <w:t>.</w:t>
      </w:r>
      <w:r w:rsidR="00D016DB">
        <w:rPr>
          <w:rFonts w:hint="cs"/>
          <w:rtl/>
        </w:rPr>
        <w:t xml:space="preserve"> مثل وصیت که وقتی</w:t>
      </w:r>
      <w:r>
        <w:rPr>
          <w:rFonts w:hint="cs"/>
          <w:rtl/>
        </w:rPr>
        <w:t xml:space="preserve"> شخص</w:t>
      </w:r>
      <w:r w:rsidR="00D016DB">
        <w:rPr>
          <w:rFonts w:hint="cs"/>
          <w:rtl/>
        </w:rPr>
        <w:t xml:space="preserve"> </w:t>
      </w:r>
      <w:r>
        <w:rPr>
          <w:rFonts w:hint="cs"/>
          <w:rtl/>
        </w:rPr>
        <w:t xml:space="preserve">می گوید: </w:t>
      </w:r>
      <w:r w:rsidR="00D016DB">
        <w:rPr>
          <w:rFonts w:hint="cs"/>
          <w:rtl/>
        </w:rPr>
        <w:t>«</w:t>
      </w:r>
      <w:r>
        <w:rPr>
          <w:rFonts w:hint="cs"/>
          <w:rtl/>
        </w:rPr>
        <w:t xml:space="preserve">اگر </w:t>
      </w:r>
      <w:r w:rsidRPr="00DB0560">
        <w:rPr>
          <w:rFonts w:ascii="NoorLotus" w:hAnsi="NoorLotus"/>
          <w:sz w:val="28"/>
          <w:rtl/>
        </w:rPr>
        <w:t xml:space="preserve">من </w:t>
      </w:r>
      <w:r w:rsidR="009E748D">
        <w:rPr>
          <w:rFonts w:ascii="NoorLotus" w:hAnsi="NoorLotus" w:hint="cs"/>
          <w:sz w:val="28"/>
          <w:rtl/>
        </w:rPr>
        <w:t>از دنیا رفتم</w:t>
      </w:r>
      <w:r w:rsidRPr="00DB0560">
        <w:rPr>
          <w:rFonts w:ascii="NoorLotus" w:hAnsi="NoorLotus"/>
          <w:sz w:val="28"/>
          <w:rtl/>
        </w:rPr>
        <w:t xml:space="preserve"> این خانه</w:t>
      </w:r>
      <w:r>
        <w:rPr>
          <w:rFonts w:ascii="NoorLotus" w:hAnsi="NoorLotus"/>
          <w:sz w:val="28"/>
          <w:rtl/>
        </w:rPr>
        <w:t>‌</w:t>
      </w:r>
      <w:r w:rsidRPr="00DB05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برای</w:t>
      </w:r>
      <w:r w:rsidRPr="00DB0560">
        <w:rPr>
          <w:rFonts w:ascii="NoorLotus" w:hAnsi="NoorLotus"/>
          <w:sz w:val="28"/>
          <w:rtl/>
        </w:rPr>
        <w:t xml:space="preserve"> همسرم باشد</w:t>
      </w:r>
      <w:r>
        <w:rPr>
          <w:rFonts w:ascii="NoorLotus" w:hAnsi="NoorLotus" w:hint="cs"/>
          <w:sz w:val="28"/>
          <w:rtl/>
        </w:rPr>
        <w:t>.</w:t>
      </w:r>
      <w:r w:rsidR="00D016DB">
        <w:rPr>
          <w:rFonts w:hint="cs"/>
          <w:rtl/>
        </w:rPr>
        <w:t xml:space="preserve">» الان </w:t>
      </w:r>
      <w:r>
        <w:rPr>
          <w:rFonts w:hint="cs"/>
          <w:rtl/>
        </w:rPr>
        <w:t>انشاء</w:t>
      </w:r>
      <w:r w:rsidR="00D016DB">
        <w:rPr>
          <w:rFonts w:hint="cs"/>
          <w:rtl/>
        </w:rPr>
        <w:t xml:space="preserve"> است نه </w:t>
      </w:r>
      <w:r>
        <w:rPr>
          <w:rFonts w:hint="cs"/>
          <w:rtl/>
        </w:rPr>
        <w:t xml:space="preserve">این که الان </w:t>
      </w:r>
      <w:r w:rsidR="00D016DB">
        <w:rPr>
          <w:rFonts w:hint="cs"/>
          <w:rtl/>
        </w:rPr>
        <w:t>ملکیت انشایی</w:t>
      </w:r>
      <w:r>
        <w:rPr>
          <w:rFonts w:hint="cs"/>
          <w:rtl/>
        </w:rPr>
        <w:t xml:space="preserve"> باشد.</w:t>
      </w:r>
      <w:r w:rsidR="00D016DB">
        <w:rPr>
          <w:rFonts w:hint="cs"/>
          <w:rtl/>
        </w:rPr>
        <w:t xml:space="preserve"> در مقام</w:t>
      </w:r>
      <w:r>
        <w:rPr>
          <w:rFonts w:hint="cs"/>
          <w:rtl/>
        </w:rPr>
        <w:t xml:space="preserve"> نیز</w:t>
      </w:r>
      <w:r w:rsidR="00D016DB">
        <w:rPr>
          <w:rFonts w:hint="cs"/>
          <w:rtl/>
        </w:rPr>
        <w:t xml:space="preserve"> الان انشاء می کند ولی وجوب صد س</w:t>
      </w:r>
      <w:r>
        <w:rPr>
          <w:rFonts w:hint="cs"/>
          <w:rtl/>
        </w:rPr>
        <w:t xml:space="preserve">ال دیگر را، که بعد از وجود زید در حق او فعلی می شود. </w:t>
      </w:r>
    </w:p>
    <w:p w:rsidR="00D016DB" w:rsidRDefault="00D016DB" w:rsidP="00175259">
      <w:pPr>
        <w:rPr>
          <w:rtl/>
        </w:rPr>
      </w:pPr>
      <w:r>
        <w:rPr>
          <w:rFonts w:hint="cs"/>
          <w:rtl/>
        </w:rPr>
        <w:t>البت</w:t>
      </w:r>
      <w:r w:rsidR="00175259">
        <w:rPr>
          <w:rFonts w:hint="cs"/>
          <w:rtl/>
        </w:rPr>
        <w:t>ه در لسان خطاب به نحو مقید نگفت «</w:t>
      </w:r>
      <w:r w:rsidR="00175259" w:rsidRPr="00DB0560">
        <w:rPr>
          <w:rFonts w:ascii="NoorLotus" w:hAnsi="NoorLotus"/>
          <w:sz w:val="28"/>
          <w:rtl/>
        </w:rPr>
        <w:t>اذا</w:t>
      </w:r>
      <w:r w:rsidR="00175259">
        <w:rPr>
          <w:rFonts w:ascii="NoorLotus" w:hAnsi="NoorLotus"/>
          <w:sz w:val="28"/>
          <w:rtl/>
        </w:rPr>
        <w:t xml:space="preserve"> وجد زید و استطاع یجب علیه الحج</w:t>
      </w:r>
      <w:r w:rsidR="00175259">
        <w:rPr>
          <w:rFonts w:hint="cs"/>
          <w:rtl/>
        </w:rPr>
        <w:t>»</w:t>
      </w:r>
      <w:r w:rsidR="009E748D">
        <w:rPr>
          <w:rFonts w:hint="cs"/>
          <w:rtl/>
        </w:rPr>
        <w:t xml:space="preserve"> ولی مآ</w:t>
      </w:r>
      <w:r>
        <w:rPr>
          <w:rFonts w:hint="cs"/>
          <w:rtl/>
        </w:rPr>
        <w:t>ل</w:t>
      </w:r>
      <w:r w:rsidR="00175259">
        <w:rPr>
          <w:rFonts w:hint="cs"/>
          <w:rtl/>
        </w:rPr>
        <w:t xml:space="preserve"> «المستطیع یحج»</w:t>
      </w:r>
      <w:r>
        <w:rPr>
          <w:rFonts w:hint="cs"/>
          <w:rtl/>
        </w:rPr>
        <w:t xml:space="preserve"> ثبوتا به همین قضیه ی شرطیه است. </w:t>
      </w:r>
    </w:p>
    <w:p w:rsidR="00D016DB" w:rsidRDefault="00175259" w:rsidP="00175259">
      <w:pPr>
        <w:pStyle w:val="Heading2"/>
        <w:rPr>
          <w:rtl/>
        </w:rPr>
      </w:pPr>
      <w:bookmarkStart w:id="9" w:name="_Toc121134010"/>
      <w:r>
        <w:rPr>
          <w:rFonts w:hint="cs"/>
          <w:rtl/>
        </w:rPr>
        <w:t>کلام صاحب کفایه در بررسی نحو دوم از محل نزاع</w:t>
      </w:r>
      <w:bookmarkEnd w:id="9"/>
    </w:p>
    <w:p w:rsidR="00B12B0B" w:rsidRDefault="00175259" w:rsidP="006F4A78">
      <w:pPr>
        <w:rPr>
          <w:rtl/>
        </w:rPr>
      </w:pPr>
      <w:r>
        <w:rPr>
          <w:rFonts w:hint="cs"/>
          <w:rtl/>
        </w:rPr>
        <w:t>ایشان نسبت به نحو دوم از محل نزاع فرمودند:</w:t>
      </w:r>
      <w:r w:rsidR="00D016DB">
        <w:rPr>
          <w:rFonts w:hint="cs"/>
          <w:rtl/>
        </w:rPr>
        <w:t xml:space="preserve"> توجیه خطاب حقیقی به معدوم بلکه غایب محال است چون توجیه خطاب حقیقی یعنی این که او بفهمد</w:t>
      </w:r>
      <w:r w:rsidR="00B12B0B">
        <w:rPr>
          <w:rFonts w:hint="cs"/>
          <w:rtl/>
        </w:rPr>
        <w:t>.</w:t>
      </w:r>
      <w:r w:rsidR="00D016DB">
        <w:rPr>
          <w:rFonts w:hint="cs"/>
          <w:rtl/>
        </w:rPr>
        <w:t>(خطاب حقیقی این است که از من خطاب صادر شود به قصد تفهیم غیر حین صدور الخطاب)</w:t>
      </w:r>
      <w:r w:rsidR="00B12B0B">
        <w:rPr>
          <w:rFonts w:hint="cs"/>
          <w:rtl/>
        </w:rPr>
        <w:t>.</w:t>
      </w:r>
    </w:p>
    <w:p w:rsidR="00D016DB" w:rsidRDefault="00B12B0B" w:rsidP="00EB790C">
      <w:pPr>
        <w:rPr>
          <w:rtl/>
        </w:rPr>
      </w:pPr>
      <w:r>
        <w:rPr>
          <w:rFonts w:hint="cs"/>
          <w:rtl/>
        </w:rPr>
        <w:t>این کلام ایشان صحیح است و توجیه خطاب حقیقی به معدومین و غایبین غیر معقول است، و اما این که مثلا یک نواری ضبط کند و در آن نسل های بعدی خود را مورد خطاب قرار دهد، این خطاب حقیقی نیست و اطلاق خطاب حقیقی بر آن تسامحی و قابل مناقشه است بلکه خطاب انشایی است.</w:t>
      </w:r>
    </w:p>
    <w:p w:rsidR="00B12B0B" w:rsidRDefault="00B12B0B" w:rsidP="00B12B0B">
      <w:pPr>
        <w:pStyle w:val="Heading2"/>
        <w:rPr>
          <w:rtl/>
        </w:rPr>
      </w:pPr>
      <w:bookmarkStart w:id="10" w:name="_Toc121134011"/>
      <w:r>
        <w:rPr>
          <w:rFonts w:hint="cs"/>
          <w:rtl/>
        </w:rPr>
        <w:t>کلام صاحب کفایه در بررسی نحو سوم از محل نزاع</w:t>
      </w:r>
      <w:bookmarkEnd w:id="10"/>
    </w:p>
    <w:p w:rsidR="00595151" w:rsidRDefault="00D016DB" w:rsidP="001E1B51">
      <w:pPr>
        <w:rPr>
          <w:rtl/>
        </w:rPr>
      </w:pPr>
      <w:r>
        <w:rPr>
          <w:rFonts w:hint="cs"/>
          <w:rtl/>
        </w:rPr>
        <w:t xml:space="preserve">ایشان </w:t>
      </w:r>
      <w:r w:rsidR="00B12B0B">
        <w:rPr>
          <w:rFonts w:hint="cs"/>
          <w:rtl/>
        </w:rPr>
        <w:t xml:space="preserve">نسبت به نحو سوم از محل نزاع نیز </w:t>
      </w:r>
      <w:r>
        <w:rPr>
          <w:rFonts w:hint="cs"/>
          <w:rtl/>
        </w:rPr>
        <w:t xml:space="preserve">فرمودند: ظاهر </w:t>
      </w:r>
      <w:r w:rsidR="00B12B0B">
        <w:rPr>
          <w:rFonts w:hint="cs"/>
          <w:rtl/>
        </w:rPr>
        <w:t>این است</w:t>
      </w:r>
      <w:r>
        <w:rPr>
          <w:rFonts w:hint="cs"/>
          <w:rtl/>
        </w:rPr>
        <w:t xml:space="preserve"> که ادات خطاب</w:t>
      </w:r>
      <w:r w:rsidR="00B12B0B">
        <w:rPr>
          <w:rFonts w:hint="cs"/>
          <w:rtl/>
        </w:rPr>
        <w:t xml:space="preserve"> برای خطاب انشایی وضع شدند، </w:t>
      </w:r>
      <w:r>
        <w:rPr>
          <w:rFonts w:hint="cs"/>
          <w:rtl/>
        </w:rPr>
        <w:t>و متکلم حرف نداء را</w:t>
      </w:r>
      <w:r w:rsidR="00B12B0B">
        <w:rPr>
          <w:rFonts w:hint="cs"/>
          <w:rtl/>
        </w:rPr>
        <w:t xml:space="preserve"> گاهی به داعی ابراز وجع یا </w:t>
      </w:r>
      <w:r>
        <w:rPr>
          <w:rFonts w:hint="cs"/>
          <w:rtl/>
        </w:rPr>
        <w:t xml:space="preserve">خوف </w:t>
      </w:r>
      <w:r w:rsidR="00B12B0B">
        <w:rPr>
          <w:rFonts w:hint="cs"/>
          <w:rtl/>
        </w:rPr>
        <w:t>و گاهی نیز به داعی نداء حقیقی استعمال می کند، بنابراین</w:t>
      </w:r>
      <w:r>
        <w:rPr>
          <w:rFonts w:hint="cs"/>
          <w:rtl/>
        </w:rPr>
        <w:t xml:space="preserve"> استعمال این ادات در غیر موارد خطاب حقیقی مستلزم مجاز نیست</w:t>
      </w:r>
      <w:r w:rsidR="00B12B0B">
        <w:rPr>
          <w:rFonts w:hint="cs"/>
          <w:rtl/>
        </w:rPr>
        <w:t>.</w:t>
      </w:r>
      <w:r>
        <w:rPr>
          <w:rFonts w:hint="cs"/>
          <w:rtl/>
        </w:rPr>
        <w:t xml:space="preserve"> و لذا افراد در کتب خود می نویسند:</w:t>
      </w:r>
      <w:r w:rsidR="00B12B0B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B12B0B" w:rsidRPr="00DB0560">
        <w:rPr>
          <w:rFonts w:ascii="NoorLotus" w:hAnsi="NoorLotus"/>
          <w:sz w:val="28"/>
          <w:rtl/>
        </w:rPr>
        <w:t>اعلموا یا اخوانی</w:t>
      </w:r>
      <w:r>
        <w:rPr>
          <w:rFonts w:hint="cs"/>
          <w:rtl/>
        </w:rPr>
        <w:t>» و قصدشان این است که</w:t>
      </w:r>
      <w:r w:rsidR="00B12B0B">
        <w:rPr>
          <w:rFonts w:hint="cs"/>
          <w:rtl/>
        </w:rPr>
        <w:t xml:space="preserve"> تا روز قیامت این کتاب باقی بماند و خوانده شود. ولی ظهور انصرافی استعمال </w:t>
      </w:r>
      <w:r>
        <w:rPr>
          <w:rFonts w:hint="cs"/>
          <w:rtl/>
        </w:rPr>
        <w:t xml:space="preserve">ادات خطاب، در خطاب حقیقی است و استعمال آن در غیر خطاب </w:t>
      </w:r>
      <w:r w:rsidR="00EB790C">
        <w:rPr>
          <w:rFonts w:hint="cs"/>
          <w:rtl/>
        </w:rPr>
        <w:t>انشایی</w:t>
      </w:r>
      <w:r>
        <w:rPr>
          <w:rFonts w:hint="cs"/>
          <w:rtl/>
        </w:rPr>
        <w:t xml:space="preserve"> نیاز به قرینه دارد</w:t>
      </w:r>
      <w:r w:rsidR="00B12B0B">
        <w:rPr>
          <w:rFonts w:hint="cs"/>
          <w:rtl/>
        </w:rPr>
        <w:t xml:space="preserve"> </w:t>
      </w:r>
      <w:r>
        <w:rPr>
          <w:rFonts w:hint="cs"/>
          <w:rtl/>
        </w:rPr>
        <w:t xml:space="preserve">ولی در کلام شارع قرینه </w:t>
      </w:r>
      <w:r w:rsidR="00B12B0B">
        <w:rPr>
          <w:rFonts w:hint="cs"/>
          <w:rtl/>
        </w:rPr>
        <w:t xml:space="preserve">بر انشایی بودن خطابات </w:t>
      </w:r>
      <w:r>
        <w:rPr>
          <w:rFonts w:hint="cs"/>
          <w:rtl/>
        </w:rPr>
        <w:t xml:space="preserve">وجود </w:t>
      </w:r>
      <w:r w:rsidR="00B12B0B">
        <w:rPr>
          <w:rFonts w:hint="cs"/>
          <w:rtl/>
        </w:rPr>
        <w:t xml:space="preserve">دارد، </w:t>
      </w:r>
      <w:r w:rsidR="001E1B51">
        <w:rPr>
          <w:rFonts w:hint="cs"/>
          <w:rtl/>
        </w:rPr>
        <w:t>و آن قرینه ای</w:t>
      </w:r>
      <w:r w:rsidR="00EB790C">
        <w:rPr>
          <w:rFonts w:hint="cs"/>
          <w:rtl/>
        </w:rPr>
        <w:t>ن است که از آنجایی که</w:t>
      </w:r>
      <w:r w:rsidR="001E1B51">
        <w:rPr>
          <w:rFonts w:hint="cs"/>
          <w:rtl/>
        </w:rPr>
        <w:t xml:space="preserve"> لازمه </w:t>
      </w:r>
      <w:r w:rsidR="00EB790C">
        <w:rPr>
          <w:rFonts w:hint="cs"/>
          <w:rtl/>
        </w:rPr>
        <w:t>قول به اختصاص خطاب به مشافهین این است که</w:t>
      </w:r>
      <w:r w:rsidR="00595151">
        <w:rPr>
          <w:rFonts w:hint="cs"/>
          <w:rtl/>
        </w:rPr>
        <w:t xml:space="preserve"> خطابات قرآن فقط م</w:t>
      </w:r>
      <w:r w:rsidR="00EB790C">
        <w:rPr>
          <w:rFonts w:hint="cs"/>
          <w:rtl/>
        </w:rPr>
        <w:t>ختص به حاضرین در مجلس تخاطب باش</w:t>
      </w:r>
      <w:r w:rsidR="00595151">
        <w:rPr>
          <w:rFonts w:hint="cs"/>
          <w:rtl/>
        </w:rPr>
        <w:t xml:space="preserve">د در حالی که ممکن است تعداد آن ها خیلی کم بوده باشد و حتی شامل افراد دیگری از موجودین که در آن مجلس حاضر نبودند، نیز نشود </w:t>
      </w:r>
      <w:r w:rsidR="001E1B51">
        <w:rPr>
          <w:rFonts w:hint="cs"/>
          <w:rtl/>
        </w:rPr>
        <w:t>و</w:t>
      </w:r>
      <w:r w:rsidR="00595151">
        <w:rPr>
          <w:rFonts w:hint="cs"/>
          <w:rtl/>
        </w:rPr>
        <w:t xml:space="preserve"> این قابل التزام نیست</w:t>
      </w:r>
      <w:r w:rsidR="001E1B51">
        <w:rPr>
          <w:rFonts w:hint="cs"/>
          <w:rtl/>
        </w:rPr>
        <w:t xml:space="preserve"> لذا خطابات قرآن انشایی است</w:t>
      </w:r>
      <w:r w:rsidR="00595151">
        <w:rPr>
          <w:rFonts w:hint="cs"/>
          <w:rtl/>
        </w:rPr>
        <w:t>.</w:t>
      </w:r>
    </w:p>
    <w:p w:rsidR="00D016DB" w:rsidRDefault="00D016DB" w:rsidP="00595151">
      <w:pPr>
        <w:rPr>
          <w:rtl/>
        </w:rPr>
      </w:pPr>
      <w:r>
        <w:rPr>
          <w:rFonts w:hint="cs"/>
          <w:rtl/>
        </w:rPr>
        <w:t xml:space="preserve">و بر فرض که </w:t>
      </w:r>
      <w:r w:rsidR="00595151">
        <w:rPr>
          <w:rFonts w:hint="cs"/>
          <w:rtl/>
        </w:rPr>
        <w:t>ادات خطاب</w:t>
      </w:r>
      <w:r>
        <w:rPr>
          <w:rFonts w:hint="cs"/>
          <w:rtl/>
        </w:rPr>
        <w:t xml:space="preserve"> برای خطاب حقیقی</w:t>
      </w:r>
      <w:r w:rsidR="00595151">
        <w:rPr>
          <w:rFonts w:hint="cs"/>
          <w:rtl/>
        </w:rPr>
        <w:t xml:space="preserve"> وضع شده باشند و استعمال آن ها</w:t>
      </w:r>
      <w:r>
        <w:rPr>
          <w:rFonts w:hint="cs"/>
          <w:rtl/>
        </w:rPr>
        <w:t xml:space="preserve"> در</w:t>
      </w:r>
      <w:r w:rsidR="00595151">
        <w:rPr>
          <w:rFonts w:hint="cs"/>
          <w:rtl/>
        </w:rPr>
        <w:t xml:space="preserve"> خطاب</w:t>
      </w:r>
      <w:r>
        <w:rPr>
          <w:rFonts w:hint="cs"/>
          <w:rtl/>
        </w:rPr>
        <w:t xml:space="preserve"> انشایی مجاز باشد، در این جا </w:t>
      </w:r>
      <w:r w:rsidR="00595151">
        <w:rPr>
          <w:rFonts w:hint="cs"/>
          <w:rtl/>
        </w:rPr>
        <w:t xml:space="preserve">نیز بخاطر وجود </w:t>
      </w:r>
      <w:r>
        <w:rPr>
          <w:rFonts w:hint="cs"/>
          <w:rtl/>
        </w:rPr>
        <w:t>قرینه بر تعمیم</w:t>
      </w:r>
      <w:r w:rsidR="00595151">
        <w:rPr>
          <w:rFonts w:hint="cs"/>
          <w:rtl/>
        </w:rPr>
        <w:t xml:space="preserve"> قائل به استعمال آن ها در خطاب انشایی می شویم </w:t>
      </w:r>
      <w:r>
        <w:rPr>
          <w:rFonts w:hint="cs"/>
          <w:rtl/>
        </w:rPr>
        <w:t>و ای</w:t>
      </w:r>
      <w:r w:rsidR="00595151">
        <w:rPr>
          <w:rFonts w:hint="cs"/>
          <w:rtl/>
        </w:rPr>
        <w:t xml:space="preserve">ن قرینه بر استعمال مجازی است. چون استعمال ادات نداء و خطاب در معنای حقیقی آن یعنی خطاب و نداء حقیقی </w:t>
      </w:r>
      <w:r>
        <w:rPr>
          <w:rFonts w:hint="cs"/>
          <w:rtl/>
        </w:rPr>
        <w:t xml:space="preserve"> موجب می شود لفظ عامی که عقیب ادات خطاب است به حاضرین در مجلس تخاطب</w:t>
      </w:r>
      <w:r w:rsidR="00595151">
        <w:rPr>
          <w:rFonts w:hint="cs"/>
          <w:rtl/>
        </w:rPr>
        <w:t xml:space="preserve"> اختصاص پیدا کند</w:t>
      </w:r>
      <w:r>
        <w:rPr>
          <w:rFonts w:hint="cs"/>
          <w:rtl/>
        </w:rPr>
        <w:t xml:space="preserve"> و این محتمل نیست.</w:t>
      </w:r>
    </w:p>
    <w:p w:rsidR="00D5066C" w:rsidRDefault="00D016DB" w:rsidP="00D5066C">
      <w:pPr>
        <w:pStyle w:val="NoSpacing"/>
        <w:rPr>
          <w:rtl/>
        </w:rPr>
      </w:pPr>
      <w:r>
        <w:rPr>
          <w:rFonts w:hint="cs"/>
          <w:rtl/>
        </w:rPr>
        <w:t>ایشان در</w:t>
      </w:r>
      <w:r w:rsidR="00595151">
        <w:rPr>
          <w:rFonts w:hint="cs"/>
          <w:rtl/>
        </w:rPr>
        <w:t xml:space="preserve"> ادامه فرمودند:</w:t>
      </w:r>
      <w:r w:rsidR="00D5066C">
        <w:rPr>
          <w:rFonts w:hint="cs"/>
          <w:rtl/>
        </w:rPr>
        <w:t xml:space="preserve"> ممکن است گفته شود مخاطب آیات</w:t>
      </w:r>
      <w:r>
        <w:rPr>
          <w:rFonts w:hint="cs"/>
          <w:rtl/>
        </w:rPr>
        <w:t xml:space="preserve"> قرآن </w:t>
      </w:r>
      <w:r w:rsidR="001E1B51">
        <w:rPr>
          <w:rFonts w:hint="cs"/>
          <w:rtl/>
        </w:rPr>
        <w:t xml:space="preserve">تنها </w:t>
      </w:r>
      <w:r>
        <w:rPr>
          <w:rFonts w:hint="cs"/>
          <w:rtl/>
        </w:rPr>
        <w:t>پیامبر</w:t>
      </w:r>
      <w:r w:rsidR="00595151">
        <w:rPr>
          <w:rFonts w:hint="cs"/>
          <w:rtl/>
        </w:rPr>
        <w:t xml:space="preserve"> صلی الله علیه و آله و سلم</w:t>
      </w:r>
      <w:r>
        <w:rPr>
          <w:rFonts w:hint="cs"/>
          <w:rtl/>
        </w:rPr>
        <w:t xml:space="preserve"> است به نحو خطاب حقیقی نه دیگران</w:t>
      </w:r>
      <w:r w:rsidR="00595151">
        <w:rPr>
          <w:rFonts w:hint="cs"/>
          <w:rtl/>
        </w:rPr>
        <w:t xml:space="preserve"> یعنی همانطور که</w:t>
      </w:r>
      <w:r w:rsidR="00D5066C">
        <w:rPr>
          <w:rFonts w:hint="cs"/>
          <w:rtl/>
        </w:rPr>
        <w:t xml:space="preserve"> </w:t>
      </w:r>
      <w:r w:rsidR="001E1B51">
        <w:rPr>
          <w:rFonts w:hint="cs"/>
          <w:rtl/>
        </w:rPr>
        <w:t xml:space="preserve">مخاطب </w:t>
      </w:r>
      <w:r w:rsidR="00D5066C">
        <w:rPr>
          <w:rFonts w:hint="cs"/>
          <w:rtl/>
        </w:rPr>
        <w:t>خاطب «</w:t>
      </w:r>
      <w:r w:rsidR="00D5066C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يا أَيُّهَا النَّبِيُ‏ اتَّقِ اللَّهَ</w:t>
      </w:r>
      <w:r w:rsidR="00D5066C">
        <w:rPr>
          <w:rFonts w:hint="cs"/>
          <w:rtl/>
        </w:rPr>
        <w:t>»</w:t>
      </w:r>
      <w:r w:rsidR="00D5066C">
        <w:rPr>
          <w:rStyle w:val="FootnoteReference"/>
          <w:rtl/>
        </w:rPr>
        <w:footnoteReference w:id="6"/>
      </w:r>
      <w:r w:rsidR="00595151">
        <w:rPr>
          <w:rFonts w:hint="cs"/>
          <w:rtl/>
        </w:rPr>
        <w:t>پیامبر صلی الله علیه و آله وسلم است</w:t>
      </w:r>
      <w:r w:rsidR="00D5066C">
        <w:rPr>
          <w:rFonts w:hint="cs"/>
          <w:rtl/>
        </w:rPr>
        <w:t xml:space="preserve"> مخاطب «</w:t>
      </w:r>
      <w:r w:rsidR="00D5066C" w:rsidRPr="00D5066C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يا أَيُّهَا النَّاسُ اتَّقُوا رَبَّكُم‏</w:t>
      </w:r>
      <w:r w:rsidR="00D5066C">
        <w:rPr>
          <w:rFonts w:hint="cs"/>
          <w:rtl/>
        </w:rPr>
        <w:t>»</w:t>
      </w:r>
      <w:r w:rsidR="00D5066C">
        <w:rPr>
          <w:rStyle w:val="FootnoteReference"/>
          <w:rtl/>
        </w:rPr>
        <w:footnoteReference w:id="7"/>
      </w:r>
      <w:r w:rsidR="00D5066C">
        <w:rPr>
          <w:rFonts w:hint="cs"/>
          <w:rtl/>
        </w:rPr>
        <w:t xml:space="preserve"> نیز پیامبر صلی الله علیه و آله و سلم است.</w:t>
      </w:r>
      <w:r>
        <w:rPr>
          <w:rFonts w:hint="cs"/>
          <w:rtl/>
        </w:rPr>
        <w:t xml:space="preserve"> و لذا حاضرین در مجلس خواندن وحی نیز مخاطب خداوند نیستند</w:t>
      </w:r>
      <w:r w:rsidR="0005526D">
        <w:rPr>
          <w:rStyle w:val="FootnoteReference"/>
          <w:rtl/>
        </w:rPr>
        <w:footnoteReference w:id="8"/>
      </w:r>
      <w:r w:rsidR="00D5066C">
        <w:rPr>
          <w:rFonts w:hint="cs"/>
          <w:rtl/>
        </w:rPr>
        <w:t>.</w:t>
      </w:r>
    </w:p>
    <w:p w:rsidR="00D016DB" w:rsidRDefault="00D016DB" w:rsidP="00397BCD">
      <w:pPr>
        <w:pStyle w:val="NoSpacing"/>
        <w:rPr>
          <w:rtl/>
        </w:rPr>
      </w:pPr>
      <w:r>
        <w:rPr>
          <w:rFonts w:hint="cs"/>
          <w:rtl/>
        </w:rPr>
        <w:t>امام</w:t>
      </w:r>
      <w:r w:rsidR="00D5066C">
        <w:rPr>
          <w:rFonts w:hint="cs"/>
          <w:rtl/>
        </w:rPr>
        <w:t xml:space="preserve"> رحمه الله نیز این مطلب را بیان کردند و فرمودند:</w:t>
      </w:r>
      <w:r>
        <w:rPr>
          <w:rFonts w:hint="cs"/>
          <w:rtl/>
        </w:rPr>
        <w:t xml:space="preserve"> گاهی پیامبر را در حد شجره طور می دانید که</w:t>
      </w:r>
      <w:r w:rsidR="00D5066C">
        <w:rPr>
          <w:rFonts w:hint="cs"/>
          <w:rtl/>
        </w:rPr>
        <w:t xml:space="preserve"> خداوند</w:t>
      </w:r>
      <w:r w:rsidR="00DA62B6">
        <w:rPr>
          <w:rFonts w:hint="cs"/>
          <w:rtl/>
        </w:rPr>
        <w:t xml:space="preserve"> از زبان درخت طور </w:t>
      </w:r>
      <w:r w:rsidR="00D5066C">
        <w:rPr>
          <w:rFonts w:hint="cs"/>
          <w:rtl/>
        </w:rPr>
        <w:t>با حضرت موسی علیه السلام سخن گفت «</w:t>
      </w:r>
      <w:r w:rsidR="00D5066C" w:rsidRPr="00D5066C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اذْهَبْ</w:t>
      </w:r>
      <w:r w:rsidR="00D5066C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إِلى‏ فِرْعَوْنَ إِنَّهُ طَغى‏</w:t>
      </w:r>
      <w:r w:rsidR="00D5066C">
        <w:rPr>
          <w:rFonts w:hint="cs"/>
          <w:rtl/>
        </w:rPr>
        <w:t>»</w:t>
      </w:r>
      <w:r w:rsidR="00D5066C">
        <w:rPr>
          <w:rStyle w:val="FootnoteReference"/>
          <w:rtl/>
        </w:rPr>
        <w:footnoteReference w:id="9"/>
      </w:r>
      <w:r w:rsidR="00DA62B6">
        <w:rPr>
          <w:rFonts w:hint="cs"/>
          <w:rtl/>
        </w:rPr>
        <w:t xml:space="preserve"> </w:t>
      </w:r>
      <w:r w:rsidR="00D5066C">
        <w:rPr>
          <w:rFonts w:hint="cs"/>
          <w:rtl/>
        </w:rPr>
        <w:t>که حضرت موسی علیه السلام مخاطب درخت نبود بلکه مخاطب خداوند بود، و در قرآن نیز</w:t>
      </w:r>
      <w:r w:rsidR="00DA62B6">
        <w:rPr>
          <w:rFonts w:hint="cs"/>
          <w:rtl/>
        </w:rPr>
        <w:t xml:space="preserve"> خداوند از زبان پیامبر</w:t>
      </w:r>
      <w:r w:rsidR="00D5066C">
        <w:rPr>
          <w:rFonts w:hint="cs"/>
          <w:rtl/>
        </w:rPr>
        <w:t xml:space="preserve"> صلی الله علیه و آله وسلم</w:t>
      </w:r>
      <w:r w:rsidR="00DA62B6">
        <w:rPr>
          <w:rFonts w:hint="cs"/>
          <w:rtl/>
        </w:rPr>
        <w:t xml:space="preserve"> به مردم می گوید:</w:t>
      </w:r>
      <w:r w:rsidR="00D5066C">
        <w:rPr>
          <w:rFonts w:hint="cs"/>
          <w:rtl/>
        </w:rPr>
        <w:t xml:space="preserve"> «</w:t>
      </w:r>
      <w:r w:rsidR="00D5066C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ی</w:t>
      </w:r>
      <w:r w:rsidR="00D5066C" w:rsidRPr="00D5066C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ا أَيُّهَا النَّاسُ اتَّقُوا رَبَّكُم‏</w:t>
      </w:r>
      <w:r w:rsidR="00D5066C">
        <w:rPr>
          <w:rFonts w:hint="cs"/>
          <w:rtl/>
        </w:rPr>
        <w:t>»</w:t>
      </w:r>
      <w:r w:rsidR="00D5066C">
        <w:rPr>
          <w:rStyle w:val="FootnoteReference"/>
          <w:rtl/>
        </w:rPr>
        <w:footnoteReference w:id="10"/>
      </w:r>
      <w:r w:rsidR="00D5066C">
        <w:rPr>
          <w:rFonts w:hint="cs"/>
          <w:rtl/>
        </w:rPr>
        <w:t xml:space="preserve"> </w:t>
      </w:r>
      <w:r w:rsidR="0032659C">
        <w:rPr>
          <w:rFonts w:hint="cs"/>
          <w:rtl/>
        </w:rPr>
        <w:t xml:space="preserve">و مخاطب حقیقی مردم هستند، </w:t>
      </w:r>
      <w:r w:rsidR="00DA62B6">
        <w:rPr>
          <w:rFonts w:hint="cs"/>
          <w:rtl/>
        </w:rPr>
        <w:t xml:space="preserve">در این صورت حاضرین در مجلس وحی مخاطب حقیقی </w:t>
      </w:r>
      <w:r w:rsidR="0032659C">
        <w:rPr>
          <w:rFonts w:hint="cs"/>
          <w:rtl/>
        </w:rPr>
        <w:t>خداوند هستند.</w:t>
      </w:r>
      <w:r w:rsidR="001E1B51">
        <w:rPr>
          <w:rFonts w:hint="cs"/>
          <w:rtl/>
        </w:rPr>
        <w:t xml:space="preserve"> ولی در واقع چنین نیست و</w:t>
      </w:r>
      <w:r w:rsidR="0032659C">
        <w:rPr>
          <w:rFonts w:hint="cs"/>
          <w:rtl/>
        </w:rPr>
        <w:t xml:space="preserve"> </w:t>
      </w:r>
      <w:r w:rsidR="00DA62B6">
        <w:rPr>
          <w:rFonts w:hint="cs"/>
          <w:rtl/>
        </w:rPr>
        <w:t>مخاطب حقیقی قرآن پیامبر</w:t>
      </w:r>
      <w:r w:rsidR="0032659C">
        <w:rPr>
          <w:rFonts w:hint="cs"/>
          <w:rtl/>
        </w:rPr>
        <w:t xml:space="preserve"> صلی الله علیه و آله و سلم باشد </w:t>
      </w:r>
      <w:r w:rsidR="001E1B51">
        <w:rPr>
          <w:rFonts w:hint="cs"/>
          <w:rtl/>
        </w:rPr>
        <w:t>و</w:t>
      </w:r>
      <w:r w:rsidR="0032659C">
        <w:rPr>
          <w:rFonts w:hint="cs"/>
          <w:rtl/>
        </w:rPr>
        <w:t xml:space="preserve"> ایشان</w:t>
      </w:r>
      <w:r w:rsidR="00DA62B6">
        <w:rPr>
          <w:rFonts w:hint="cs"/>
          <w:rtl/>
        </w:rPr>
        <w:t xml:space="preserve"> مبلغ احکام الهی است که در قرآن بیان شده است و کسی غیر ایشان مخاطب قرآن نیست</w:t>
      </w:r>
      <w:r w:rsidR="0032659C">
        <w:rPr>
          <w:rFonts w:hint="cs"/>
          <w:rtl/>
        </w:rPr>
        <w:t>،</w:t>
      </w:r>
      <w:r w:rsidR="001E1B51">
        <w:rPr>
          <w:rFonts w:hint="cs"/>
          <w:rtl/>
        </w:rPr>
        <w:t xml:space="preserve"> لذا</w:t>
      </w:r>
      <w:r w:rsidR="00DA62B6">
        <w:rPr>
          <w:rFonts w:hint="cs"/>
          <w:rtl/>
        </w:rPr>
        <w:t xml:space="preserve"> این بحث</w:t>
      </w:r>
      <w:r w:rsidR="0032659C">
        <w:rPr>
          <w:rFonts w:hint="cs"/>
          <w:rtl/>
        </w:rPr>
        <w:t xml:space="preserve"> «</w:t>
      </w:r>
      <w:r w:rsidR="0032659C" w:rsidRPr="00DB0560">
        <w:rPr>
          <w:rFonts w:ascii="NoorLotus" w:hAnsi="NoorLotus"/>
          <w:sz w:val="28"/>
          <w:rtl/>
        </w:rPr>
        <w:t xml:space="preserve">هل یختص الخطاب بالحاضرین فی مجلس الوحی ‌ام </w:t>
      </w:r>
      <w:r w:rsidR="0032659C">
        <w:rPr>
          <w:rFonts w:ascii="NoorLotus" w:hAnsi="NoorLotus"/>
          <w:sz w:val="28"/>
          <w:rtl/>
        </w:rPr>
        <w:t>لا</w:t>
      </w:r>
      <w:r w:rsidR="0032659C">
        <w:rPr>
          <w:rFonts w:ascii="NoorLotus" w:hAnsi="NoorLotus" w:hint="cs"/>
          <w:sz w:val="28"/>
          <w:rtl/>
        </w:rPr>
        <w:t>؟</w:t>
      </w:r>
      <w:r w:rsidR="0032659C">
        <w:rPr>
          <w:rFonts w:hint="cs"/>
          <w:rtl/>
        </w:rPr>
        <w:t>»</w:t>
      </w:r>
      <w:r w:rsidR="00DA62B6">
        <w:rPr>
          <w:rFonts w:hint="cs"/>
          <w:rtl/>
        </w:rPr>
        <w:t xml:space="preserve"> مورد پیدا نمی کند چون حاضرین در مجلس وحی با معدومین</w:t>
      </w:r>
      <w:r w:rsidR="0032659C">
        <w:rPr>
          <w:rFonts w:hint="cs"/>
          <w:rtl/>
        </w:rPr>
        <w:t xml:space="preserve"> و غایبین</w:t>
      </w:r>
      <w:r w:rsidR="00DA62B6">
        <w:rPr>
          <w:rFonts w:hint="cs"/>
          <w:rtl/>
        </w:rPr>
        <w:t xml:space="preserve"> یکسان هستند و </w:t>
      </w:r>
      <w:r w:rsidR="0032659C">
        <w:rPr>
          <w:rFonts w:hint="cs"/>
          <w:rtl/>
        </w:rPr>
        <w:t>از</w:t>
      </w:r>
      <w:r w:rsidR="00DA62B6">
        <w:rPr>
          <w:rFonts w:hint="cs"/>
          <w:rtl/>
        </w:rPr>
        <w:t xml:space="preserve"> خطاب حقیقی</w:t>
      </w:r>
      <w:r w:rsidR="0032659C">
        <w:rPr>
          <w:rFonts w:hint="cs"/>
          <w:rtl/>
        </w:rPr>
        <w:t xml:space="preserve"> خداوند بیگانه هستند. مثل قول </w:t>
      </w:r>
      <w:r w:rsidR="00DA62B6">
        <w:rPr>
          <w:rFonts w:hint="cs"/>
          <w:rtl/>
        </w:rPr>
        <w:t>امیرالمومنین</w:t>
      </w:r>
      <w:r w:rsidR="0032659C">
        <w:rPr>
          <w:rFonts w:hint="cs"/>
          <w:rtl/>
        </w:rPr>
        <w:t xml:space="preserve"> علیه السلام</w:t>
      </w:r>
      <w:r w:rsidR="00DA62B6">
        <w:rPr>
          <w:rFonts w:hint="cs"/>
          <w:rtl/>
        </w:rPr>
        <w:t xml:space="preserve"> به ابن </w:t>
      </w:r>
      <w:r w:rsidR="0032659C">
        <w:rPr>
          <w:rFonts w:hint="cs"/>
          <w:rtl/>
        </w:rPr>
        <w:t>عباس</w:t>
      </w:r>
      <w:r w:rsidR="00DA62B6">
        <w:rPr>
          <w:rFonts w:hint="cs"/>
          <w:rtl/>
        </w:rPr>
        <w:t>:</w:t>
      </w:r>
      <w:r w:rsidR="0032659C">
        <w:rPr>
          <w:rFonts w:hint="cs"/>
          <w:rtl/>
        </w:rPr>
        <w:t xml:space="preserve"> </w:t>
      </w:r>
      <w:r w:rsidR="00DA62B6" w:rsidRPr="0032659C">
        <w:rPr>
          <w:rFonts w:hint="cs"/>
          <w:rtl/>
        </w:rPr>
        <w:t>«</w:t>
      </w:r>
      <w:r w:rsidR="0032659C" w:rsidRPr="0032659C">
        <w:rPr>
          <w:rFonts w:hint="cs"/>
          <w:rtl/>
        </w:rPr>
        <w:t xml:space="preserve"> </w:t>
      </w:r>
      <w:r w:rsidR="0005526D">
        <w:rPr>
          <w:rFonts w:hint="cs"/>
          <w:rtl/>
        </w:rPr>
        <w:t>ا</w:t>
      </w:r>
      <w:r w:rsidR="0032659C" w:rsidRPr="0032659C">
        <w:rPr>
          <w:rFonts w:hint="cs"/>
          <w:rtl/>
        </w:rPr>
        <w:t>لْقَ الزُّبَيْرَ فَإِنَّهُ أَلْيَنُ عَرِيكَةً فَقُلْ لَهُ يَقُولُ لَكَ ابْنُ خَالِكَ عَرَفْتَنِي بِالْحِجَازِ وَ أَنْكَرْتَنِي بِالْعِرَاقِ فَمَا عَدَا مِمَّا بَدَا</w:t>
      </w:r>
      <w:r w:rsidR="00DA62B6">
        <w:rPr>
          <w:rFonts w:hint="cs"/>
          <w:rtl/>
        </w:rPr>
        <w:t>»</w:t>
      </w:r>
      <w:r w:rsidR="0032659C">
        <w:rPr>
          <w:rStyle w:val="FootnoteReference"/>
          <w:rtl/>
        </w:rPr>
        <w:footnoteReference w:id="11"/>
      </w:r>
      <w:r w:rsidR="0005526D">
        <w:rPr>
          <w:rFonts w:hint="cs"/>
          <w:rtl/>
        </w:rPr>
        <w:t xml:space="preserve"> که زبیر مخاطب حقیقی امیرالمومنین علیه السلام نیست بلکه </w:t>
      </w:r>
      <w:r w:rsidR="00397BCD">
        <w:rPr>
          <w:rFonts w:hint="cs"/>
          <w:rtl/>
        </w:rPr>
        <w:t>مخاطب حقیقی امیر</w:t>
      </w:r>
      <w:r w:rsidR="0005526D">
        <w:rPr>
          <w:rFonts w:hint="cs"/>
          <w:rtl/>
        </w:rPr>
        <w:t>المومنین علیه السلام ابن عباس است. بنابراین مخاطب حقیقی خطابات قرآن پیامبر صلی الله علیه و آله و سلم است و ایشان این قوانین را به مردم ابلاغ کردند</w:t>
      </w:r>
      <w:r w:rsidR="00733093">
        <w:rPr>
          <w:rStyle w:val="FootnoteReference"/>
          <w:rtl/>
        </w:rPr>
        <w:footnoteReference w:id="12"/>
      </w:r>
      <w:r w:rsidR="0005526D">
        <w:rPr>
          <w:rFonts w:hint="cs"/>
          <w:rtl/>
        </w:rPr>
        <w:t>.</w:t>
      </w:r>
    </w:p>
    <w:p w:rsidR="0005526D" w:rsidRDefault="0005526D" w:rsidP="0005526D">
      <w:pPr>
        <w:pStyle w:val="NoSpacing"/>
        <w:rPr>
          <w:rtl/>
        </w:rPr>
      </w:pPr>
      <w:r>
        <w:rPr>
          <w:rFonts w:hint="cs"/>
          <w:rtl/>
        </w:rPr>
        <w:t xml:space="preserve">ما بعدا این مطلب را بحث می کنیم.  </w:t>
      </w:r>
    </w:p>
    <w:p w:rsidR="00D5066C" w:rsidRDefault="00D5066C" w:rsidP="00D5066C">
      <w:pPr>
        <w:pStyle w:val="Heading2"/>
        <w:rPr>
          <w:rtl/>
        </w:rPr>
      </w:pPr>
      <w:bookmarkStart w:id="11" w:name="_Toc121134012"/>
      <w:r>
        <w:rPr>
          <w:rFonts w:hint="cs"/>
          <w:rtl/>
        </w:rPr>
        <w:t>کلام محقق خویی رحمه الله</w:t>
      </w:r>
      <w:bookmarkEnd w:id="11"/>
    </w:p>
    <w:p w:rsidR="00DA62B6" w:rsidRDefault="00DA62B6" w:rsidP="0005526D">
      <w:pPr>
        <w:rPr>
          <w:rtl/>
        </w:rPr>
      </w:pPr>
      <w:r>
        <w:rPr>
          <w:rFonts w:hint="cs"/>
          <w:rtl/>
        </w:rPr>
        <w:t xml:space="preserve">مرحوم خویی نیز فرمودند: </w:t>
      </w:r>
      <w:r w:rsidR="0005526D">
        <w:rPr>
          <w:rFonts w:hint="cs"/>
          <w:rtl/>
        </w:rPr>
        <w:t xml:space="preserve">موضوع له </w:t>
      </w:r>
      <w:r>
        <w:rPr>
          <w:rFonts w:hint="cs"/>
          <w:rtl/>
        </w:rPr>
        <w:t>ادات خطاب و نداء</w:t>
      </w:r>
      <w:r w:rsidR="0005526D">
        <w:rPr>
          <w:rFonts w:hint="cs"/>
          <w:rtl/>
        </w:rPr>
        <w:t>،</w:t>
      </w:r>
      <w:r>
        <w:rPr>
          <w:rFonts w:hint="cs"/>
          <w:rtl/>
        </w:rPr>
        <w:t xml:space="preserve"> خطاب و ند</w:t>
      </w:r>
      <w:r w:rsidR="0005526D">
        <w:rPr>
          <w:rFonts w:hint="cs"/>
          <w:rtl/>
        </w:rPr>
        <w:t xml:space="preserve">اء انشایی است و آن عرفی نیز هست، </w:t>
      </w:r>
      <w:r>
        <w:rPr>
          <w:rFonts w:hint="cs"/>
          <w:rtl/>
        </w:rPr>
        <w:t>وقتی مولف در کتاب خود می نویسد:«</w:t>
      </w:r>
      <w:r w:rsidR="0005526D">
        <w:rPr>
          <w:rFonts w:hint="cs"/>
          <w:rtl/>
        </w:rPr>
        <w:t>یا اخوانی اعلموا</w:t>
      </w:r>
      <w:r>
        <w:rPr>
          <w:rFonts w:hint="cs"/>
          <w:rtl/>
        </w:rPr>
        <w:t>»</w:t>
      </w:r>
      <w:r w:rsidR="0005526D">
        <w:rPr>
          <w:rFonts w:hint="cs"/>
          <w:rtl/>
        </w:rPr>
        <w:t xml:space="preserve"> مرادش اخوانی الی یوم القیامة است و </w:t>
      </w:r>
      <w:r>
        <w:rPr>
          <w:rFonts w:hint="cs"/>
          <w:rtl/>
        </w:rPr>
        <w:t xml:space="preserve"> احساس مجاز </w:t>
      </w:r>
      <w:r w:rsidR="0005526D">
        <w:rPr>
          <w:rFonts w:hint="cs"/>
          <w:rtl/>
        </w:rPr>
        <w:t xml:space="preserve">نیز </w:t>
      </w:r>
      <w:r>
        <w:rPr>
          <w:rFonts w:hint="cs"/>
          <w:rtl/>
        </w:rPr>
        <w:t>نمی شود</w:t>
      </w:r>
      <w:r w:rsidR="0005526D">
        <w:rPr>
          <w:rFonts w:hint="cs"/>
          <w:rtl/>
        </w:rPr>
        <w:t>.</w:t>
      </w:r>
      <w:r>
        <w:rPr>
          <w:rFonts w:hint="cs"/>
          <w:rtl/>
        </w:rPr>
        <w:t xml:space="preserve"> و</w:t>
      </w:r>
      <w:r w:rsidR="0005526D">
        <w:rPr>
          <w:rFonts w:hint="cs"/>
          <w:rtl/>
        </w:rPr>
        <w:t xml:space="preserve"> استعمال خطابات قرآن در</w:t>
      </w:r>
      <w:r>
        <w:rPr>
          <w:rFonts w:hint="cs"/>
          <w:rtl/>
        </w:rPr>
        <w:t xml:space="preserve"> خطاب حقیقی</w:t>
      </w:r>
      <w:r w:rsidR="0005526D">
        <w:rPr>
          <w:rFonts w:hint="cs"/>
          <w:rtl/>
        </w:rPr>
        <w:t xml:space="preserve"> مستلزم اختصاص این خطابات به </w:t>
      </w:r>
      <w:r>
        <w:rPr>
          <w:rFonts w:hint="cs"/>
          <w:rtl/>
        </w:rPr>
        <w:t>حاضرین در مجلس پیامبر ص</w:t>
      </w:r>
      <w:r w:rsidR="0005526D">
        <w:rPr>
          <w:rFonts w:hint="cs"/>
          <w:rtl/>
        </w:rPr>
        <w:t>لی الله علیه و آله و سلم هنگام قرائت وحی است،</w:t>
      </w:r>
      <w:r>
        <w:rPr>
          <w:rFonts w:hint="cs"/>
          <w:rtl/>
        </w:rPr>
        <w:t xml:space="preserve"> در حالی که این محتمل نیست</w:t>
      </w:r>
      <w:r w:rsidR="00C31B80">
        <w:rPr>
          <w:rStyle w:val="FootnoteReference"/>
          <w:rtl/>
        </w:rPr>
        <w:footnoteReference w:id="13"/>
      </w:r>
      <w:r w:rsidR="0005526D">
        <w:rPr>
          <w:rFonts w:hint="cs"/>
          <w:rtl/>
        </w:rPr>
        <w:t>.</w:t>
      </w:r>
    </w:p>
    <w:p w:rsidR="0005526D" w:rsidRDefault="0005526D" w:rsidP="0005526D">
      <w:pPr>
        <w:pStyle w:val="Heading2"/>
        <w:rPr>
          <w:rtl/>
        </w:rPr>
      </w:pPr>
      <w:bookmarkStart w:id="12" w:name="_Toc121134013"/>
      <w:r>
        <w:rPr>
          <w:rFonts w:hint="cs"/>
          <w:rtl/>
        </w:rPr>
        <w:t>بررسی کلام محقق خویی رحمه الله</w:t>
      </w:r>
      <w:bookmarkEnd w:id="12"/>
    </w:p>
    <w:p w:rsidR="00DA62B6" w:rsidRPr="00747486" w:rsidRDefault="00DA62B6" w:rsidP="0005526D">
      <w:r>
        <w:rPr>
          <w:rFonts w:hint="cs"/>
          <w:rtl/>
        </w:rPr>
        <w:t xml:space="preserve">این </w:t>
      </w:r>
      <w:r w:rsidR="0005526D">
        <w:rPr>
          <w:rFonts w:hint="cs"/>
          <w:rtl/>
        </w:rPr>
        <w:t xml:space="preserve">کلام </w:t>
      </w:r>
      <w:r>
        <w:rPr>
          <w:rFonts w:hint="cs"/>
          <w:rtl/>
        </w:rPr>
        <w:t xml:space="preserve">با مبنای </w:t>
      </w:r>
      <w:r w:rsidR="0005526D">
        <w:rPr>
          <w:rFonts w:hint="cs"/>
          <w:rtl/>
        </w:rPr>
        <w:t>ایشان</w:t>
      </w:r>
      <w:r w:rsidR="00C31B80">
        <w:rPr>
          <w:rFonts w:hint="cs"/>
          <w:rtl/>
        </w:rPr>
        <w:t xml:space="preserve"> در بحث وضع </w:t>
      </w:r>
      <w:r w:rsidR="0005526D">
        <w:rPr>
          <w:rFonts w:hint="cs"/>
          <w:rtl/>
        </w:rPr>
        <w:t>منافات دارد.</w:t>
      </w:r>
    </w:p>
    <w:sectPr w:rsidR="00DA62B6" w:rsidRPr="00747486" w:rsidSect="00BD76D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50" w:rsidRDefault="00BB0250" w:rsidP="007A2686">
      <w:pPr>
        <w:spacing w:after="0" w:line="240" w:lineRule="auto"/>
      </w:pPr>
      <w:r>
        <w:separator/>
      </w:r>
    </w:p>
  </w:endnote>
  <w:endnote w:type="continuationSeparator" w:id="0">
    <w:p w:rsidR="00BB0250" w:rsidRDefault="00BB0250" w:rsidP="007A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295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6DD" w:rsidRDefault="00BD76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16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D76DD" w:rsidRDefault="00BD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50" w:rsidRDefault="00BB0250" w:rsidP="007A2686">
      <w:pPr>
        <w:spacing w:after="0" w:line="240" w:lineRule="auto"/>
      </w:pPr>
      <w:r>
        <w:separator/>
      </w:r>
    </w:p>
  </w:footnote>
  <w:footnote w:type="continuationSeparator" w:id="0">
    <w:p w:rsidR="00BB0250" w:rsidRDefault="00BB0250" w:rsidP="007A2686">
      <w:pPr>
        <w:spacing w:after="0" w:line="240" w:lineRule="auto"/>
      </w:pPr>
      <w:r>
        <w:continuationSeparator/>
      </w:r>
    </w:p>
  </w:footnote>
  <w:footnote w:id="1">
    <w:p w:rsidR="00733093" w:rsidRDefault="00733093" w:rsidP="0073309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محاضرات فی اصول الفقه(طبع موسسة احیاء آثار السید الخویی) ج4، ص430-431.</w:t>
      </w:r>
    </w:p>
  </w:footnote>
  <w:footnote w:id="2">
    <w:p w:rsidR="00DA0616" w:rsidRDefault="00DA061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مناهج الوصول الی علم الاصول، امام خمینی، روح الله، ج2، ص283؛ تهذیب الاصول(طبع قدیم)، امام خمینی، روح الله، ج2، ص41.</w:t>
      </w:r>
    </w:p>
  </w:footnote>
  <w:footnote w:id="3">
    <w:p w:rsidR="00C96676" w:rsidRDefault="00C9667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الجمعة:9.</w:t>
      </w:r>
    </w:p>
  </w:footnote>
  <w:footnote w:id="4">
    <w:p w:rsidR="00B16A1C" w:rsidRDefault="00B16A1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الکافی(ط-الاسلامیة)، کلینی، محمد بن یعقوب، ج1، ص67، ح10.</w:t>
      </w:r>
    </w:p>
  </w:footnote>
  <w:footnote w:id="5">
    <w:p w:rsidR="00F95155" w:rsidRDefault="00F9515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فوائد الاصول، نایینی، محمد حسین، ج2، ص550-551؛  اجود التقریرات، نایینی، محمد حسین،</w:t>
      </w:r>
      <w:r>
        <w:t xml:space="preserve"> </w:t>
      </w:r>
      <w:r>
        <w:rPr>
          <w:rFonts w:hint="cs"/>
          <w:rtl/>
        </w:rPr>
        <w:t>ج1، ص491.</w:t>
      </w:r>
    </w:p>
  </w:footnote>
  <w:footnote w:id="6">
    <w:p w:rsidR="00D5066C" w:rsidRDefault="00D5066C" w:rsidP="00D5066C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الاحزاب:1. </w:t>
      </w:r>
    </w:p>
  </w:footnote>
  <w:footnote w:id="7">
    <w:p w:rsidR="00D5066C" w:rsidRDefault="00D5066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النساء:1.</w:t>
      </w:r>
    </w:p>
  </w:footnote>
  <w:footnote w:id="8">
    <w:p w:rsidR="0005526D" w:rsidRDefault="000552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الاصول(طبع آل البیت)، آخوند خراسانی، محمد کاظم ین حسین، ص</w:t>
      </w:r>
      <w:r w:rsidR="00733093">
        <w:rPr>
          <w:rFonts w:hint="cs"/>
          <w:rtl/>
        </w:rPr>
        <w:t>228.</w:t>
      </w:r>
    </w:p>
  </w:footnote>
  <w:footnote w:id="9">
    <w:p w:rsidR="00D5066C" w:rsidRDefault="00D5066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طه:24.</w:t>
      </w:r>
    </w:p>
  </w:footnote>
  <w:footnote w:id="10">
    <w:p w:rsidR="00D5066C" w:rsidRDefault="00D5066C" w:rsidP="00D5066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النساء:1.</w:t>
      </w:r>
    </w:p>
  </w:footnote>
  <w:footnote w:id="11">
    <w:p w:rsidR="0032659C" w:rsidRDefault="0032659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نهج البلاغة: ص74.</w:t>
      </w:r>
    </w:p>
  </w:footnote>
  <w:footnote w:id="12">
    <w:p w:rsidR="00733093" w:rsidRDefault="0073309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مناهج الوصول الی علم الاصول، امام خمینی، روح الله، ج2، ص</w:t>
      </w:r>
      <w:r>
        <w:t>288-289</w:t>
      </w:r>
      <w:r>
        <w:rPr>
          <w:rFonts w:hint="cs"/>
          <w:rtl/>
        </w:rPr>
        <w:t>.</w:t>
      </w:r>
    </w:p>
  </w:footnote>
  <w:footnote w:id="13">
    <w:p w:rsidR="00C31B80" w:rsidRDefault="00C31B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محاضرات فی اصول الفقه</w:t>
      </w:r>
      <w:r w:rsidR="0005526D">
        <w:rPr>
          <w:rFonts w:hint="cs"/>
          <w:rtl/>
        </w:rPr>
        <w:t>(طبع موسسة احیاء آثار السید الخویی)، خویی، ابوالقاسم، ج4، ص433.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DD" w:rsidRDefault="00BD76DD" w:rsidP="00BD76D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BD76DD" w:rsidRPr="00C40253" w:rsidRDefault="00BD76DD" w:rsidP="00733093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</w:t>
    </w:r>
    <w:r w:rsidR="006F4A78">
      <w:rPr>
        <w:rFonts w:ascii="NoorLotus" w:hAnsi="NoorLotus"/>
        <w:sz w:val="18"/>
        <w:szCs w:val="18"/>
      </w:rPr>
      <w:t>:</w:t>
    </w:r>
    <w:r w:rsidR="006F4A78">
      <w:rPr>
        <w:rFonts w:ascii="NoorLotus" w:hAnsi="NoorLotus" w:hint="cs"/>
        <w:sz w:val="18"/>
        <w:szCs w:val="18"/>
        <w:rtl/>
      </w:rPr>
      <w:t>57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733093">
      <w:rPr>
        <w:rFonts w:ascii="NoorLotus" w:hAnsi="NoorLotus" w:hint="cs"/>
        <w:sz w:val="18"/>
        <w:szCs w:val="18"/>
        <w:rtl/>
      </w:rPr>
      <w:t>14</w:t>
    </w:r>
    <w:r>
      <w:rPr>
        <w:rFonts w:ascii="NoorLotus" w:hAnsi="NoorLotus"/>
        <w:sz w:val="18"/>
        <w:szCs w:val="18"/>
        <w:rtl/>
      </w:rPr>
      <w:t>/</w:t>
    </w:r>
    <w:r>
      <w:rPr>
        <w:rFonts w:ascii="NoorLotus" w:hAnsi="NoorLotus" w:hint="cs"/>
        <w:sz w:val="18"/>
        <w:szCs w:val="18"/>
        <w:rtl/>
      </w:rPr>
      <w:t>9</w:t>
    </w:r>
    <w:r>
      <w:rPr>
        <w:rFonts w:ascii="NoorLotus" w:hAnsi="NoorLotus"/>
        <w:sz w:val="18"/>
        <w:szCs w:val="18"/>
        <w:rtl/>
      </w:rPr>
      <w:t>/1401)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94"/>
    <w:multiLevelType w:val="hybridMultilevel"/>
    <w:tmpl w:val="EE3AC936"/>
    <w:lvl w:ilvl="0" w:tplc="C1E6086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2370"/>
    <w:multiLevelType w:val="hybridMultilevel"/>
    <w:tmpl w:val="B61A916C"/>
    <w:lvl w:ilvl="0" w:tplc="3C2CF36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79F3"/>
    <w:multiLevelType w:val="hybridMultilevel"/>
    <w:tmpl w:val="26225024"/>
    <w:lvl w:ilvl="0" w:tplc="71647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86"/>
    <w:rsid w:val="000372EB"/>
    <w:rsid w:val="00042366"/>
    <w:rsid w:val="0005199F"/>
    <w:rsid w:val="0005526D"/>
    <w:rsid w:val="00117B90"/>
    <w:rsid w:val="00130C71"/>
    <w:rsid w:val="00154813"/>
    <w:rsid w:val="00175259"/>
    <w:rsid w:val="00185FEA"/>
    <w:rsid w:val="001E1B51"/>
    <w:rsid w:val="002132E4"/>
    <w:rsid w:val="00233FFA"/>
    <w:rsid w:val="00250A43"/>
    <w:rsid w:val="002B65E9"/>
    <w:rsid w:val="002F1168"/>
    <w:rsid w:val="0032659C"/>
    <w:rsid w:val="00333925"/>
    <w:rsid w:val="0035675B"/>
    <w:rsid w:val="0039165F"/>
    <w:rsid w:val="00397BCD"/>
    <w:rsid w:val="003B5C17"/>
    <w:rsid w:val="003E7654"/>
    <w:rsid w:val="003F3C5C"/>
    <w:rsid w:val="00410160"/>
    <w:rsid w:val="00437226"/>
    <w:rsid w:val="00461675"/>
    <w:rsid w:val="004C0F54"/>
    <w:rsid w:val="00500D4F"/>
    <w:rsid w:val="0050290D"/>
    <w:rsid w:val="00595151"/>
    <w:rsid w:val="00595DBC"/>
    <w:rsid w:val="005F46EC"/>
    <w:rsid w:val="00653DB1"/>
    <w:rsid w:val="00675080"/>
    <w:rsid w:val="006A7497"/>
    <w:rsid w:val="006E7529"/>
    <w:rsid w:val="006F4A78"/>
    <w:rsid w:val="0070432C"/>
    <w:rsid w:val="00733093"/>
    <w:rsid w:val="00747486"/>
    <w:rsid w:val="007654A3"/>
    <w:rsid w:val="007A2686"/>
    <w:rsid w:val="008A1437"/>
    <w:rsid w:val="008B3761"/>
    <w:rsid w:val="008D0FB3"/>
    <w:rsid w:val="0091529A"/>
    <w:rsid w:val="00964138"/>
    <w:rsid w:val="009662E8"/>
    <w:rsid w:val="0098005D"/>
    <w:rsid w:val="009B472B"/>
    <w:rsid w:val="009D4A89"/>
    <w:rsid w:val="009E748D"/>
    <w:rsid w:val="00A07BFE"/>
    <w:rsid w:val="00A145BB"/>
    <w:rsid w:val="00A3553D"/>
    <w:rsid w:val="00AA06FF"/>
    <w:rsid w:val="00AD1C3D"/>
    <w:rsid w:val="00B12B0B"/>
    <w:rsid w:val="00B16A1C"/>
    <w:rsid w:val="00B556AB"/>
    <w:rsid w:val="00BB0250"/>
    <w:rsid w:val="00BD0102"/>
    <w:rsid w:val="00BD76DD"/>
    <w:rsid w:val="00BE544A"/>
    <w:rsid w:val="00C31B80"/>
    <w:rsid w:val="00C96676"/>
    <w:rsid w:val="00CC44DC"/>
    <w:rsid w:val="00CF486A"/>
    <w:rsid w:val="00D016DB"/>
    <w:rsid w:val="00D15BD2"/>
    <w:rsid w:val="00D5066C"/>
    <w:rsid w:val="00DA0616"/>
    <w:rsid w:val="00DA4AC0"/>
    <w:rsid w:val="00DA62B6"/>
    <w:rsid w:val="00DE7D5E"/>
    <w:rsid w:val="00E35686"/>
    <w:rsid w:val="00E85215"/>
    <w:rsid w:val="00EB790C"/>
    <w:rsid w:val="00F0072F"/>
    <w:rsid w:val="00F071D8"/>
    <w:rsid w:val="00F131DA"/>
    <w:rsid w:val="00F95155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86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90D"/>
    <w:pPr>
      <w:keepNext/>
      <w:keepLines/>
      <w:spacing w:after="0" w:line="259" w:lineRule="auto"/>
      <w:outlineLvl w:val="0"/>
    </w:pPr>
    <w:rPr>
      <w:rFonts w:ascii="B Titr" w:eastAsia="NoorLotus" w:hAnsi="B Titr" w:cs="B Titr"/>
      <w:bCs/>
      <w:color w:val="00B0F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90D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0D"/>
    <w:rPr>
      <w:rFonts w:ascii="B Titr" w:eastAsia="NoorLotus" w:hAnsi="B Titr" w:cs="B Titr"/>
      <w:bCs/>
      <w:color w:val="00B0F0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0290D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7A2686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A26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2686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7A2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2686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686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b/>
      <w:color w:val="2E74B5"/>
      <w:szCs w:val="32"/>
    </w:rPr>
  </w:style>
  <w:style w:type="character" w:styleId="FootnoteReference">
    <w:name w:val="footnote reference"/>
    <w:basedOn w:val="DefaultParagraphFont"/>
    <w:uiPriority w:val="99"/>
    <w:unhideWhenUsed/>
    <w:rsid w:val="007A26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86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A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86"/>
    <w:rPr>
      <w:rFonts w:ascii="Calibri" w:eastAsia="Calibri" w:hAnsi="Calibri" w:cs="NoorLotus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7A26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6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86"/>
    <w:rPr>
      <w:rFonts w:ascii="Tahoma" w:eastAsia="Calibri" w:hAnsi="Tahoma" w:cs="Tahoma"/>
      <w:sz w:val="16"/>
      <w:szCs w:val="16"/>
      <w:lang w:bidi="fa-IR"/>
    </w:rPr>
  </w:style>
  <w:style w:type="paragraph" w:styleId="NoSpacing">
    <w:name w:val="No Spacing"/>
    <w:uiPriority w:val="1"/>
    <w:qFormat/>
    <w:rsid w:val="00A145BB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86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90D"/>
    <w:pPr>
      <w:keepNext/>
      <w:keepLines/>
      <w:spacing w:after="0" w:line="259" w:lineRule="auto"/>
      <w:outlineLvl w:val="0"/>
    </w:pPr>
    <w:rPr>
      <w:rFonts w:ascii="B Titr" w:eastAsia="NoorLotus" w:hAnsi="B Titr" w:cs="B Titr"/>
      <w:bCs/>
      <w:color w:val="00B0F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90D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0D"/>
    <w:rPr>
      <w:rFonts w:ascii="B Titr" w:eastAsia="NoorLotus" w:hAnsi="B Titr" w:cs="B Titr"/>
      <w:bCs/>
      <w:color w:val="00B0F0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0290D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7A2686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A26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2686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7A2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2686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686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b/>
      <w:color w:val="2E74B5"/>
      <w:szCs w:val="32"/>
    </w:rPr>
  </w:style>
  <w:style w:type="character" w:styleId="FootnoteReference">
    <w:name w:val="footnote reference"/>
    <w:basedOn w:val="DefaultParagraphFont"/>
    <w:uiPriority w:val="99"/>
    <w:unhideWhenUsed/>
    <w:rsid w:val="007A26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86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A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86"/>
    <w:rPr>
      <w:rFonts w:ascii="Calibri" w:eastAsia="Calibri" w:hAnsi="Calibri" w:cs="NoorLotus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7A26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6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86"/>
    <w:rPr>
      <w:rFonts w:ascii="Tahoma" w:eastAsia="Calibri" w:hAnsi="Tahoma" w:cs="Tahoma"/>
      <w:sz w:val="16"/>
      <w:szCs w:val="16"/>
      <w:lang w:bidi="fa-IR"/>
    </w:rPr>
  </w:style>
  <w:style w:type="paragraph" w:styleId="NoSpacing">
    <w:name w:val="No Spacing"/>
    <w:uiPriority w:val="1"/>
    <w:qFormat/>
    <w:rsid w:val="00A145BB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FA37-146D-4088-9358-B00D02A4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22</cp:revision>
  <cp:lastPrinted>2022-12-05T02:03:00Z</cp:lastPrinted>
  <dcterms:created xsi:type="dcterms:W3CDTF">2022-12-03T04:50:00Z</dcterms:created>
  <dcterms:modified xsi:type="dcterms:W3CDTF">2022-12-10T07:18:00Z</dcterms:modified>
</cp:coreProperties>
</file>