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002D5F92">
        <w:rPr>
          <w:rFonts w:ascii="Lotus Linotype" w:hAnsi="Lotus Linotype" w:cs="Lotus Linotype" w:hint="cs"/>
          <w:b/>
          <w:bCs/>
          <w:color w:val="FF0000"/>
          <w:sz w:val="32"/>
          <w:szCs w:val="32"/>
          <w:rtl/>
          <w:lang w:bidi="ar-LB"/>
        </w:rPr>
        <w:t xml:space="preserve"> 72</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2D5F92">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4640DD">
        <w:rPr>
          <w:rFonts w:ascii="Arabic Typesetting" w:hAnsi="Arabic Typesetting" w:cs="Arabic Typesetting" w:hint="cs"/>
          <w:b/>
          <w:bCs/>
          <w:color w:val="FF0000"/>
          <w:sz w:val="32"/>
          <w:szCs w:val="32"/>
          <w:rtl/>
          <w:lang w:bidi="ar-LB"/>
        </w:rPr>
        <w:t>القطع</w:t>
      </w:r>
      <w:r w:rsidR="002D5F92">
        <w:rPr>
          <w:rFonts w:ascii="Arabic Typesetting" w:hAnsi="Arabic Typesetting" w:cs="Arabic Typesetting" w:hint="cs"/>
          <w:b/>
          <w:bCs/>
          <w:color w:val="FF0000"/>
          <w:sz w:val="32"/>
          <w:szCs w:val="32"/>
          <w:rtl/>
          <w:lang w:bidi="ar-LB"/>
        </w:rPr>
        <w:t xml:space="preserve">   </w:t>
      </w:r>
      <w:r w:rsidRPr="00C6699F">
        <w:rPr>
          <w:rFonts w:ascii="Arabic Typesetting" w:hAnsi="Arabic Typesetting" w:cs="Arabic Typesetting"/>
          <w:color w:val="FF0000"/>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2D5F92">
        <w:rPr>
          <w:rFonts w:ascii="Arabic Typesetting" w:hAnsi="Arabic Typesetting" w:cs="Arabic Typesetting" w:hint="cs"/>
          <w:b/>
          <w:bCs/>
          <w:sz w:val="32"/>
          <w:szCs w:val="32"/>
          <w:rtl/>
          <w:lang w:bidi="ar-LB"/>
        </w:rPr>
        <w:t xml:space="preserve">                                </w:t>
      </w:r>
      <w:bookmarkStart w:id="0" w:name="_GoBack"/>
      <w:bookmarkEnd w:id="0"/>
      <w:r w:rsidR="002D5F92">
        <w:rPr>
          <w:rFonts w:ascii="Arabic Typesetting" w:hAnsi="Arabic Typesetting" w:cs="Arabic Typesetting" w:hint="cs"/>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2D5F92">
        <w:rPr>
          <w:rFonts w:ascii="Arabic Typesetting" w:hAnsi="Arabic Typesetting" w:cs="Arabic Typesetting" w:hint="cs"/>
          <w:sz w:val="32"/>
          <w:szCs w:val="32"/>
          <w:rtl/>
          <w:lang w:bidi="ar-LB"/>
        </w:rPr>
        <w:t xml:space="preserve"> الأحد، 12</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737FE3" w:rsidRDefault="00737FE3" w:rsidP="00202794">
      <w:pPr>
        <w:jc w:val="center"/>
        <w:rPr>
          <w:rFonts w:ascii="Lotus Linotype" w:hAnsi="Lotus Linotype" w:cs="Lotus Linotype"/>
          <w:color w:val="AFD597"/>
          <w:sz w:val="32"/>
          <w:szCs w:val="32"/>
          <w:rtl/>
          <w:lang w:bidi="ar-LB"/>
        </w:rPr>
      </w:pPr>
    </w:p>
    <w:p w:rsidR="00737FE3" w:rsidRDefault="00737FE3" w:rsidP="00202794">
      <w:pPr>
        <w:jc w:val="center"/>
        <w:rPr>
          <w:rFonts w:ascii="Lotus Linotype" w:hAnsi="Lotus Linotype" w:cs="Lotus Linotype"/>
          <w:color w:val="AFD597"/>
          <w:sz w:val="32"/>
          <w:szCs w:val="32"/>
          <w:rtl/>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737FE3" w:rsidRPr="00C6699F" w:rsidRDefault="00737FE3" w:rsidP="00202794">
      <w:pPr>
        <w:jc w:val="both"/>
        <w:rPr>
          <w:rFonts w:ascii="Lotus Linotype" w:hAnsi="Lotus Linotype" w:cs="Lotus Linotype"/>
          <w:sz w:val="32"/>
          <w:szCs w:val="32"/>
          <w:rtl/>
          <w:lang w:bidi="ar-LB"/>
        </w:rPr>
      </w:pPr>
    </w:p>
    <w:p w:rsidR="001F0D21" w:rsidRDefault="00AC0D2D" w:rsidP="00700048">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كان الكلام في </w:t>
      </w:r>
      <w:r w:rsidRPr="004805BE">
        <w:rPr>
          <w:rFonts w:ascii="Lotus Linotype" w:hAnsi="Lotus Linotype" w:cs="Lotus Linotype" w:hint="cs"/>
          <w:b/>
          <w:bCs/>
          <w:color w:val="FF0000"/>
          <w:sz w:val="32"/>
          <w:szCs w:val="32"/>
          <w:rtl/>
          <w:lang w:bidi="ar-LB"/>
        </w:rPr>
        <w:t>الموارد التي لم يكن للفقيه علمٌ وجدانيٌّ بالحكم الشرعيّ الواقعي</w:t>
      </w:r>
      <w:r>
        <w:rPr>
          <w:rFonts w:ascii="Lotus Linotype" w:hAnsi="Lotus Linotype" w:cs="Lotus Linotype" w:hint="cs"/>
          <w:sz w:val="32"/>
          <w:szCs w:val="32"/>
          <w:rtl/>
          <w:lang w:bidi="ar-LB"/>
        </w:rPr>
        <w:t xml:space="preserve"> كي يُفتي به، فكان يريد أن يفتي بالحكم الظاهري ولكن</w:t>
      </w:r>
      <w:r w:rsidR="004805BE">
        <w:rPr>
          <w:rFonts w:ascii="Lotus Linotype" w:hAnsi="Lotus Linotype" w:cs="Lotus Linotype" w:hint="cs"/>
          <w:sz w:val="32"/>
          <w:szCs w:val="32"/>
          <w:rtl/>
          <w:lang w:bidi="ar-LB"/>
        </w:rPr>
        <w:t>ّ</w:t>
      </w:r>
      <w:r>
        <w:rPr>
          <w:rFonts w:ascii="Lotus Linotype" w:hAnsi="Lotus Linotype" w:cs="Lotus Linotype" w:hint="cs"/>
          <w:sz w:val="32"/>
          <w:szCs w:val="32"/>
          <w:rtl/>
          <w:lang w:bidi="ar-LB"/>
        </w:rPr>
        <w:t>ه يرى أنّ الحكم الظاهري لم يتحقق موضوعه في حق العاميّ.</w:t>
      </w:r>
    </w:p>
    <w:p w:rsidR="004805BE" w:rsidRDefault="0033364B" w:rsidP="004805BE">
      <w:pPr>
        <w:jc w:val="both"/>
        <w:rPr>
          <w:rFonts w:ascii="Lotus Linotype" w:hAnsi="Lotus Linotype" w:cs="Lotus Linotype"/>
          <w:sz w:val="32"/>
          <w:szCs w:val="32"/>
          <w:rtl/>
          <w:lang w:bidi="ar-LB"/>
        </w:rPr>
      </w:pPr>
      <w:r w:rsidRPr="004805BE">
        <w:rPr>
          <w:rFonts w:ascii="Lotus Linotype" w:hAnsi="Lotus Linotype" w:cs="Lotus Linotype" w:hint="cs"/>
          <w:b/>
          <w:bCs/>
          <w:color w:val="FF0000"/>
          <w:sz w:val="32"/>
          <w:szCs w:val="32"/>
          <w:rtl/>
          <w:lang w:bidi="ar-LB"/>
        </w:rPr>
        <w:t xml:space="preserve">وذكرنا </w:t>
      </w:r>
      <w:r w:rsidR="004805BE">
        <w:rPr>
          <w:rFonts w:ascii="Lotus Linotype" w:hAnsi="Lotus Linotype" w:cs="Lotus Linotype" w:hint="cs"/>
          <w:b/>
          <w:bCs/>
          <w:color w:val="FF0000"/>
          <w:sz w:val="32"/>
          <w:szCs w:val="32"/>
          <w:rtl/>
          <w:lang w:bidi="ar-LB"/>
        </w:rPr>
        <w:t xml:space="preserve">له أربع موارد، </w:t>
      </w:r>
      <w:r w:rsidRPr="004805BE">
        <w:rPr>
          <w:rFonts w:ascii="Lotus Linotype" w:hAnsi="Lotus Linotype" w:cs="Lotus Linotype" w:hint="cs"/>
          <w:b/>
          <w:bCs/>
          <w:color w:val="0070C0"/>
          <w:sz w:val="32"/>
          <w:szCs w:val="32"/>
          <w:rtl/>
          <w:lang w:bidi="ar-LB"/>
        </w:rPr>
        <w:t>المورد ا لأول:</w:t>
      </w:r>
      <w:r w:rsidRPr="004805BE">
        <w:rPr>
          <w:rFonts w:ascii="Lotus Linotype" w:hAnsi="Lotus Linotype" w:cs="Lotus Linotype" w:hint="cs"/>
          <w:color w:val="0070C0"/>
          <w:sz w:val="32"/>
          <w:szCs w:val="32"/>
          <w:rtl/>
          <w:lang w:bidi="ar-LB"/>
        </w:rPr>
        <w:t xml:space="preserve"> </w:t>
      </w:r>
      <w:r w:rsidRPr="004805BE">
        <w:rPr>
          <w:rFonts w:ascii="Lotus Linotype" w:hAnsi="Lotus Linotype" w:cs="Lotus Linotype" w:hint="cs"/>
          <w:b/>
          <w:bCs/>
          <w:color w:val="0070C0"/>
          <w:sz w:val="32"/>
          <w:szCs w:val="32"/>
          <w:rtl/>
          <w:lang w:bidi="ar-LB"/>
        </w:rPr>
        <w:t>مورد قيام خبر الثقة على الحكم الشرعيّ</w:t>
      </w:r>
      <w:r w:rsidR="004805BE">
        <w:rPr>
          <w:rFonts w:ascii="Lotus Linotype" w:hAnsi="Lotus Linotype" w:cs="Lotus Linotype" w:hint="cs"/>
          <w:sz w:val="32"/>
          <w:szCs w:val="32"/>
          <w:rtl/>
          <w:lang w:bidi="ar-LB"/>
        </w:rPr>
        <w:t>.</w:t>
      </w:r>
    </w:p>
    <w:p w:rsidR="004805BE" w:rsidRDefault="0033364B" w:rsidP="004805B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فيمكن أن نقول بأنّ موضوع جواز الإخبار بالحكم الشرعيّ الواقعيّ أعمّ من العلم الوجدان</w:t>
      </w:r>
      <w:r w:rsidR="00644272">
        <w:rPr>
          <w:rFonts w:ascii="Lotus Linotype" w:hAnsi="Lotus Linotype" w:cs="Lotus Linotype" w:hint="cs"/>
          <w:sz w:val="32"/>
          <w:szCs w:val="32"/>
          <w:rtl/>
          <w:lang w:bidi="ar-LB"/>
        </w:rPr>
        <w:t>يّ به أو قيام طريقٍ معتبرٍ عليه</w:t>
      </w:r>
      <w:r w:rsidR="004805BE">
        <w:rPr>
          <w:rFonts w:ascii="Lotus Linotype" w:hAnsi="Lotus Linotype" w:cs="Lotus Linotype" w:hint="cs"/>
          <w:sz w:val="32"/>
          <w:szCs w:val="32"/>
          <w:rtl/>
          <w:lang w:bidi="ar-LB"/>
        </w:rPr>
        <w:t>:</w:t>
      </w:r>
    </w:p>
    <w:p w:rsidR="004805BE" w:rsidRPr="000E40B6" w:rsidRDefault="00644272" w:rsidP="000E40B6">
      <w:pPr>
        <w:jc w:val="both"/>
        <w:rPr>
          <w:rFonts w:ascii="Lotus Linotype" w:hAnsi="Lotus Linotype" w:cs="Lotus Linotype"/>
          <w:b/>
          <w:bCs/>
          <w:sz w:val="32"/>
          <w:szCs w:val="32"/>
          <w:lang w:bidi="ar-LB"/>
        </w:rPr>
      </w:pPr>
      <w:r w:rsidRPr="000E40B6">
        <w:rPr>
          <w:rFonts w:ascii="Lotus Linotype" w:hAnsi="Lotus Linotype" w:cs="Lotus Linotype" w:hint="cs"/>
          <w:sz w:val="32"/>
          <w:szCs w:val="32"/>
          <w:rtl/>
          <w:lang w:bidi="ar-LB"/>
        </w:rPr>
        <w:t xml:space="preserve"> </w:t>
      </w:r>
      <w:r w:rsidRPr="000E40B6">
        <w:rPr>
          <w:rFonts w:ascii="Lotus Linotype" w:hAnsi="Lotus Linotype" w:cs="Lotus Linotype" w:hint="cs"/>
          <w:b/>
          <w:bCs/>
          <w:sz w:val="32"/>
          <w:szCs w:val="32"/>
          <w:rtl/>
          <w:lang w:bidi="ar-LB"/>
        </w:rPr>
        <w:t>إمّا لما يقوله السيد الخوئي</w:t>
      </w:r>
      <w:r w:rsidR="004805BE" w:rsidRPr="000E40B6">
        <w:rPr>
          <w:rFonts w:ascii="Lotus Linotype" w:hAnsi="Lotus Linotype" w:cs="Lotus Linotype" w:hint="cs"/>
          <w:sz w:val="32"/>
          <w:szCs w:val="32"/>
          <w:rtl/>
          <w:lang w:bidi="ar-LB"/>
        </w:rPr>
        <w:t xml:space="preserve"> </w:t>
      </w:r>
      <w:r w:rsidR="000E40B6">
        <w:rPr>
          <w:rFonts w:ascii="Lotus Linotype" w:hAnsi="Lotus Linotype" w:cs="Taher" w:hint="cs"/>
          <w:sz w:val="32"/>
          <w:szCs w:val="32"/>
          <w:rtl/>
          <w:lang w:bidi="ar-LB"/>
        </w:rPr>
        <w:t>رحمه الله</w:t>
      </w:r>
      <w:r w:rsidR="004805BE" w:rsidRPr="000E40B6">
        <w:rPr>
          <w:rFonts w:ascii="Lotus Linotype" w:hAnsi="Lotus Linotype" w:cs="Lotus Linotype" w:hint="cs"/>
          <w:sz w:val="32"/>
          <w:szCs w:val="32"/>
          <w:rtl/>
          <w:lang w:bidi="ar-LB"/>
        </w:rPr>
        <w:t>:</w:t>
      </w:r>
      <w:r w:rsidRPr="000E40B6">
        <w:rPr>
          <w:rFonts w:ascii="Lotus Linotype" w:hAnsi="Lotus Linotype" w:cs="Lotus Linotype" w:hint="cs"/>
          <w:sz w:val="32"/>
          <w:szCs w:val="32"/>
          <w:rtl/>
          <w:lang w:bidi="ar-LB"/>
        </w:rPr>
        <w:t xml:space="preserve"> من </w:t>
      </w:r>
      <w:r w:rsidRPr="000E40B6">
        <w:rPr>
          <w:rFonts w:ascii="Lotus Linotype" w:hAnsi="Lotus Linotype" w:cs="Lotus Linotype" w:hint="cs"/>
          <w:b/>
          <w:bCs/>
          <w:color w:val="BF8F00" w:themeColor="accent4" w:themeShade="BF"/>
          <w:sz w:val="32"/>
          <w:szCs w:val="32"/>
          <w:rtl/>
          <w:lang w:bidi="ar-LB"/>
        </w:rPr>
        <w:t>أنّ الأمارة اُعتبرت علماً بالواقع</w:t>
      </w:r>
      <w:r w:rsidRPr="000E40B6">
        <w:rPr>
          <w:rFonts w:ascii="Lotus Linotype" w:hAnsi="Lotus Linotype" w:cs="Lotus Linotype" w:hint="cs"/>
          <w:sz w:val="32"/>
          <w:szCs w:val="32"/>
          <w:rtl/>
          <w:lang w:bidi="ar-LB"/>
        </w:rPr>
        <w:t xml:space="preserve"> وقامت مقام العلم الموضوعيّ في آثاره التي منها جواز الإخبار بالواقع</w:t>
      </w:r>
      <w:r w:rsidR="004805BE" w:rsidRPr="000E40B6">
        <w:rPr>
          <w:rFonts w:ascii="Lotus Linotype" w:hAnsi="Lotus Linotype" w:cs="Lotus Linotype" w:hint="cs"/>
          <w:sz w:val="32"/>
          <w:szCs w:val="32"/>
          <w:rtl/>
          <w:lang w:bidi="ar-LB"/>
        </w:rPr>
        <w:t>.</w:t>
      </w:r>
    </w:p>
    <w:p w:rsidR="004805BE" w:rsidRPr="000E40B6" w:rsidRDefault="00644272" w:rsidP="000E40B6">
      <w:pPr>
        <w:jc w:val="both"/>
        <w:rPr>
          <w:rFonts w:ascii="Lotus Linotype" w:hAnsi="Lotus Linotype" w:cs="Lotus Linotype"/>
          <w:b/>
          <w:bCs/>
          <w:sz w:val="32"/>
          <w:szCs w:val="32"/>
          <w:lang w:bidi="ar-LB"/>
        </w:rPr>
      </w:pPr>
      <w:r w:rsidRPr="000E40B6">
        <w:rPr>
          <w:rFonts w:ascii="Lotus Linotype" w:hAnsi="Lotus Linotype" w:cs="Lotus Linotype" w:hint="cs"/>
          <w:sz w:val="32"/>
          <w:szCs w:val="32"/>
          <w:rtl/>
          <w:lang w:bidi="ar-LB"/>
        </w:rPr>
        <w:t xml:space="preserve"> </w:t>
      </w:r>
      <w:r w:rsidRPr="000E40B6">
        <w:rPr>
          <w:rFonts w:ascii="Lotus Linotype" w:hAnsi="Lotus Linotype" w:cs="Lotus Linotype" w:hint="cs"/>
          <w:b/>
          <w:bCs/>
          <w:sz w:val="32"/>
          <w:szCs w:val="32"/>
          <w:rtl/>
          <w:lang w:bidi="ar-LB"/>
        </w:rPr>
        <w:t>أو نقول كما قال السيد السيستاني</w:t>
      </w:r>
      <w:r w:rsidR="004805BE" w:rsidRPr="000E40B6">
        <w:rPr>
          <w:rFonts w:ascii="Lotus Linotype" w:hAnsi="Lotus Linotype" w:cs="Lotus Linotype" w:hint="cs"/>
          <w:b/>
          <w:bCs/>
          <w:sz w:val="32"/>
          <w:szCs w:val="32"/>
          <w:rtl/>
          <w:lang w:bidi="ar-LB"/>
        </w:rPr>
        <w:t xml:space="preserve"> </w:t>
      </w:r>
      <w:r w:rsidR="004805BE" w:rsidRPr="000E40B6">
        <w:rPr>
          <w:rFonts w:ascii="Lotus Linotype" w:hAnsi="Lotus Linotype" w:cs="Taher" w:hint="cs"/>
          <w:b/>
          <w:bCs/>
          <w:sz w:val="32"/>
          <w:szCs w:val="32"/>
          <w:rtl/>
          <w:lang w:bidi="ar-LB"/>
        </w:rPr>
        <w:t>'</w:t>
      </w:r>
      <w:r w:rsidR="004805BE" w:rsidRPr="000E40B6">
        <w:rPr>
          <w:rFonts w:ascii="Lotus Linotype" w:hAnsi="Lotus Linotype" w:cs="Lotus Linotype" w:hint="cs"/>
          <w:sz w:val="32"/>
          <w:szCs w:val="32"/>
          <w:rtl/>
          <w:lang w:bidi="ar-LB"/>
        </w:rPr>
        <w:t>:</w:t>
      </w:r>
      <w:r w:rsidRPr="000E40B6">
        <w:rPr>
          <w:rFonts w:ascii="Lotus Linotype" w:hAnsi="Lotus Linotype" w:cs="Lotus Linotype" w:hint="cs"/>
          <w:sz w:val="32"/>
          <w:szCs w:val="32"/>
          <w:rtl/>
          <w:lang w:bidi="ar-LB"/>
        </w:rPr>
        <w:t xml:space="preserve"> بأنّ </w:t>
      </w:r>
      <w:r w:rsidRPr="000E40B6">
        <w:rPr>
          <w:rFonts w:ascii="Lotus Linotype" w:hAnsi="Lotus Linotype" w:cs="Lotus Linotype" w:hint="cs"/>
          <w:b/>
          <w:bCs/>
          <w:color w:val="BF8F00" w:themeColor="accent4" w:themeShade="BF"/>
          <w:sz w:val="32"/>
          <w:szCs w:val="32"/>
          <w:rtl/>
          <w:lang w:bidi="ar-LB"/>
        </w:rPr>
        <w:t>العلم في الكتاب والسنّة ظاهرٌ في البصيرة</w:t>
      </w:r>
      <w:r w:rsidRPr="000E40B6">
        <w:rPr>
          <w:rFonts w:ascii="Lotus Linotype" w:hAnsi="Lotus Linotype" w:cs="Lotus Linotype" w:hint="cs"/>
          <w:sz w:val="32"/>
          <w:szCs w:val="32"/>
          <w:rtl/>
          <w:lang w:bidi="ar-LB"/>
        </w:rPr>
        <w:t xml:space="preserve">، يعني كلّ ما صدق عليه بالنظر العرفيّ أنّه قولٌ على بصيرةٍ فيصدق أنّه قولٌ بعلمٍ، كما أنّه لو صدق على عملٍ أنّه عمل على بصيرةٍ يصدق عليه أنّه عملٌ بعلم. بينما أنّه لو حصل له اعتقادٌ جازم </w:t>
      </w:r>
      <w:r w:rsidR="00AF3289" w:rsidRPr="000E40B6">
        <w:rPr>
          <w:rFonts w:ascii="Lotus Linotype" w:hAnsi="Lotus Linotype" w:cs="Lotus Linotype" w:hint="cs"/>
          <w:sz w:val="32"/>
          <w:szCs w:val="32"/>
          <w:rtl/>
          <w:lang w:bidi="ar-LB"/>
        </w:rPr>
        <w:t>لكن من مناشىء غير عقلائية فلا يصدق عليه في عرف الكتاب والسنّة أنّه قولٌ بعلمٍ أو عملٌ بعلمٍ</w:t>
      </w:r>
      <w:r w:rsidR="008C38A7" w:rsidRPr="000E40B6">
        <w:rPr>
          <w:rFonts w:ascii="Lotus Linotype" w:hAnsi="Lotus Linotype" w:cs="Lotus Linotype" w:hint="cs"/>
          <w:sz w:val="32"/>
          <w:szCs w:val="32"/>
          <w:rtl/>
          <w:lang w:bidi="ar-LB"/>
        </w:rPr>
        <w:t xml:space="preserve"> بل يصدق عليه اتّباع الظنّ، لا يغرّنّك الثقافة الحاصلة من انتشار الفلسفة اليونانيّة في مجتمع المسلمين حيث إنّهم عرّفوا العلم بالاعتقاد الجازم وعرّفوا الظن بالاعتقاد ا</w:t>
      </w:r>
      <w:r w:rsidR="00721424" w:rsidRPr="000E40B6">
        <w:rPr>
          <w:rFonts w:ascii="Lotus Linotype" w:hAnsi="Lotus Linotype" w:cs="Lotus Linotype" w:hint="cs"/>
          <w:sz w:val="32"/>
          <w:szCs w:val="32"/>
          <w:rtl/>
          <w:lang w:bidi="ar-LB"/>
        </w:rPr>
        <w:t xml:space="preserve">لراجح فأثروا على ثقافة المسلمين؛ فإنّ الثقافة  الإسلاميّة المتأثرة من </w:t>
      </w:r>
      <w:r w:rsidR="001568FC" w:rsidRPr="000E40B6">
        <w:rPr>
          <w:rFonts w:ascii="Lotus Linotype" w:hAnsi="Lotus Linotype" w:cs="Lotus Linotype" w:hint="cs"/>
          <w:sz w:val="32"/>
          <w:szCs w:val="32"/>
          <w:rtl/>
          <w:lang w:bidi="ar-LB"/>
        </w:rPr>
        <w:t xml:space="preserve">الكتاب والسنّة تختلف عن ثقافتهم، </w:t>
      </w:r>
      <w:r w:rsidR="001568FC" w:rsidRPr="000E40B6">
        <w:rPr>
          <w:rFonts w:ascii="Lotus Linotype" w:hAnsi="Lotus Linotype" w:cs="Lotus Linotype" w:hint="cs"/>
          <w:sz w:val="32"/>
          <w:szCs w:val="32"/>
          <w:rtl/>
          <w:lang w:bidi="ar-LB"/>
        </w:rPr>
        <w:lastRenderedPageBreak/>
        <w:t xml:space="preserve">الثقافة الإسلامية تعتبر كلّ قطعٍ ناشىء من مناشىء غير عقلائية ظناً، فترى أنّ المشركين عندهم اعتقاد جازم </w:t>
      </w:r>
      <w:r w:rsidR="00247C21" w:rsidRPr="000E40B6">
        <w:rPr>
          <w:rFonts w:ascii="Lotus Linotype" w:hAnsi="Lotus Linotype" w:cs="Lotus Linotype" w:hint="cs"/>
          <w:sz w:val="32"/>
          <w:szCs w:val="32"/>
          <w:rtl/>
          <w:lang w:bidi="ar-LB"/>
        </w:rPr>
        <w:t xml:space="preserve">بمذهبهم لكنّ الإسلام يعتبرهم غير مستيقنين </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ما لهم بذلك من علمٍ إن هم إلا يظنون</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 xml:space="preserve"> </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إن هم إلا يخرصون</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 xml:space="preserve"> ما هم بمستيقنين </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إن يتبعون إلا الظن</w:t>
      </w:r>
      <w:r w:rsidR="004805BE" w:rsidRPr="000E40B6">
        <w:rPr>
          <w:rFonts w:ascii="Lotus Linotype" w:hAnsi="Lotus Linotype" w:cs="Taher" w:hint="cs"/>
          <w:sz w:val="32"/>
          <w:szCs w:val="32"/>
          <w:rtl/>
          <w:lang w:bidi="ar-LB"/>
        </w:rPr>
        <w:t>﴾</w:t>
      </w:r>
      <w:r w:rsidR="00247C21" w:rsidRPr="000E40B6">
        <w:rPr>
          <w:rFonts w:ascii="Lotus Linotype" w:hAnsi="Lotus Linotype" w:cs="Lotus Linotype" w:hint="cs"/>
          <w:sz w:val="32"/>
          <w:szCs w:val="32"/>
          <w:rtl/>
          <w:lang w:bidi="ar-LB"/>
        </w:rPr>
        <w:t xml:space="preserve"> </w:t>
      </w:r>
      <w:r w:rsidR="00247C21" w:rsidRPr="000E40B6">
        <w:rPr>
          <w:rFonts w:ascii="Lotus Linotype" w:hAnsi="Lotus Linotype" w:cs="Lotus Linotype" w:hint="cs"/>
          <w:b/>
          <w:bCs/>
          <w:sz w:val="32"/>
          <w:szCs w:val="32"/>
          <w:rtl/>
          <w:lang w:bidi="ar-LB"/>
        </w:rPr>
        <w:t>وعليه:</w:t>
      </w:r>
      <w:r w:rsidR="00247C21" w:rsidRPr="000E40B6">
        <w:rPr>
          <w:rFonts w:ascii="Lotus Linotype" w:hAnsi="Lotus Linotype" w:cs="Lotus Linotype" w:hint="cs"/>
          <w:sz w:val="32"/>
          <w:szCs w:val="32"/>
          <w:rtl/>
          <w:lang w:bidi="ar-LB"/>
        </w:rPr>
        <w:t xml:space="preserve"> فالمفتي الذي يُفتي على أساس الأمارات المعتبرة </w:t>
      </w:r>
      <w:r w:rsidR="00EB3A86" w:rsidRPr="000E40B6">
        <w:rPr>
          <w:rFonts w:ascii="Lotus Linotype" w:hAnsi="Lotus Linotype" w:cs="Lotus Linotype" w:hint="cs"/>
          <w:sz w:val="32"/>
          <w:szCs w:val="32"/>
          <w:rtl/>
          <w:lang w:bidi="ar-LB"/>
        </w:rPr>
        <w:t>فهو يُفتي بعلمٍ بهذا المعنى، أي: يُفتي على بصيرةٍ.</w:t>
      </w:r>
    </w:p>
    <w:p w:rsidR="004805BE" w:rsidRPr="000E40B6" w:rsidRDefault="004805BE" w:rsidP="000E40B6">
      <w:pPr>
        <w:jc w:val="both"/>
        <w:rPr>
          <w:rFonts w:ascii="Lotus Linotype" w:hAnsi="Lotus Linotype" w:cs="Lotus Linotype"/>
          <w:b/>
          <w:bCs/>
          <w:sz w:val="32"/>
          <w:szCs w:val="32"/>
          <w:lang w:bidi="ar-LB"/>
        </w:rPr>
      </w:pPr>
      <w:r w:rsidRPr="000E40B6">
        <w:rPr>
          <w:rFonts w:ascii="Lotus Linotype" w:hAnsi="Lotus Linotype" w:cs="Lotus Linotype" w:hint="cs"/>
          <w:sz w:val="32"/>
          <w:szCs w:val="32"/>
          <w:rtl/>
          <w:lang w:bidi="ar-LB"/>
        </w:rPr>
        <w:t xml:space="preserve"> </w:t>
      </w:r>
      <w:r w:rsidR="00374C87" w:rsidRPr="000E40B6">
        <w:rPr>
          <w:rFonts w:ascii="Lotus Linotype" w:hAnsi="Lotus Linotype" w:cs="Lotus Linotype" w:hint="cs"/>
          <w:b/>
          <w:bCs/>
          <w:sz w:val="32"/>
          <w:szCs w:val="32"/>
          <w:rtl/>
          <w:lang w:bidi="ar-LB"/>
        </w:rPr>
        <w:t>أو نقول:</w:t>
      </w:r>
      <w:r w:rsidR="00374C87" w:rsidRPr="000E40B6">
        <w:rPr>
          <w:rFonts w:ascii="Lotus Linotype" w:hAnsi="Lotus Linotype" w:cs="Lotus Linotype" w:hint="cs"/>
          <w:sz w:val="32"/>
          <w:szCs w:val="32"/>
          <w:rtl/>
          <w:lang w:bidi="ar-LB"/>
        </w:rPr>
        <w:t xml:space="preserve"> </w:t>
      </w:r>
      <w:r w:rsidR="00374C87" w:rsidRPr="000E40B6">
        <w:rPr>
          <w:rFonts w:ascii="Lotus Linotype" w:hAnsi="Lotus Linotype" w:cs="Lotus Linotype" w:hint="cs"/>
          <w:b/>
          <w:bCs/>
          <w:color w:val="BF8F00" w:themeColor="accent4" w:themeShade="BF"/>
          <w:sz w:val="32"/>
          <w:szCs w:val="32"/>
          <w:rtl/>
          <w:lang w:bidi="ar-LB"/>
        </w:rPr>
        <w:t>المرتكز العقلائي على جواز</w:t>
      </w:r>
      <w:r w:rsidR="0042767B" w:rsidRPr="000E40B6">
        <w:rPr>
          <w:rFonts w:ascii="Lotus Linotype" w:hAnsi="Lotus Linotype" w:cs="Lotus Linotype" w:hint="cs"/>
          <w:b/>
          <w:bCs/>
          <w:color w:val="BF8F00" w:themeColor="accent4" w:themeShade="BF"/>
          <w:sz w:val="32"/>
          <w:szCs w:val="32"/>
          <w:rtl/>
          <w:lang w:bidi="ar-LB"/>
        </w:rPr>
        <w:t xml:space="preserve"> الإخبار استناداً إلى الطريق المعتبر</w:t>
      </w:r>
      <w:r w:rsidR="0042767B" w:rsidRPr="000E40B6">
        <w:rPr>
          <w:rFonts w:ascii="Lotus Linotype" w:hAnsi="Lotus Linotype" w:cs="Lotus Linotype" w:hint="cs"/>
          <w:sz w:val="32"/>
          <w:szCs w:val="32"/>
          <w:rtl/>
          <w:lang w:bidi="ar-LB"/>
        </w:rPr>
        <w:t>، وهذا الارتكاز العقلائي إمّا يُوسّع في ظهور خطاب الإفتاء بعلم أو بمقتضى عدم الردع عنه يكون مُمضى شرعاً.</w:t>
      </w:r>
    </w:p>
    <w:p w:rsidR="004805BE" w:rsidRPr="000E40B6" w:rsidRDefault="0042767B" w:rsidP="000E40B6">
      <w:pPr>
        <w:jc w:val="both"/>
        <w:rPr>
          <w:rFonts w:ascii="Lotus Linotype" w:hAnsi="Lotus Linotype" w:cs="Lotus Linotype"/>
          <w:b/>
          <w:bCs/>
          <w:sz w:val="32"/>
          <w:szCs w:val="32"/>
          <w:lang w:bidi="ar-LB"/>
        </w:rPr>
      </w:pPr>
      <w:r w:rsidRPr="000E40B6">
        <w:rPr>
          <w:rFonts w:ascii="Lotus Linotype" w:hAnsi="Lotus Linotype" w:cs="Lotus Linotype" w:hint="cs"/>
          <w:b/>
          <w:bCs/>
          <w:sz w:val="32"/>
          <w:szCs w:val="32"/>
          <w:rtl/>
          <w:lang w:bidi="ar-LB"/>
        </w:rPr>
        <w:t>وأمّا ما يذكره السيد الخميني</w:t>
      </w:r>
      <w:r w:rsidR="004805BE" w:rsidRPr="000E40B6">
        <w:rPr>
          <w:rFonts w:ascii="Lotus Linotype" w:hAnsi="Lotus Linotype" w:cs="Lotus Linotype" w:hint="cs"/>
          <w:sz w:val="32"/>
          <w:szCs w:val="32"/>
          <w:rtl/>
          <w:lang w:bidi="ar-LB"/>
        </w:rPr>
        <w:t xml:space="preserve"> </w:t>
      </w:r>
      <w:r w:rsidR="00B35CAA">
        <w:rPr>
          <w:rFonts w:ascii="Lotus Linotype" w:hAnsi="Lotus Linotype" w:cs="Taher" w:hint="cs"/>
          <w:sz w:val="32"/>
          <w:szCs w:val="32"/>
          <w:rtl/>
          <w:lang w:bidi="ar-LB"/>
        </w:rPr>
        <w:t>قدس سره</w:t>
      </w:r>
      <w:r w:rsidR="004805BE" w:rsidRPr="000E40B6">
        <w:rPr>
          <w:rFonts w:ascii="Lotus Linotype" w:hAnsi="Lotus Linotype" w:cs="Lotus Linotype" w:hint="cs"/>
          <w:sz w:val="32"/>
          <w:szCs w:val="32"/>
          <w:rtl/>
          <w:lang w:bidi="ar-LB"/>
        </w:rPr>
        <w:t>:</w:t>
      </w:r>
      <w:r w:rsidRPr="000E40B6">
        <w:rPr>
          <w:rFonts w:ascii="Lotus Linotype" w:hAnsi="Lotus Linotype" w:cs="Lotus Linotype" w:hint="cs"/>
          <w:sz w:val="32"/>
          <w:szCs w:val="32"/>
          <w:rtl/>
          <w:lang w:bidi="ar-LB"/>
        </w:rPr>
        <w:t xml:space="preserve"> من أنّه حيث كانت العادة لأصحاب الفتوى الإفتاء</w:t>
      </w:r>
      <w:r w:rsidR="00BF2532" w:rsidRPr="000E40B6">
        <w:rPr>
          <w:rFonts w:ascii="Lotus Linotype" w:hAnsi="Lotus Linotype" w:cs="Lotus Linotype" w:hint="cs"/>
          <w:sz w:val="32"/>
          <w:szCs w:val="32"/>
          <w:rtl/>
          <w:lang w:bidi="ar-LB"/>
        </w:rPr>
        <w:t xml:space="preserve"> في غير مورد العلم الوجداني واستناداً إلى أمارات، أصول عمليّة، فيكون </w:t>
      </w:r>
      <w:r w:rsidR="00BF2532" w:rsidRPr="000E40B6">
        <w:rPr>
          <w:rFonts w:ascii="Lotus Linotype" w:hAnsi="Lotus Linotype" w:cs="Lotus Linotype" w:hint="cs"/>
          <w:b/>
          <w:bCs/>
          <w:color w:val="BF8F00" w:themeColor="accent4" w:themeShade="BF"/>
          <w:sz w:val="32"/>
          <w:szCs w:val="32"/>
          <w:rtl/>
          <w:lang w:bidi="ar-LB"/>
        </w:rPr>
        <w:t>دليل جواز الإفتاء بعلم ظاهراً في المثاليّة</w:t>
      </w:r>
      <w:r w:rsidR="00BF2532" w:rsidRPr="000E40B6">
        <w:rPr>
          <w:rFonts w:ascii="Lotus Linotype" w:hAnsi="Lotus Linotype" w:cs="Lotus Linotype" w:hint="cs"/>
          <w:sz w:val="32"/>
          <w:szCs w:val="32"/>
          <w:rtl/>
          <w:lang w:bidi="ar-LB"/>
        </w:rPr>
        <w:t>، العلم ظاهرٌ في أنّه ذُكر كمثالٍ للُحجّة.</w:t>
      </w:r>
    </w:p>
    <w:p w:rsidR="004805BE" w:rsidRPr="000E40B6" w:rsidRDefault="00BF2532" w:rsidP="004805BE">
      <w:pPr>
        <w:jc w:val="both"/>
        <w:rPr>
          <w:rFonts w:ascii="Lotus Linotype" w:hAnsi="Lotus Linotype" w:cs="Lotus Linotype"/>
          <w:sz w:val="32"/>
          <w:szCs w:val="32"/>
          <w:rtl/>
          <w:lang w:bidi="ar-LB"/>
        </w:rPr>
      </w:pPr>
      <w:r w:rsidRPr="000E40B6">
        <w:rPr>
          <w:rFonts w:ascii="Lotus Linotype" w:hAnsi="Lotus Linotype" w:cs="Lotus Linotype" w:hint="cs"/>
          <w:b/>
          <w:bCs/>
          <w:color w:val="FF0000"/>
          <w:sz w:val="32"/>
          <w:szCs w:val="32"/>
          <w:rtl/>
          <w:lang w:bidi="ar-LB"/>
        </w:rPr>
        <w:t>فنقول في جوابه:</w:t>
      </w:r>
      <w:r w:rsidRPr="000E40B6">
        <w:rPr>
          <w:rFonts w:ascii="Lotus Linotype" w:hAnsi="Lotus Linotype" w:cs="Lotus Linotype" w:hint="cs"/>
          <w:color w:val="FF0000"/>
          <w:sz w:val="32"/>
          <w:szCs w:val="32"/>
          <w:rtl/>
          <w:lang w:bidi="ar-LB"/>
        </w:rPr>
        <w:t xml:space="preserve"> </w:t>
      </w:r>
      <w:r w:rsidRPr="000E40B6">
        <w:rPr>
          <w:rFonts w:ascii="Lotus Linotype" w:hAnsi="Lotus Linotype" w:cs="Lotus Linotype" w:hint="cs"/>
          <w:sz w:val="32"/>
          <w:szCs w:val="32"/>
          <w:rtl/>
          <w:lang w:bidi="ar-LB"/>
        </w:rPr>
        <w:t xml:space="preserve">المتعارف وإن كان إفتاء المفتين استناداً إلى الأمارات والأصول المعتبرة لكنّهم لا يُفتون بالواقع، العادة عند المفتين أن يُفتوا بالوظيفة الفعليّة للناس، حينما يقول المفتي لمن يسأل "هل هذه المرأة التي </w:t>
      </w:r>
      <w:r w:rsidR="00027400" w:rsidRPr="000E40B6">
        <w:rPr>
          <w:rFonts w:ascii="Lotus Linotype" w:hAnsi="Lotus Linotype" w:cs="Lotus Linotype" w:hint="cs"/>
          <w:sz w:val="32"/>
          <w:szCs w:val="32"/>
          <w:rtl/>
          <w:lang w:bidi="ar-LB"/>
        </w:rPr>
        <w:t>أجريت عقد النكاح معها بالفارسيّة زوجتي؟" فيجيبه "نعم، هي زوجتك لأنّك لم تكن تتمكن من إجراء العقد العربي". هو لا يقصد أنّها زوجتك زوجةً واقعيّة، زوجتك حسب الموازين، يعني زوجة ولو زوجة ظاهريّة. وكذا حينما تشتري شيئاً من السوق وتحتمل أنّه مغصوب فتسأل الفقيه، يقول لك "هذا ملكك تصرّف فيه" لا يقصد أنّه ملكك واقعاً وإنّما يقول ملكك ولو ملكيّة ظاهريّة. فدعوى كون المعتاد والمتعارف لأصحاب الفتوى الإفتاء على أساس الأمارات والأصول التي لا توجب العلم بالواقع فيوجب ذلك توسّع في ظهور جواز ال</w:t>
      </w:r>
      <w:r w:rsidR="00A53725" w:rsidRPr="000E40B6">
        <w:rPr>
          <w:rFonts w:ascii="Lotus Linotype" w:hAnsi="Lotus Linotype" w:cs="Lotus Linotype" w:hint="cs"/>
          <w:sz w:val="32"/>
          <w:szCs w:val="32"/>
          <w:rtl/>
          <w:lang w:bidi="ar-LB"/>
        </w:rPr>
        <w:t>إفتاء بعلم</w:t>
      </w:r>
      <w:r w:rsidR="00027400" w:rsidRPr="000E40B6">
        <w:rPr>
          <w:rFonts w:ascii="Lotus Linotype" w:hAnsi="Lotus Linotype" w:cs="Lotus Linotype" w:hint="cs"/>
          <w:sz w:val="32"/>
          <w:szCs w:val="32"/>
          <w:rtl/>
          <w:lang w:bidi="ar-LB"/>
        </w:rPr>
        <w:t xml:space="preserve"> إلى أن يكون مدلوله جواز الإفتاء بالحجّة، </w:t>
      </w:r>
      <w:r w:rsidR="00027400" w:rsidRPr="000E40B6">
        <w:rPr>
          <w:rFonts w:ascii="Lotus Linotype" w:hAnsi="Lotus Linotype" w:cs="Lotus Linotype" w:hint="cs"/>
          <w:b/>
          <w:bCs/>
          <w:color w:val="FF0000"/>
          <w:sz w:val="32"/>
          <w:szCs w:val="32"/>
          <w:rtl/>
          <w:lang w:bidi="ar-LB"/>
        </w:rPr>
        <w:t>جوابه</w:t>
      </w:r>
      <w:r w:rsidR="00027400" w:rsidRPr="000E40B6">
        <w:rPr>
          <w:rFonts w:ascii="Lotus Linotype" w:hAnsi="Lotus Linotype" w:cs="Lotus Linotype" w:hint="cs"/>
          <w:sz w:val="32"/>
          <w:szCs w:val="32"/>
          <w:rtl/>
          <w:lang w:bidi="ar-LB"/>
        </w:rPr>
        <w:t xml:space="preserve">: </w:t>
      </w:r>
      <w:r w:rsidR="00A53725" w:rsidRPr="000E40B6">
        <w:rPr>
          <w:rFonts w:ascii="Lotus Linotype" w:hAnsi="Lotus Linotype" w:cs="Lotus Linotype" w:hint="cs"/>
          <w:sz w:val="32"/>
          <w:szCs w:val="32"/>
          <w:rtl/>
          <w:lang w:bidi="ar-LB"/>
        </w:rPr>
        <w:t>أنّ الكلام في الإفتاء بالواقع استناداً إلى الحجّة وليس م</w:t>
      </w:r>
      <w:r w:rsidR="003858DD" w:rsidRPr="000E40B6">
        <w:rPr>
          <w:rFonts w:ascii="Lotus Linotype" w:hAnsi="Lotus Linotype" w:cs="Lotus Linotype" w:hint="cs"/>
          <w:sz w:val="32"/>
          <w:szCs w:val="32"/>
          <w:rtl/>
          <w:lang w:bidi="ar-LB"/>
        </w:rPr>
        <w:t>ن الواضح تعارفُ ذلك عند الفقهاء، هم يُفتون ولكن يُفتون بالجامع بين الواقع والظاهر.</w:t>
      </w:r>
    </w:p>
    <w:p w:rsidR="003858DD" w:rsidRPr="000E40B6" w:rsidRDefault="003858DD" w:rsidP="004805BE">
      <w:pPr>
        <w:jc w:val="both"/>
        <w:rPr>
          <w:rFonts w:ascii="Lotus Linotype" w:hAnsi="Lotus Linotype" w:cs="Lotus Linotype"/>
          <w:b/>
          <w:bCs/>
          <w:sz w:val="32"/>
          <w:szCs w:val="32"/>
          <w:rtl/>
          <w:lang w:bidi="ar-LB"/>
        </w:rPr>
      </w:pPr>
      <w:r w:rsidRPr="000E40B6">
        <w:rPr>
          <w:rFonts w:ascii="Lotus Linotype" w:hAnsi="Lotus Linotype" w:cs="Lotus Linotype" w:hint="cs"/>
          <w:sz w:val="32"/>
          <w:szCs w:val="32"/>
          <w:rtl/>
          <w:lang w:bidi="ar-LB"/>
        </w:rPr>
        <w:t>تشُكّ في طهارة ثوبك، يقول ثوبك طاهر صلّ فيه، لا تعتني بهذه الشكوك، ثوبك طاهر، يقصد من ذلك أنّ ثوبك طاهر طهارة ظاهريّة، فهو يُخبر عن جامع الطهارة لا الطهارة الواقعيّة استناداً إلى أصالة الطهارة أو إلى استصحابها.</w:t>
      </w:r>
    </w:p>
    <w:p w:rsidR="003858DD" w:rsidRDefault="003858DD" w:rsidP="00BF2532">
      <w:pPr>
        <w:jc w:val="both"/>
        <w:rPr>
          <w:rFonts w:ascii="Lotus Linotype" w:hAnsi="Lotus Linotype" w:cs="Lotus Linotype"/>
          <w:sz w:val="32"/>
          <w:szCs w:val="32"/>
          <w:rtl/>
          <w:lang w:bidi="ar-LB"/>
        </w:rPr>
      </w:pPr>
      <w:r w:rsidRPr="004805BE">
        <w:rPr>
          <w:rFonts w:ascii="Lotus Linotype" w:hAnsi="Lotus Linotype" w:cs="Lotus Linotype" w:hint="cs"/>
          <w:b/>
          <w:bCs/>
          <w:color w:val="FF0000"/>
          <w:sz w:val="32"/>
          <w:szCs w:val="32"/>
          <w:rtl/>
          <w:lang w:bidi="ar-LB"/>
        </w:rPr>
        <w:t>فإذاً:</w:t>
      </w:r>
      <w:r w:rsidRPr="004805BE">
        <w:rPr>
          <w:rFonts w:ascii="Lotus Linotype" w:hAnsi="Lotus Linotype" w:cs="Lotus Linotype" w:hint="cs"/>
          <w:color w:val="FF0000"/>
          <w:sz w:val="32"/>
          <w:szCs w:val="32"/>
          <w:rtl/>
          <w:lang w:bidi="ar-LB"/>
        </w:rPr>
        <w:t xml:space="preserve"> </w:t>
      </w:r>
      <w:r w:rsidRPr="004805BE">
        <w:rPr>
          <w:rFonts w:ascii="Lotus Linotype" w:hAnsi="Lotus Linotype" w:cs="Lotus Linotype" w:hint="cs"/>
          <w:b/>
          <w:bCs/>
          <w:color w:val="833C0B" w:themeColor="accent2" w:themeShade="80"/>
          <w:sz w:val="32"/>
          <w:szCs w:val="32"/>
          <w:rtl/>
          <w:lang w:bidi="ar-LB"/>
        </w:rPr>
        <w:t xml:space="preserve">الحلّ الأول لمشكلة الإفتاء استناداً إلى الأمارات </w:t>
      </w:r>
      <w:r w:rsidR="00CA72BF" w:rsidRPr="004805BE">
        <w:rPr>
          <w:rFonts w:ascii="Lotus Linotype" w:hAnsi="Lotus Linotype" w:cs="Lotus Linotype" w:hint="cs"/>
          <w:b/>
          <w:bCs/>
          <w:color w:val="833C0B" w:themeColor="accent2" w:themeShade="80"/>
          <w:sz w:val="32"/>
          <w:szCs w:val="32"/>
          <w:rtl/>
          <w:lang w:bidi="ar-LB"/>
        </w:rPr>
        <w:t>-</w:t>
      </w:r>
      <w:r w:rsidRPr="004805BE">
        <w:rPr>
          <w:rFonts w:ascii="Lotus Linotype" w:hAnsi="Lotus Linotype" w:cs="Lotus Linotype" w:hint="cs"/>
          <w:b/>
          <w:bCs/>
          <w:color w:val="833C0B" w:themeColor="accent2" w:themeShade="80"/>
          <w:sz w:val="32"/>
          <w:szCs w:val="32"/>
          <w:rtl/>
          <w:lang w:bidi="ar-LB"/>
        </w:rPr>
        <w:t>كخبر الثقة</w:t>
      </w:r>
      <w:r w:rsidR="00CA72BF" w:rsidRPr="004805BE">
        <w:rPr>
          <w:rFonts w:ascii="Lotus Linotype" w:hAnsi="Lotus Linotype" w:cs="Lotus Linotype" w:hint="cs"/>
          <w:b/>
          <w:bCs/>
          <w:color w:val="833C0B" w:themeColor="accent2" w:themeShade="80"/>
          <w:sz w:val="32"/>
          <w:szCs w:val="32"/>
          <w:rtl/>
          <w:lang w:bidi="ar-LB"/>
        </w:rPr>
        <w:t>-</w:t>
      </w:r>
      <w:r w:rsidRPr="004805BE">
        <w:rPr>
          <w:rFonts w:ascii="Lotus Linotype" w:hAnsi="Lotus Linotype" w:cs="Lotus Linotype" w:hint="cs"/>
          <w:b/>
          <w:bCs/>
          <w:color w:val="833C0B" w:themeColor="accent2" w:themeShade="80"/>
          <w:sz w:val="32"/>
          <w:szCs w:val="32"/>
          <w:rtl/>
          <w:lang w:bidi="ar-LB"/>
        </w:rPr>
        <w:t xml:space="preserve"> أنّ نقول </w:t>
      </w:r>
      <w:r w:rsidR="00CA72BF" w:rsidRPr="004805BE">
        <w:rPr>
          <w:rFonts w:ascii="Lotus Linotype" w:hAnsi="Lotus Linotype" w:cs="Lotus Linotype" w:hint="cs"/>
          <w:b/>
          <w:bCs/>
          <w:color w:val="833C0B" w:themeColor="accent2" w:themeShade="80"/>
          <w:sz w:val="32"/>
          <w:szCs w:val="32"/>
          <w:rtl/>
          <w:lang w:bidi="ar-LB"/>
        </w:rPr>
        <w:t>ب</w:t>
      </w:r>
      <w:r w:rsidRPr="004805BE">
        <w:rPr>
          <w:rFonts w:ascii="Lotus Linotype" w:hAnsi="Lotus Linotype" w:cs="Lotus Linotype" w:hint="cs"/>
          <w:b/>
          <w:bCs/>
          <w:color w:val="833C0B" w:themeColor="accent2" w:themeShade="80"/>
          <w:sz w:val="32"/>
          <w:szCs w:val="32"/>
          <w:rtl/>
          <w:lang w:bidi="ar-LB"/>
        </w:rPr>
        <w:t xml:space="preserve">أنّ موضوع </w:t>
      </w:r>
      <w:r w:rsidR="00CA72BF" w:rsidRPr="004805BE">
        <w:rPr>
          <w:rFonts w:ascii="Lotus Linotype" w:hAnsi="Lotus Linotype" w:cs="Lotus Linotype" w:hint="cs"/>
          <w:b/>
          <w:bCs/>
          <w:color w:val="833C0B" w:themeColor="accent2" w:themeShade="80"/>
          <w:sz w:val="32"/>
          <w:szCs w:val="32"/>
          <w:rtl/>
          <w:lang w:bidi="ar-LB"/>
        </w:rPr>
        <w:t>جواز الإفتاء أعمّ من العل</w:t>
      </w:r>
      <w:r w:rsidR="009C7723" w:rsidRPr="004805BE">
        <w:rPr>
          <w:rFonts w:ascii="Lotus Linotype" w:hAnsi="Lotus Linotype" w:cs="Lotus Linotype" w:hint="cs"/>
          <w:b/>
          <w:bCs/>
          <w:color w:val="833C0B" w:themeColor="accent2" w:themeShade="80"/>
          <w:sz w:val="32"/>
          <w:szCs w:val="32"/>
          <w:rtl/>
          <w:lang w:bidi="ar-LB"/>
        </w:rPr>
        <w:t xml:space="preserve">م الوجداني وقيام الطريق المعتبر. </w:t>
      </w:r>
    </w:p>
    <w:p w:rsidR="00737FE3" w:rsidRDefault="00737FE3">
      <w:pPr>
        <w:bidi w:val="0"/>
        <w:spacing w:line="259" w:lineRule="auto"/>
        <w:rPr>
          <w:rFonts w:ascii="Lotus Linotype" w:hAnsi="Lotus Linotype" w:cs="Lotus Linotype"/>
          <w:b/>
          <w:bCs/>
          <w:color w:val="FF0000"/>
          <w:sz w:val="36"/>
          <w:szCs w:val="36"/>
          <w:lang w:bidi="ar-LB"/>
        </w:rPr>
      </w:pPr>
      <w:r>
        <w:rPr>
          <w:rFonts w:ascii="Lotus Linotype" w:hAnsi="Lotus Linotype" w:cs="Lotus Linotype"/>
          <w:b/>
          <w:bCs/>
          <w:color w:val="FF0000"/>
          <w:sz w:val="36"/>
          <w:szCs w:val="36"/>
          <w:rtl/>
          <w:lang w:bidi="ar-LB"/>
        </w:rPr>
        <w:br w:type="page"/>
      </w:r>
    </w:p>
    <w:p w:rsidR="000E40B6" w:rsidRDefault="00737FE3" w:rsidP="000E40B6">
      <w:pPr>
        <w:jc w:val="center"/>
        <w:rPr>
          <w:rFonts w:ascii="Lotus Linotype" w:hAnsi="Lotus Linotype" w:cs="Lotus Linotype" w:hint="cs"/>
          <w:b/>
          <w:bCs/>
          <w:color w:val="FF0000"/>
          <w:sz w:val="36"/>
          <w:szCs w:val="36"/>
          <w:rtl/>
          <w:lang w:bidi="ar-LB"/>
        </w:rPr>
      </w:pPr>
      <w:r w:rsidRPr="00737FE3">
        <w:rPr>
          <w:rFonts w:ascii="Lotus Linotype" w:hAnsi="Lotus Linotype" w:cs="Lotus Linotype" w:hint="cs"/>
          <w:b/>
          <w:bCs/>
          <w:color w:val="FF0000"/>
          <w:sz w:val="36"/>
          <w:szCs w:val="36"/>
          <w:rtl/>
          <w:lang w:bidi="ar-LB"/>
        </w:rPr>
        <w:t>[الحلّ الثاني]</w:t>
      </w:r>
    </w:p>
    <w:p w:rsidR="009C7723" w:rsidRPr="000E40B6" w:rsidRDefault="009C7723" w:rsidP="000E40B6">
      <w:pPr>
        <w:jc w:val="center"/>
        <w:rPr>
          <w:rFonts w:ascii="Lotus Linotype" w:hAnsi="Lotus Linotype" w:cs="Lotus Linotype"/>
          <w:b/>
          <w:bCs/>
          <w:color w:val="FF0000"/>
          <w:sz w:val="36"/>
          <w:szCs w:val="36"/>
          <w:rtl/>
          <w:lang w:bidi="ar-LB"/>
        </w:rPr>
      </w:pPr>
      <w:r w:rsidRPr="00737FE3">
        <w:rPr>
          <w:rFonts w:ascii="Lotus Linotype" w:hAnsi="Lotus Linotype" w:cs="Lotus Linotype" w:hint="cs"/>
          <w:b/>
          <w:bCs/>
          <w:sz w:val="32"/>
          <w:szCs w:val="32"/>
          <w:rtl/>
          <w:lang w:bidi="ar-LB"/>
        </w:rPr>
        <w:t>وطريق الحلّ الثاني: ما قد يُقال كما في البحوث</w:t>
      </w:r>
      <w:r w:rsidR="00737FE3" w:rsidRPr="00737FE3">
        <w:rPr>
          <w:rFonts w:ascii="Lotus Linotype" w:hAnsi="Lotus Linotype" w:cs="Lotus Linotype" w:hint="cs"/>
          <w:b/>
          <w:bCs/>
          <w:sz w:val="32"/>
          <w:szCs w:val="32"/>
          <w:rtl/>
          <w:lang w:bidi="ar-LB"/>
        </w:rPr>
        <w:t>:</w:t>
      </w:r>
      <w:r>
        <w:rPr>
          <w:rFonts w:ascii="Lotus Linotype" w:hAnsi="Lotus Linotype" w:cs="Lotus Linotype" w:hint="cs"/>
          <w:sz w:val="32"/>
          <w:szCs w:val="32"/>
          <w:rtl/>
          <w:lang w:bidi="ar-LB"/>
        </w:rPr>
        <w:t xml:space="preserve"> </w:t>
      </w:r>
      <w:r w:rsidRPr="00737FE3">
        <w:rPr>
          <w:rFonts w:ascii="Lotus Linotype" w:hAnsi="Lotus Linotype" w:cs="Lotus Linotype" w:hint="cs"/>
          <w:color w:val="00B050"/>
          <w:sz w:val="32"/>
          <w:szCs w:val="32"/>
          <w:rtl/>
          <w:lang w:bidi="ar-LB"/>
        </w:rPr>
        <w:t>من أنّ العاميّ موضوع لحجيّة خبر الثقة</w:t>
      </w:r>
      <w:r>
        <w:rPr>
          <w:rFonts w:ascii="Lotus Linotype" w:hAnsi="Lotus Linotype" w:cs="Lotus Linotype" w:hint="cs"/>
          <w:sz w:val="32"/>
          <w:szCs w:val="32"/>
          <w:rtl/>
          <w:lang w:bidi="ar-LB"/>
        </w:rPr>
        <w:t>.</w:t>
      </w:r>
    </w:p>
    <w:p w:rsidR="009C7723" w:rsidRDefault="009C7723" w:rsidP="00BF2532">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من يقول موضوع</w:t>
      </w:r>
      <w:r w:rsidR="008B5170">
        <w:rPr>
          <w:rFonts w:ascii="Lotus Linotype" w:hAnsi="Lotus Linotype" w:cs="Lotus Linotype" w:hint="cs"/>
          <w:sz w:val="32"/>
          <w:szCs w:val="32"/>
          <w:rtl/>
          <w:lang w:bidi="ar-LB"/>
        </w:rPr>
        <w:t xml:space="preserve"> حجية خبر الثقة من جاءه الخبر؟!</w:t>
      </w:r>
    </w:p>
    <w:p w:rsidR="00AD6056" w:rsidRDefault="008B5170" w:rsidP="00AD605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لا، خبر الثقة حجّةٌ ولو في حق من لم يصل إليه، التعبير بأنّه </w:t>
      </w:r>
      <w:r w:rsidR="00AD6056">
        <w:rPr>
          <w:rFonts w:ascii="Lotus Linotype" w:hAnsi="Lotus Linotype" w:cs="Taher" w:hint="cs"/>
          <w:sz w:val="32"/>
          <w:szCs w:val="32"/>
          <w:rtl/>
          <w:lang w:bidi="ar-LB"/>
        </w:rPr>
        <w:t>﴿</w:t>
      </w:r>
      <w:r>
        <w:rPr>
          <w:rFonts w:ascii="Lotus Linotype" w:hAnsi="Lotus Linotype" w:cs="Lotus Linotype" w:hint="cs"/>
          <w:sz w:val="32"/>
          <w:szCs w:val="32"/>
          <w:rtl/>
          <w:lang w:bidi="ar-LB"/>
        </w:rPr>
        <w:t>إن جاءكم فاسقٌ فتبينوا</w:t>
      </w:r>
      <w:r w:rsidR="00AD6056">
        <w:rPr>
          <w:rFonts w:ascii="Lotus Linotype" w:hAnsi="Lotus Linotype" w:cs="Taher" w:hint="cs"/>
          <w:sz w:val="32"/>
          <w:szCs w:val="32"/>
          <w:rtl/>
          <w:lang w:bidi="ar-LB"/>
        </w:rPr>
        <w:t>﴾</w:t>
      </w:r>
      <w:r w:rsidR="00AD6056">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w:t>
      </w:r>
      <w:r w:rsidR="00AD6056">
        <w:rPr>
          <w:rFonts w:ascii="Lotus Linotype" w:hAnsi="Lotus Linotype" w:cs="Lotus Linotype" w:hint="cs"/>
          <w:sz w:val="32"/>
          <w:szCs w:val="32"/>
          <w:rtl/>
          <w:lang w:bidi="ar-LB"/>
        </w:rPr>
        <w:t>أو</w:t>
      </w:r>
      <w:r>
        <w:rPr>
          <w:rFonts w:ascii="Lotus Linotype" w:hAnsi="Lotus Linotype" w:cs="Lotus Linotype" w:hint="cs"/>
          <w:sz w:val="32"/>
          <w:szCs w:val="32"/>
          <w:rtl/>
          <w:lang w:bidi="ar-LB"/>
        </w:rPr>
        <w:t xml:space="preserve"> </w:t>
      </w:r>
      <w:r w:rsidR="00AD6056">
        <w:rPr>
          <w:rFonts w:ascii="Lotus Linotype" w:hAnsi="Lotus Linotype" w:cs="Cambria" w:hint="cs"/>
          <w:sz w:val="32"/>
          <w:szCs w:val="32"/>
          <w:rtl/>
          <w:lang w:bidi="ar-LB"/>
        </w:rPr>
        <w:t>"</w:t>
      </w:r>
      <w:r>
        <w:rPr>
          <w:rFonts w:ascii="Lotus Linotype" w:hAnsi="Lotus Linotype" w:cs="Lotus Linotype" w:hint="cs"/>
          <w:sz w:val="32"/>
          <w:szCs w:val="32"/>
          <w:rtl/>
          <w:lang w:bidi="ar-LB"/>
        </w:rPr>
        <w:t>ما أدّى إليك فعني يؤدي</w:t>
      </w:r>
      <w:r w:rsidR="00AD6056">
        <w:rPr>
          <w:rFonts w:ascii="Lotus Linotype" w:hAnsi="Lotus Linotype" w:cs="Cambria" w:hint="cs"/>
          <w:sz w:val="32"/>
          <w:szCs w:val="32"/>
          <w:rtl/>
          <w:lang w:bidi="ar-LB"/>
        </w:rPr>
        <w:t>"</w:t>
      </w:r>
      <w:r>
        <w:rPr>
          <w:rFonts w:ascii="Lotus Linotype" w:hAnsi="Lotus Linotype" w:cs="Lotus Linotype" w:hint="cs"/>
          <w:sz w:val="32"/>
          <w:szCs w:val="32"/>
          <w:rtl/>
          <w:lang w:bidi="ar-LB"/>
        </w:rPr>
        <w:t xml:space="preserve"> ظاهرٌ في الطريقيّة المحضة، مثل أن يقول الإمام </w:t>
      </w:r>
      <w:r w:rsidR="000E40B6">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اسأل أبا بصير </w:t>
      </w:r>
      <w:r w:rsidR="0097491C">
        <w:rPr>
          <w:rFonts w:ascii="Lotus Linotype" w:hAnsi="Lotus Linotype" w:cs="Lotus Linotype" w:hint="cs"/>
          <w:sz w:val="32"/>
          <w:szCs w:val="32"/>
          <w:rtl/>
          <w:lang w:bidi="ar-LB"/>
        </w:rPr>
        <w:t>فما أفتاك فاعمل به، فالسؤال ليس له موضوعيّة؛ طريق محض إلى معرفة فتوى الفقيه.</w:t>
      </w:r>
      <w:r w:rsidR="00AD6056">
        <w:rPr>
          <w:rFonts w:ascii="Lotus Linotype" w:hAnsi="Lotus Linotype" w:cs="Lotus Linotype" w:hint="cs"/>
          <w:sz w:val="32"/>
          <w:szCs w:val="32"/>
          <w:rtl/>
          <w:lang w:bidi="ar-LB"/>
        </w:rPr>
        <w:t xml:space="preserve"> </w:t>
      </w:r>
      <w:r w:rsidR="00AD6056">
        <w:rPr>
          <w:rFonts w:ascii="Lotus Linotype" w:hAnsi="Lotus Linotype" w:cs="Lotus Linotype"/>
          <w:sz w:val="32"/>
          <w:szCs w:val="32"/>
          <w:rtl/>
          <w:lang w:bidi="ar-LB"/>
        </w:rPr>
        <w:tab/>
      </w:r>
    </w:p>
    <w:p w:rsidR="008B5170" w:rsidRDefault="00AD6056" w:rsidP="00AD605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وصول خبر الثقة طريقٌ محض إلى معرفة الأمارة ولكن موضوع حجيّة الأمارة واقع الأمارة، سواءً وصلت إلى المكلف أو لم تصل إليه، كما أنّ شرط حجيّة خبر الثقة ليس هو الفحص واليأس عن الظفر بالمعارض أو المخصص بل هو واقع عدم الأمارة المعارضة </w:t>
      </w:r>
      <w:r w:rsidR="009A5557">
        <w:rPr>
          <w:rFonts w:ascii="Lotus Linotype" w:hAnsi="Lotus Linotype" w:cs="Lotus Linotype" w:hint="cs"/>
          <w:sz w:val="32"/>
          <w:szCs w:val="32"/>
          <w:rtl/>
          <w:lang w:bidi="ar-LB"/>
        </w:rPr>
        <w:t xml:space="preserve">أو المخصّصة في معرض الوصول والفقيه يُحرز ذلك، فحينما يُحرز ذلك يرى أنّ العامّي موضوع لحجيّة خبر الثقة، </w:t>
      </w:r>
      <w:r w:rsidR="00AF5865">
        <w:rPr>
          <w:rFonts w:ascii="Lotus Linotype" w:hAnsi="Lotus Linotype" w:cs="Lotus Linotype" w:hint="cs"/>
          <w:sz w:val="32"/>
          <w:szCs w:val="32"/>
          <w:rtl/>
          <w:lang w:bidi="ar-LB"/>
        </w:rPr>
        <w:t>وشرط حجيّته متحقق في حقّ العاميّ، فالعامي موضوع لحكم ظاهريٍّ وهو وجوب العمل بخبر الثقة ولكنه لا يعلم بذلك، فالفقيه يُبرز له هذا الحكم الظاهري الثابت في حق هذا العاميّ.</w:t>
      </w:r>
    </w:p>
    <w:p w:rsidR="005B0C13" w:rsidRDefault="0004389F" w:rsidP="00AD6056">
      <w:pPr>
        <w:jc w:val="both"/>
        <w:rPr>
          <w:rFonts w:ascii="Lotus Linotype" w:hAnsi="Lotus Linotype" w:cs="Lotus Linotype"/>
          <w:sz w:val="32"/>
          <w:szCs w:val="32"/>
          <w:rtl/>
          <w:lang w:bidi="ar-LB"/>
        </w:rPr>
      </w:pPr>
      <w:r w:rsidRPr="00737FE3">
        <w:rPr>
          <w:rFonts w:ascii="Lotus Linotype" w:hAnsi="Lotus Linotype" w:cs="Lotus Linotype" w:hint="cs"/>
          <w:b/>
          <w:bCs/>
          <w:color w:val="FF0000"/>
          <w:sz w:val="32"/>
          <w:szCs w:val="32"/>
          <w:rtl/>
          <w:lang w:bidi="ar-LB"/>
        </w:rPr>
        <w:t>هذه الدعوى:</w:t>
      </w:r>
      <w:r>
        <w:rPr>
          <w:rFonts w:ascii="Lotus Linotype" w:hAnsi="Lotus Linotype" w:cs="Lotus Linotype" w:hint="cs"/>
          <w:sz w:val="32"/>
          <w:szCs w:val="32"/>
          <w:rtl/>
          <w:lang w:bidi="ar-LB"/>
        </w:rPr>
        <w:t xml:space="preserve"> </w:t>
      </w:r>
      <w:r w:rsidRPr="00737FE3">
        <w:rPr>
          <w:rFonts w:ascii="Lotus Linotype" w:hAnsi="Lotus Linotype" w:cs="Lotus Linotype" w:hint="cs"/>
          <w:b/>
          <w:bCs/>
          <w:color w:val="833C0B" w:themeColor="accent2" w:themeShade="80"/>
          <w:sz w:val="32"/>
          <w:szCs w:val="32"/>
          <w:rtl/>
          <w:lang w:bidi="ar-LB"/>
        </w:rPr>
        <w:t>قابلةٌ للنقاش</w:t>
      </w:r>
      <w:r w:rsidRPr="00737FE3">
        <w:rPr>
          <w:rFonts w:ascii="Lotus Linotype" w:hAnsi="Lotus Linotype" w:cs="Lotus Linotype" w:hint="cs"/>
          <w:b/>
          <w:bCs/>
          <w:sz w:val="32"/>
          <w:szCs w:val="32"/>
          <w:rtl/>
          <w:lang w:bidi="ar-LB"/>
        </w:rPr>
        <w:t>؛</w:t>
      </w:r>
      <w:r>
        <w:rPr>
          <w:rFonts w:ascii="Lotus Linotype" w:hAnsi="Lotus Linotype" w:cs="Lotus Linotype" w:hint="cs"/>
          <w:sz w:val="32"/>
          <w:szCs w:val="32"/>
          <w:rtl/>
          <w:lang w:bidi="ar-LB"/>
        </w:rPr>
        <w:t xml:space="preserve"> لأنّ دليل حجيّة خبر الثقة قاصرُ الشمول عن خبر ثقةٍ لم تصل إلى المكلّف.</w:t>
      </w:r>
      <w:r w:rsidR="007D5598">
        <w:rPr>
          <w:rFonts w:ascii="Lotus Linotype" w:hAnsi="Lotus Linotype" w:cs="Lotus Linotype" w:hint="cs"/>
          <w:sz w:val="32"/>
          <w:szCs w:val="32"/>
          <w:rtl/>
          <w:lang w:bidi="ar-LB"/>
        </w:rPr>
        <w:t xml:space="preserve"> كما أنّ دليل وجوب الفحص عن المخصّص المنفصل يمنع من ظهور دليل حجيّة خبر الثقة لِما قبل الفحص، فشرط حجيّة خبر الثقة الفحص واليأس عن المعارض والمخصّص في معرض الوصول لا واقع عدم الأمارة في معرض عدم الوصول.</w:t>
      </w:r>
    </w:p>
    <w:p w:rsidR="00737FE3" w:rsidRDefault="00737FE3">
      <w:pPr>
        <w:bidi w:val="0"/>
        <w:spacing w:line="259" w:lineRule="auto"/>
        <w:rPr>
          <w:rFonts w:ascii="Lotus Linotype" w:hAnsi="Lotus Linotype" w:cs="Lotus Linotype"/>
          <w:sz w:val="32"/>
          <w:szCs w:val="32"/>
          <w:lang w:bidi="ar-LB"/>
        </w:rPr>
      </w:pPr>
      <w:r>
        <w:rPr>
          <w:rFonts w:ascii="Lotus Linotype" w:hAnsi="Lotus Linotype" w:cs="Lotus Linotype"/>
          <w:sz w:val="32"/>
          <w:szCs w:val="32"/>
          <w:rtl/>
          <w:lang w:bidi="ar-LB"/>
        </w:rPr>
        <w:br w:type="page"/>
      </w:r>
    </w:p>
    <w:p w:rsidR="007D5598" w:rsidRPr="00737FE3" w:rsidRDefault="00737FE3" w:rsidP="00737FE3">
      <w:pPr>
        <w:jc w:val="center"/>
        <w:rPr>
          <w:rFonts w:ascii="Lotus Linotype" w:hAnsi="Lotus Linotype" w:cs="Lotus Linotype" w:hint="cs"/>
          <w:b/>
          <w:bCs/>
          <w:color w:val="FF0000"/>
          <w:sz w:val="36"/>
          <w:szCs w:val="36"/>
          <w:rtl/>
          <w:lang w:bidi="fa-IR"/>
        </w:rPr>
      </w:pPr>
      <w:r w:rsidRPr="00737FE3">
        <w:rPr>
          <w:rFonts w:ascii="Lotus Linotype" w:hAnsi="Lotus Linotype" w:cs="Lotus Linotype" w:hint="cs"/>
          <w:b/>
          <w:bCs/>
          <w:color w:val="FF0000"/>
          <w:sz w:val="36"/>
          <w:szCs w:val="36"/>
          <w:rtl/>
          <w:lang w:bidi="ar-LB"/>
        </w:rPr>
        <w:t>[الطريق الثالث]</w:t>
      </w:r>
    </w:p>
    <w:p w:rsidR="007D5598" w:rsidRDefault="007D5598" w:rsidP="00AD6056">
      <w:pPr>
        <w:jc w:val="both"/>
        <w:rPr>
          <w:rFonts w:ascii="Lotus Linotype" w:hAnsi="Lotus Linotype" w:cs="Lotus Linotype"/>
          <w:sz w:val="32"/>
          <w:szCs w:val="32"/>
          <w:rtl/>
          <w:lang w:bidi="ar-LB"/>
        </w:rPr>
      </w:pPr>
      <w:r w:rsidRPr="00737FE3">
        <w:rPr>
          <w:rFonts w:ascii="Lotus Linotype" w:hAnsi="Lotus Linotype" w:cs="Lotus Linotype" w:hint="cs"/>
          <w:b/>
          <w:bCs/>
          <w:sz w:val="32"/>
          <w:szCs w:val="32"/>
          <w:rtl/>
          <w:lang w:bidi="ar-LB"/>
        </w:rPr>
        <w:t>الطريق الثالث لحلّ المشكلة هو</w:t>
      </w:r>
      <w:r w:rsidR="00737FE3">
        <w:rPr>
          <w:rFonts w:ascii="Lotus Linotype" w:hAnsi="Lotus Linotype" w:cs="Lotus Linotype" w:hint="cs"/>
          <w:b/>
          <w:bCs/>
          <w:sz w:val="32"/>
          <w:szCs w:val="32"/>
          <w:rtl/>
          <w:lang w:bidi="ar-LB"/>
        </w:rPr>
        <w:t>:</w:t>
      </w:r>
      <w:r w:rsidRPr="00737FE3">
        <w:rPr>
          <w:rFonts w:ascii="Lotus Linotype" w:hAnsi="Lotus Linotype" w:cs="Lotus Linotype" w:hint="cs"/>
          <w:b/>
          <w:bCs/>
          <w:sz w:val="32"/>
          <w:szCs w:val="32"/>
          <w:rtl/>
          <w:lang w:bidi="ar-LB"/>
        </w:rPr>
        <w:t xml:space="preserve"> </w:t>
      </w:r>
      <w:r w:rsidRPr="00737FE3">
        <w:rPr>
          <w:rFonts w:ascii="Lotus Linotype" w:hAnsi="Lotus Linotype" w:cs="Lotus Linotype" w:hint="cs"/>
          <w:b/>
          <w:bCs/>
          <w:color w:val="00B050"/>
          <w:sz w:val="32"/>
          <w:szCs w:val="32"/>
          <w:rtl/>
          <w:lang w:bidi="ar-LB"/>
        </w:rPr>
        <w:t>التقليد الطوليّ</w:t>
      </w:r>
      <w:r>
        <w:rPr>
          <w:rFonts w:ascii="Lotus Linotype" w:hAnsi="Lotus Linotype" w:cs="Lotus Linotype" w:hint="cs"/>
          <w:sz w:val="32"/>
          <w:szCs w:val="32"/>
          <w:rtl/>
          <w:lang w:bidi="ar-LB"/>
        </w:rPr>
        <w:t>.</w:t>
      </w:r>
    </w:p>
    <w:p w:rsidR="00737FE3" w:rsidRDefault="00476DF8" w:rsidP="00AD605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يُفتي المجتهد أولاً بثبوت خبر ثقةٍ وعدم المعارض والمخصص المنفصل في معرض الوصول له، وهذه الفتوى تكون حجّةً في حقّ العاميّ، وفي طول ذلك يتشكل حكمٌ ظاهريٌّ في حق هذا العاميّ مفاده وجوب العمل بخبر الثقة هذا، ثم يُفتي المجتهد فتوىً ثانية لهذا العاميّ بالحكم الظاهري الثابت في ح</w:t>
      </w:r>
      <w:r w:rsidR="00570EC9">
        <w:rPr>
          <w:rFonts w:ascii="Lotus Linotype" w:hAnsi="Lotus Linotype" w:cs="Lotus Linotype" w:hint="cs"/>
          <w:sz w:val="32"/>
          <w:szCs w:val="32"/>
          <w:rtl/>
          <w:lang w:bidi="ar-LB"/>
        </w:rPr>
        <w:t>قه، وبدل أن يبسط الكلام للعوام يُفتي فتوىً تستبطن هاتين الفتويين الطوليّين، استناداً إلى خبر الثقة يقول للعاميّ يجب عليك صلاة الجمعة، فبهذه الفتوى يوصل إليه بوصولٍ إجماليٍّ الخبر القائم على وجوب صلاة الجمعة، ويوصل إليه أنّه لا يوجد له معارضٌ ولا مُخصّصٌ منفصل.</w:t>
      </w:r>
    </w:p>
    <w:p w:rsidR="00E974B4" w:rsidRDefault="00E974B4">
      <w:pPr>
        <w:bidi w:val="0"/>
        <w:spacing w:line="259" w:lineRule="auto"/>
        <w:rPr>
          <w:rFonts w:ascii="Lotus Linotype" w:hAnsi="Lotus Linotype" w:cs="Lotus Linotype"/>
          <w:b/>
          <w:bCs/>
          <w:color w:val="FF0000"/>
          <w:sz w:val="32"/>
          <w:szCs w:val="32"/>
          <w:lang w:bidi="ar-LB"/>
        </w:rPr>
      </w:pPr>
      <w:r>
        <w:rPr>
          <w:rFonts w:ascii="Lotus Linotype" w:hAnsi="Lotus Linotype" w:cs="Lotus Linotype"/>
          <w:b/>
          <w:bCs/>
          <w:color w:val="FF0000"/>
          <w:sz w:val="32"/>
          <w:szCs w:val="32"/>
          <w:rtl/>
          <w:lang w:bidi="ar-LB"/>
        </w:rPr>
        <w:br w:type="page"/>
      </w:r>
    </w:p>
    <w:p w:rsidR="008F43ED" w:rsidRPr="00515FBD" w:rsidRDefault="008F43ED" w:rsidP="00515FBD">
      <w:pPr>
        <w:jc w:val="center"/>
        <w:rPr>
          <w:rFonts w:ascii="Lotus Linotype" w:hAnsi="Lotus Linotype" w:cs="Lotus Linotype"/>
          <w:b/>
          <w:bCs/>
          <w:color w:val="FF0000"/>
          <w:sz w:val="32"/>
          <w:szCs w:val="32"/>
          <w:rtl/>
          <w:lang w:bidi="ar-LB"/>
        </w:rPr>
      </w:pPr>
      <w:r w:rsidRPr="00515FBD">
        <w:rPr>
          <w:rFonts w:ascii="Lotus Linotype" w:hAnsi="Lotus Linotype" w:cs="Lotus Linotype" w:hint="cs"/>
          <w:b/>
          <w:bCs/>
          <w:color w:val="FF0000"/>
          <w:sz w:val="32"/>
          <w:szCs w:val="32"/>
          <w:rtl/>
          <w:lang w:bidi="ar-LB"/>
        </w:rPr>
        <w:t>[الطريق الرابع]</w:t>
      </w:r>
    </w:p>
    <w:p w:rsidR="008F43ED" w:rsidRPr="00E974B4" w:rsidRDefault="008F43ED" w:rsidP="008F43ED">
      <w:pPr>
        <w:jc w:val="both"/>
        <w:rPr>
          <w:rFonts w:ascii="Lotus Linotype" w:hAnsi="Lotus Linotype" w:cs="Lotus Linotype"/>
          <w:b/>
          <w:bCs/>
          <w:sz w:val="32"/>
          <w:szCs w:val="32"/>
          <w:rtl/>
          <w:lang w:bidi="ar-LB"/>
        </w:rPr>
      </w:pPr>
      <w:r w:rsidRPr="00E974B4">
        <w:rPr>
          <w:rFonts w:ascii="Lotus Linotype" w:hAnsi="Lotus Linotype" w:cs="Lotus Linotype" w:hint="cs"/>
          <w:b/>
          <w:bCs/>
          <w:color w:val="FF0000"/>
          <w:sz w:val="32"/>
          <w:szCs w:val="32"/>
          <w:rtl/>
          <w:lang w:bidi="ar-LB"/>
        </w:rPr>
        <w:t xml:space="preserve">الطريق الرابع لحلّ المشكلة: </w:t>
      </w:r>
      <w:r w:rsidRPr="00E974B4">
        <w:rPr>
          <w:rFonts w:ascii="Lotus Linotype" w:hAnsi="Lotus Linotype" w:cs="Lotus Linotype" w:hint="cs"/>
          <w:b/>
          <w:bCs/>
          <w:sz w:val="32"/>
          <w:szCs w:val="32"/>
          <w:rtl/>
          <w:lang w:bidi="ar-LB"/>
        </w:rPr>
        <w:t>ما ذكره الشيخ الأنصاري</w:t>
      </w:r>
      <w:r w:rsidR="00E974B4">
        <w:rPr>
          <w:rFonts w:ascii="Lotus Linotype" w:hAnsi="Lotus Linotype" w:cs="Lotus Linotype" w:hint="cs"/>
          <w:b/>
          <w:bCs/>
          <w:sz w:val="32"/>
          <w:szCs w:val="32"/>
          <w:rtl/>
          <w:lang w:bidi="ar-LB"/>
        </w:rPr>
        <w:t xml:space="preserve"> </w:t>
      </w:r>
      <w:r w:rsidR="00B35CAA">
        <w:rPr>
          <w:rFonts w:ascii="Lotus Linotype" w:hAnsi="Lotus Linotype" w:cs="Taher" w:hint="cs"/>
          <w:b/>
          <w:bCs/>
          <w:sz w:val="32"/>
          <w:szCs w:val="32"/>
          <w:rtl/>
          <w:lang w:bidi="ar-LB"/>
        </w:rPr>
        <w:t>قدس سره</w:t>
      </w:r>
      <w:r w:rsidR="00E974B4">
        <w:rPr>
          <w:rFonts w:ascii="Lotus Linotype" w:hAnsi="Lotus Linotype" w:cs="Taher" w:hint="cs"/>
          <w:b/>
          <w:bCs/>
          <w:sz w:val="32"/>
          <w:szCs w:val="32"/>
          <w:rtl/>
          <w:lang w:bidi="ar-LB"/>
        </w:rPr>
        <w:t>:</w:t>
      </w:r>
      <w:r w:rsidRPr="00E974B4">
        <w:rPr>
          <w:rFonts w:ascii="Lotus Linotype" w:hAnsi="Lotus Linotype" w:cs="Lotus Linotype" w:hint="cs"/>
          <w:b/>
          <w:bCs/>
          <w:sz w:val="32"/>
          <w:szCs w:val="32"/>
          <w:rtl/>
          <w:lang w:bidi="ar-LB"/>
        </w:rPr>
        <w:t xml:space="preserve"> من </w:t>
      </w:r>
      <w:r w:rsidRPr="00E974B4">
        <w:rPr>
          <w:rFonts w:ascii="Lotus Linotype" w:hAnsi="Lotus Linotype" w:cs="Lotus Linotype" w:hint="cs"/>
          <w:b/>
          <w:bCs/>
          <w:color w:val="385623" w:themeColor="accent6" w:themeShade="80"/>
          <w:sz w:val="32"/>
          <w:szCs w:val="32"/>
          <w:rtl/>
          <w:lang w:bidi="ar-LB"/>
        </w:rPr>
        <w:t>ثبوت النيابة للفقيه</w:t>
      </w:r>
      <w:r w:rsidRPr="00E974B4">
        <w:rPr>
          <w:rFonts w:ascii="Lotus Linotype" w:hAnsi="Lotus Linotype" w:cs="Lotus Linotype" w:hint="cs"/>
          <w:b/>
          <w:bCs/>
          <w:sz w:val="32"/>
          <w:szCs w:val="32"/>
          <w:rtl/>
          <w:lang w:bidi="ar-LB"/>
        </w:rPr>
        <w:t>.</w:t>
      </w:r>
    </w:p>
    <w:p w:rsidR="000D6B3A" w:rsidRDefault="00515FBD" w:rsidP="008F43E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الفقيه نائبٌ عن العوام فيما يتعلّق بشؤون الفتوى، فقيام الأمارة عنده يكون قائماً مقام قيام الأمارة عند العوام، وفحصه ويأسه عن الظفر بالمعارض والمخصص يقوم مقام فحص العوام ويأسهم عن الظفر بالأمارة المعارضة والمخصّصة، فهو نائبٌ عن العوام في كلّ ما يتعلّق بشؤون الإفتاء.</w:t>
      </w:r>
      <w:r w:rsidR="00BE11CD">
        <w:rPr>
          <w:rFonts w:ascii="Lotus Linotype" w:hAnsi="Lotus Linotype" w:cs="Lotus Linotype" w:hint="cs"/>
          <w:sz w:val="32"/>
          <w:szCs w:val="32"/>
          <w:rtl/>
          <w:lang w:bidi="ar-LB"/>
        </w:rPr>
        <w:t xml:space="preserve"> </w:t>
      </w:r>
    </w:p>
    <w:p w:rsidR="00A7496D" w:rsidRPr="00A7496D" w:rsidRDefault="00BE11CD" w:rsidP="008F43ED">
      <w:pPr>
        <w:jc w:val="both"/>
        <w:rPr>
          <w:rFonts w:ascii="Lotus Linotype" w:hAnsi="Lotus Linotype" w:cs="Lotus Linotype"/>
          <w:b/>
          <w:bCs/>
          <w:sz w:val="32"/>
          <w:szCs w:val="32"/>
          <w:rtl/>
          <w:lang w:bidi="ar-LB"/>
        </w:rPr>
      </w:pPr>
      <w:r w:rsidRPr="00A7496D">
        <w:rPr>
          <w:rFonts w:ascii="Lotus Linotype" w:hAnsi="Lotus Linotype" w:cs="Lotus Linotype" w:hint="cs"/>
          <w:b/>
          <w:bCs/>
          <w:color w:val="FF0000"/>
          <w:sz w:val="32"/>
          <w:szCs w:val="32"/>
          <w:rtl/>
          <w:lang w:bidi="ar-LB"/>
        </w:rPr>
        <w:t>لكن</w:t>
      </w:r>
      <w:r w:rsidR="00A7496D" w:rsidRPr="00A7496D">
        <w:rPr>
          <w:rFonts w:ascii="Lotus Linotype" w:hAnsi="Lotus Linotype" w:cs="Lotus Linotype" w:hint="cs"/>
          <w:b/>
          <w:bCs/>
          <w:color w:val="FF0000"/>
          <w:sz w:val="32"/>
          <w:szCs w:val="32"/>
          <w:rtl/>
          <w:lang w:bidi="ar-LB"/>
        </w:rPr>
        <w:t>:</w:t>
      </w:r>
    </w:p>
    <w:p w:rsidR="00A7496D" w:rsidRPr="000E40B6" w:rsidRDefault="000E40B6" w:rsidP="000E40B6">
      <w:pPr>
        <w:jc w:val="both"/>
        <w:rPr>
          <w:rFonts w:ascii="Lotus Linotype" w:hAnsi="Lotus Linotype" w:cs="Lotus Linotype"/>
          <w:sz w:val="32"/>
          <w:szCs w:val="32"/>
          <w:lang w:bidi="ar-LB"/>
        </w:rPr>
      </w:pPr>
      <w:r>
        <w:rPr>
          <w:rFonts w:ascii="Lotus Linotype" w:hAnsi="Lotus Linotype" w:cs="Lotus Linotype" w:hint="cs"/>
          <w:sz w:val="32"/>
          <w:szCs w:val="32"/>
          <w:rtl/>
          <w:lang w:bidi="ar-LB"/>
        </w:rPr>
        <w:t>1.</w:t>
      </w:r>
      <w:r w:rsidR="000D6B3A" w:rsidRPr="000E40B6">
        <w:rPr>
          <w:rFonts w:ascii="Lotus Linotype" w:hAnsi="Lotus Linotype" w:cs="Lotus Linotype" w:hint="cs"/>
          <w:sz w:val="32"/>
          <w:szCs w:val="32"/>
          <w:rtl/>
          <w:lang w:bidi="ar-LB"/>
        </w:rPr>
        <w:t>لا دليل على التعبّد بنيابة الفقيه عن العوام؛ لأنّه يمكن تصحيح الإفتاء في أغلب الموارد بطرق أخرى بلا حاجةٍ إلى التعبّد بالنيابة.</w:t>
      </w:r>
    </w:p>
    <w:p w:rsidR="00E6641B" w:rsidRPr="000E40B6" w:rsidRDefault="000E40B6" w:rsidP="000E40B6">
      <w:pPr>
        <w:jc w:val="both"/>
        <w:rPr>
          <w:rFonts w:ascii="Lotus Linotype" w:hAnsi="Lotus Linotype" w:cs="Lotus Linotype"/>
          <w:sz w:val="32"/>
          <w:szCs w:val="32"/>
          <w:lang w:bidi="ar-LB"/>
        </w:rPr>
      </w:pPr>
      <w:r>
        <w:rPr>
          <w:rFonts w:ascii="Lotus Linotype" w:hAnsi="Lotus Linotype" w:cs="Lotus Linotype" w:hint="cs"/>
          <w:sz w:val="32"/>
          <w:szCs w:val="32"/>
          <w:rtl/>
          <w:lang w:bidi="ar-LB"/>
        </w:rPr>
        <w:t>2.</w:t>
      </w:r>
      <w:r w:rsidR="000D6B3A" w:rsidRPr="000E40B6">
        <w:rPr>
          <w:rFonts w:ascii="Lotus Linotype" w:hAnsi="Lotus Linotype" w:cs="Lotus Linotype" w:hint="cs"/>
          <w:sz w:val="32"/>
          <w:szCs w:val="32"/>
          <w:rtl/>
          <w:lang w:bidi="ar-LB"/>
        </w:rPr>
        <w:t>وأُضيف إلى ذلك: أنّ الفقيه الذي يعترف بأنّ فتواه ليست حجّة في حقّ العامي</w:t>
      </w:r>
      <w:r w:rsidR="00A7496D" w:rsidRPr="000E40B6">
        <w:rPr>
          <w:rFonts w:ascii="Lotus Linotype" w:hAnsi="Lotus Linotype" w:cs="Lotus Linotype" w:hint="cs"/>
          <w:sz w:val="32"/>
          <w:szCs w:val="32"/>
          <w:rtl/>
          <w:lang w:bidi="ar-LB"/>
        </w:rPr>
        <w:t xml:space="preserve"> لوجود أعلم منه</w:t>
      </w:r>
      <w:r w:rsidR="000D6B3A" w:rsidRPr="000E40B6">
        <w:rPr>
          <w:rFonts w:ascii="Lotus Linotype" w:hAnsi="Lotus Linotype" w:cs="Lotus Linotype" w:hint="cs"/>
          <w:sz w:val="32"/>
          <w:szCs w:val="32"/>
          <w:rtl/>
          <w:lang w:bidi="ar-LB"/>
        </w:rPr>
        <w:t xml:space="preserve"> مع ذلك يُفتي</w:t>
      </w:r>
      <w:r w:rsidR="00A7496D" w:rsidRPr="000E40B6">
        <w:rPr>
          <w:rFonts w:ascii="Lotus Linotype" w:hAnsi="Lotus Linotype" w:cs="Lotus Linotype" w:hint="cs"/>
          <w:sz w:val="32"/>
          <w:szCs w:val="32"/>
          <w:rtl/>
          <w:lang w:bidi="ar-LB"/>
        </w:rPr>
        <w:t xml:space="preserve">، فإن كانت الفتوى تتوقف على مسلك النيابة فلم </w:t>
      </w:r>
      <w:r w:rsidR="00747C45" w:rsidRPr="000E40B6">
        <w:rPr>
          <w:rFonts w:ascii="Lotus Linotype" w:hAnsi="Lotus Linotype" w:cs="Lotus Linotype" w:hint="cs"/>
          <w:sz w:val="32"/>
          <w:szCs w:val="32"/>
          <w:rtl/>
          <w:lang w:bidi="ar-LB"/>
        </w:rPr>
        <w:t>يقم دليلٌ على ثبوت مسلك النيابة في حق مجتهدٍ لم</w:t>
      </w:r>
      <w:r w:rsidR="00E6641B" w:rsidRPr="000E40B6">
        <w:rPr>
          <w:rFonts w:ascii="Lotus Linotype" w:hAnsi="Lotus Linotype" w:cs="Lotus Linotype" w:hint="cs"/>
          <w:sz w:val="32"/>
          <w:szCs w:val="32"/>
          <w:rtl/>
          <w:lang w:bidi="ar-LB"/>
        </w:rPr>
        <w:t xml:space="preserve"> تكن فتواه حجّةً في حقّ العاميّ. </w:t>
      </w:r>
    </w:p>
    <w:p w:rsidR="00E974B4" w:rsidRPr="00E974B4" w:rsidRDefault="00E974B4" w:rsidP="00E974B4">
      <w:pPr>
        <w:jc w:val="both"/>
        <w:rPr>
          <w:rFonts w:ascii="Lotus Linotype" w:hAnsi="Lotus Linotype" w:cs="Lotus Linotype"/>
          <w:sz w:val="32"/>
          <w:szCs w:val="32"/>
          <w:lang w:bidi="ar-LB"/>
        </w:rPr>
      </w:pPr>
    </w:p>
    <w:p w:rsidR="00E6641B" w:rsidRPr="00E6641B" w:rsidRDefault="00E6641B" w:rsidP="00E6641B">
      <w:pPr>
        <w:pStyle w:val="ListParagraph"/>
        <w:jc w:val="center"/>
        <w:rPr>
          <w:rFonts w:ascii="Lotus Linotype" w:hAnsi="Lotus Linotype" w:cs="Lotus Linotype"/>
          <w:b/>
          <w:bCs/>
          <w:color w:val="FF0000"/>
          <w:sz w:val="32"/>
          <w:szCs w:val="32"/>
          <w:lang w:bidi="ar-LB"/>
        </w:rPr>
      </w:pPr>
      <w:r w:rsidRPr="00E6641B">
        <w:rPr>
          <w:rFonts w:ascii="Lotus Linotype" w:hAnsi="Lotus Linotype" w:cs="Lotus Linotype" w:hint="cs"/>
          <w:b/>
          <w:bCs/>
          <w:color w:val="FF0000"/>
          <w:sz w:val="32"/>
          <w:szCs w:val="32"/>
          <w:rtl/>
          <w:lang w:bidi="ar-LB"/>
        </w:rPr>
        <w:t>[</w:t>
      </w:r>
      <w:r w:rsidR="00E974B4">
        <w:rPr>
          <w:rFonts w:ascii="Lotus Linotype" w:hAnsi="Lotus Linotype" w:cs="Lotus Linotype" w:hint="cs"/>
          <w:b/>
          <w:bCs/>
          <w:color w:val="FF0000"/>
          <w:sz w:val="32"/>
          <w:szCs w:val="32"/>
          <w:rtl/>
          <w:lang w:bidi="ar-LB"/>
        </w:rPr>
        <w:t>الثمرة بين التقليد الطولي والنيابة</w:t>
      </w:r>
      <w:r w:rsidRPr="00E6641B">
        <w:rPr>
          <w:rFonts w:ascii="Lotus Linotype" w:hAnsi="Lotus Linotype" w:cs="Lotus Linotype" w:hint="cs"/>
          <w:b/>
          <w:bCs/>
          <w:color w:val="FF0000"/>
          <w:sz w:val="32"/>
          <w:szCs w:val="32"/>
          <w:rtl/>
          <w:lang w:bidi="ar-LB"/>
        </w:rPr>
        <w:t>]</w:t>
      </w:r>
    </w:p>
    <w:p w:rsidR="00E6641B" w:rsidRPr="000E40B6" w:rsidRDefault="00E6641B" w:rsidP="000E40B6">
      <w:pPr>
        <w:jc w:val="both"/>
        <w:rPr>
          <w:rFonts w:ascii="Lotus Linotype" w:hAnsi="Lotus Linotype" w:cs="Lotus Linotype"/>
          <w:color w:val="00B050"/>
          <w:sz w:val="32"/>
          <w:szCs w:val="32"/>
          <w:rtl/>
          <w:lang w:bidi="ar-LB"/>
        </w:rPr>
      </w:pPr>
      <w:r w:rsidRPr="000E40B6">
        <w:rPr>
          <w:rFonts w:ascii="Lotus Linotype" w:hAnsi="Lotus Linotype" w:cs="Lotus Linotype" w:hint="cs"/>
          <w:sz w:val="32"/>
          <w:szCs w:val="32"/>
          <w:rtl/>
          <w:lang w:bidi="ar-LB"/>
        </w:rPr>
        <w:t xml:space="preserve">نعم، </w:t>
      </w:r>
      <w:r w:rsidRPr="000E40B6">
        <w:rPr>
          <w:rFonts w:ascii="Lotus Linotype" w:hAnsi="Lotus Linotype" w:cs="Lotus Linotype" w:hint="cs"/>
          <w:b/>
          <w:bCs/>
          <w:sz w:val="32"/>
          <w:szCs w:val="32"/>
          <w:rtl/>
          <w:lang w:bidi="ar-LB"/>
        </w:rPr>
        <w:t>تظهر الثمرة</w:t>
      </w:r>
      <w:r w:rsidRPr="000E40B6">
        <w:rPr>
          <w:rFonts w:ascii="Lotus Linotype" w:hAnsi="Lotus Linotype" w:cs="Lotus Linotype" w:hint="cs"/>
          <w:sz w:val="32"/>
          <w:szCs w:val="32"/>
          <w:rtl/>
          <w:lang w:bidi="ar-LB"/>
        </w:rPr>
        <w:t xml:space="preserve"> بين التقليد الطولي وبين النيابة</w:t>
      </w:r>
      <w:r w:rsidR="00E974B4" w:rsidRPr="000E40B6">
        <w:rPr>
          <w:rFonts w:ascii="Lotus Linotype" w:hAnsi="Lotus Linotype" w:cs="Lotus Linotype" w:hint="cs"/>
          <w:sz w:val="32"/>
          <w:szCs w:val="32"/>
          <w:rtl/>
          <w:lang w:bidi="ar-LB"/>
        </w:rPr>
        <w:t>:</w:t>
      </w:r>
      <w:r w:rsidRPr="000E40B6">
        <w:rPr>
          <w:rFonts w:ascii="Lotus Linotype" w:hAnsi="Lotus Linotype" w:cs="Lotus Linotype" w:hint="cs"/>
          <w:sz w:val="32"/>
          <w:szCs w:val="32"/>
          <w:rtl/>
          <w:lang w:bidi="ar-LB"/>
        </w:rPr>
        <w:t xml:space="preserve"> فيما إذا فُرض </w:t>
      </w:r>
      <w:r w:rsidRPr="000E40B6">
        <w:rPr>
          <w:rFonts w:ascii="Lotus Linotype" w:hAnsi="Lotus Linotype" w:cs="Lotus Linotype" w:hint="cs"/>
          <w:color w:val="00B050"/>
          <w:sz w:val="32"/>
          <w:szCs w:val="32"/>
          <w:rtl/>
          <w:lang w:bidi="ar-LB"/>
        </w:rPr>
        <w:t>أنّ هذا المجتهد لم يُخطىء المجتهد الآخر في نظره.</w:t>
      </w:r>
    </w:p>
    <w:p w:rsidR="008F43ED" w:rsidRDefault="00E6641B" w:rsidP="00880AC7">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مثلاً: هذا المجتهد وإن كان أعلم من غيره، لكنه يستند إلى فتوى بعموم دليلٍ </w:t>
      </w:r>
      <w:r w:rsidRPr="00E6641B">
        <w:rPr>
          <w:rFonts w:ascii="Lotus Linotype" w:hAnsi="Lotus Linotype" w:cs="Lotus Linotype"/>
          <w:sz w:val="32"/>
          <w:szCs w:val="32"/>
          <w:rtl/>
          <w:lang w:bidi="ar-LB"/>
        </w:rPr>
        <w:t xml:space="preserve">"حرّم الربا"، </w:t>
      </w:r>
      <w:r>
        <w:rPr>
          <w:rFonts w:ascii="Lotus Linotype" w:hAnsi="Lotus Linotype" w:cs="Lotus Linotype" w:hint="cs"/>
          <w:sz w:val="32"/>
          <w:szCs w:val="32"/>
          <w:rtl/>
          <w:lang w:bidi="ar-LB"/>
        </w:rPr>
        <w:t xml:space="preserve">يُقال له: توجد رواية تخصّص هذا العموم وهي رواية ياسين الضرير "لا ربا بين الوالد وولده"، </w:t>
      </w:r>
      <w:r w:rsidR="00FD5FB6">
        <w:rPr>
          <w:rFonts w:ascii="Lotus Linotype" w:hAnsi="Lotus Linotype" w:cs="Lotus Linotype" w:hint="cs"/>
          <w:sz w:val="32"/>
          <w:szCs w:val="32"/>
          <w:rtl/>
          <w:lang w:bidi="ar-LB"/>
        </w:rPr>
        <w:t>يقول هذا المجتهد الأعلم: المظنون عندي وثاقة ياسين الضرير لإكثار الأجلاء الرواية عنه، لكن كل ما أحاول أقطع وأجزم بوثاقته لا يحصل لي اليقين بذلك لكنّي لا أُخطىء المجتهد الآخر الذي حصل له الوثوق بأنّ  ياسين الضرير ثقةٌ أو أنّ خبره موثوق الصدور لعمل الأصحاب بمضمون خبره، أنا لا أُخطىء غيري لكن لم يحصل لي الوثوق بأنّ ياسين الضرير ثقة أو أنّ خبره هذا موثوق</w:t>
      </w:r>
      <w:r w:rsidR="00880AC7">
        <w:rPr>
          <w:rFonts w:ascii="Lotus Linotype" w:hAnsi="Lotus Linotype" w:cs="Lotus Linotype" w:hint="cs"/>
          <w:sz w:val="32"/>
          <w:szCs w:val="32"/>
          <w:rtl/>
          <w:lang w:bidi="ar-LB"/>
        </w:rPr>
        <w:t xml:space="preserve"> الصدور لعمل الأصحاب به، ولأجل ذلك الحجّة في حقي ماذا؟ عموم قوله تعالى </w:t>
      </w:r>
      <w:r w:rsidR="00880AC7">
        <w:rPr>
          <w:rFonts w:ascii="Lotus Linotype" w:hAnsi="Lotus Linotype" w:cs="Taher" w:hint="cs"/>
          <w:sz w:val="32"/>
          <w:szCs w:val="32"/>
          <w:rtl/>
          <w:lang w:bidi="ar-LB"/>
        </w:rPr>
        <w:t>﴿</w:t>
      </w:r>
      <w:r w:rsidR="00880AC7">
        <w:rPr>
          <w:rFonts w:ascii="Lotus Linotype" w:hAnsi="Lotus Linotype" w:cs="Lotus Linotype" w:hint="cs"/>
          <w:sz w:val="32"/>
          <w:szCs w:val="32"/>
          <w:rtl/>
          <w:lang w:bidi="ar-LB"/>
        </w:rPr>
        <w:t>حرّم الربا</w:t>
      </w:r>
      <w:r w:rsidR="00880AC7">
        <w:rPr>
          <w:rFonts w:ascii="Lotus Linotype" w:hAnsi="Lotus Linotype" w:cs="Taher" w:hint="cs"/>
          <w:sz w:val="32"/>
          <w:szCs w:val="32"/>
          <w:rtl/>
          <w:lang w:bidi="ar-LB"/>
        </w:rPr>
        <w:t>﴾</w:t>
      </w:r>
      <w:r w:rsidR="00880AC7">
        <w:rPr>
          <w:rFonts w:ascii="Lotus Linotype" w:hAnsi="Lotus Linotype" w:cs="Lotus Linotype" w:hint="cs"/>
          <w:sz w:val="32"/>
          <w:szCs w:val="32"/>
          <w:rtl/>
          <w:lang w:bidi="ar-LB"/>
        </w:rPr>
        <w:t>.</w:t>
      </w:r>
    </w:p>
    <w:p w:rsidR="00880AC7" w:rsidRDefault="00880AC7" w:rsidP="00880AC7">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ولأجل ذلك ترون أنّ السيد الخوئي</w:t>
      </w:r>
      <w:r w:rsidR="00794559">
        <w:rPr>
          <w:rFonts w:ascii="Lotus Linotype" w:hAnsi="Lotus Linotype" w:cs="Lotus Linotype" w:hint="cs"/>
          <w:sz w:val="32"/>
          <w:szCs w:val="32"/>
          <w:rtl/>
          <w:lang w:bidi="ar-LB"/>
        </w:rPr>
        <w:t xml:space="preserve"> </w:t>
      </w:r>
      <w:r w:rsidR="000E40B6">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أفتى بحرمة الربا مطلقاً حتى بين الوالد والولد، وبين الزوجة وزوجها؛ لأنّه لم يحصل له الوثوق بوثاقة ياسين الضرير أو بصدور خبره عن الإمام </w:t>
      </w:r>
      <w:r w:rsidR="000E40B6">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لكن ليس من البعيد أن لا يُخطىء السيد الخوئي</w:t>
      </w:r>
      <w:r w:rsidR="009916B8">
        <w:rPr>
          <w:rFonts w:ascii="Lotus Linotype" w:hAnsi="Lotus Linotype" w:cs="Lotus Linotype" w:hint="cs"/>
          <w:sz w:val="32"/>
          <w:szCs w:val="32"/>
          <w:rtl/>
          <w:lang w:bidi="ar-LB"/>
        </w:rPr>
        <w:t xml:space="preserve"> </w:t>
      </w:r>
      <w:r w:rsidR="000E40B6">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السيد السيستاني</w:t>
      </w:r>
      <w:r w:rsidR="009916B8">
        <w:rPr>
          <w:rFonts w:ascii="Lotus Linotype" w:hAnsi="Lotus Linotype" w:cs="Lotus Linotype" w:hint="cs"/>
          <w:sz w:val="32"/>
          <w:szCs w:val="32"/>
          <w:rtl/>
          <w:lang w:bidi="ar-LB"/>
        </w:rPr>
        <w:t xml:space="preserve"> </w:t>
      </w:r>
      <w:r w:rsidR="009916B8">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الذي حصل له الوثوق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مثلاً- بصدور خبر ياسين الضرير.</w:t>
      </w:r>
    </w:p>
    <w:p w:rsidR="00880AC7" w:rsidRDefault="00880AC7" w:rsidP="00E974B4">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بناءً على مسلك التقليد الطولي كيف يفتي المرجع الأستاذ السيد الخوئي</w:t>
      </w:r>
      <w:r w:rsidR="009916B8">
        <w:rPr>
          <w:rFonts w:ascii="Lotus Linotype" w:hAnsi="Lotus Linotype" w:cs="Lotus Linotype" w:hint="cs"/>
          <w:sz w:val="32"/>
          <w:szCs w:val="32"/>
          <w:rtl/>
          <w:lang w:bidi="ar-LB"/>
        </w:rPr>
        <w:t xml:space="preserve"> </w:t>
      </w:r>
      <w:r w:rsidR="000E40B6">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w:t>
      </w:r>
      <w:r w:rsidR="00794559">
        <w:rPr>
          <w:rFonts w:ascii="Lotus Linotype" w:hAnsi="Lotus Linotype" w:cs="Lotus Linotype" w:hint="cs"/>
          <w:sz w:val="32"/>
          <w:szCs w:val="32"/>
          <w:rtl/>
          <w:lang w:bidi="ar-LB"/>
        </w:rPr>
        <w:t xml:space="preserve">بحرمة الربا بين الوالد والولد استناداً إلى التقليد الطوليفإنّه </w:t>
      </w:r>
      <w:r w:rsidR="009916B8">
        <w:rPr>
          <w:rFonts w:ascii="Lotus Linotype" w:hAnsi="Lotus Linotype" w:cs="Lotus Linotype" w:hint="cs"/>
          <w:sz w:val="32"/>
          <w:szCs w:val="32"/>
          <w:rtl/>
          <w:lang w:bidi="ar-LB"/>
        </w:rPr>
        <w:t>يحتاج</w:t>
      </w:r>
      <w:r w:rsidR="00794559">
        <w:rPr>
          <w:rFonts w:ascii="Lotus Linotype" w:hAnsi="Lotus Linotype" w:cs="Lotus Linotype" w:hint="cs"/>
          <w:sz w:val="32"/>
          <w:szCs w:val="32"/>
          <w:rtl/>
          <w:lang w:bidi="ar-LB"/>
        </w:rPr>
        <w:t xml:space="preserve"> أن يبرز أولاً إلى مقلديه أنّه لا يوجد مخصّص منفصل لعموم </w:t>
      </w:r>
      <w:r w:rsidR="009916B8">
        <w:rPr>
          <w:rFonts w:ascii="Lotus Linotype" w:hAnsi="Lotus Linotype" w:cs="Taher" w:hint="cs"/>
          <w:sz w:val="32"/>
          <w:szCs w:val="32"/>
          <w:rtl/>
          <w:lang w:bidi="ar-LB"/>
        </w:rPr>
        <w:t>﴿</w:t>
      </w:r>
      <w:r w:rsidR="00794559">
        <w:rPr>
          <w:rFonts w:ascii="Lotus Linotype" w:hAnsi="Lotus Linotype" w:cs="Lotus Linotype" w:hint="cs"/>
          <w:sz w:val="32"/>
          <w:szCs w:val="32"/>
          <w:rtl/>
          <w:lang w:bidi="ar-LB"/>
        </w:rPr>
        <w:t>حرّم الربا</w:t>
      </w:r>
      <w:r w:rsidR="009916B8">
        <w:rPr>
          <w:rFonts w:ascii="Lotus Linotype" w:hAnsi="Lotus Linotype" w:cs="Taher" w:hint="cs"/>
          <w:sz w:val="32"/>
          <w:szCs w:val="32"/>
          <w:rtl/>
          <w:lang w:bidi="ar-LB"/>
        </w:rPr>
        <w:t>﴾</w:t>
      </w:r>
      <w:r w:rsidR="00E974B4">
        <w:rPr>
          <w:rFonts w:ascii="Lotus Linotype" w:hAnsi="Lotus Linotype" w:cs="Lotus Linotype" w:hint="cs"/>
          <w:sz w:val="32"/>
          <w:szCs w:val="32"/>
          <w:rtl/>
          <w:lang w:bidi="ar-LB"/>
        </w:rPr>
        <w:t>؟</w:t>
      </w:r>
      <w:r w:rsidR="00794559">
        <w:rPr>
          <w:rFonts w:ascii="Lotus Linotype" w:hAnsi="Lotus Linotype" w:cs="Lotus Linotype" w:hint="cs"/>
          <w:sz w:val="32"/>
          <w:szCs w:val="32"/>
          <w:rtl/>
          <w:lang w:bidi="ar-LB"/>
        </w:rPr>
        <w:t xml:space="preserve"> ومن </w:t>
      </w:r>
      <w:r w:rsidR="00322AB6">
        <w:rPr>
          <w:rFonts w:ascii="Lotus Linotype" w:hAnsi="Lotus Linotype" w:cs="Lotus Linotype" w:hint="cs"/>
          <w:sz w:val="32"/>
          <w:szCs w:val="32"/>
          <w:rtl/>
          <w:lang w:bidi="ar-LB"/>
        </w:rPr>
        <w:t xml:space="preserve">يرى أنّه يوجد مخصّص منفصلٌ له فهو مشتبهٌ، هنا يتحقق التقليد الطولي للعامي، أما ما دام لا يُخطىء السيد الخوئي </w:t>
      </w:r>
      <w:r w:rsidR="000E40B6">
        <w:rPr>
          <w:rFonts w:ascii="Lotus Linotype" w:hAnsi="Lotus Linotype" w:cs="Taher" w:hint="cs"/>
          <w:sz w:val="32"/>
          <w:szCs w:val="32"/>
          <w:rtl/>
          <w:lang w:bidi="ar-LB"/>
        </w:rPr>
        <w:t>رحمه الله</w:t>
      </w:r>
      <w:r w:rsidR="00322AB6">
        <w:rPr>
          <w:rFonts w:ascii="Lotus Linotype" w:hAnsi="Lotus Linotype" w:cs="Lotus Linotype" w:hint="cs"/>
          <w:sz w:val="32"/>
          <w:szCs w:val="32"/>
          <w:rtl/>
          <w:lang w:bidi="ar-LB"/>
        </w:rPr>
        <w:t xml:space="preserve"> غيره في حصول وثوقه بوثاقة ياسين الضرير أو صدور خبره على أنّه  لا ربا بين الوالد والولد ولا بين الرجل وزوجته، فتوى الفقيه الذي يُفتي على أساس رواية ياسين الضرير لا تُلغى عن الحجيّة في حقّ الع</w:t>
      </w:r>
      <w:r w:rsidR="00106C9F">
        <w:rPr>
          <w:rFonts w:ascii="Lotus Linotype" w:hAnsi="Lotus Linotype" w:cs="Lotus Linotype" w:hint="cs"/>
          <w:sz w:val="32"/>
          <w:szCs w:val="32"/>
          <w:rtl/>
          <w:lang w:bidi="ar-LB"/>
        </w:rPr>
        <w:t>اميّ.</w:t>
      </w:r>
    </w:p>
    <w:p w:rsidR="003C2CA8" w:rsidRDefault="00106C9F" w:rsidP="00E974B4">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فهنا لا يمكن التقليد الطوليّ؛ لأنّ العاميّ فتوى من يُفتي بأنّه لا ربا بين الوالد والولد </w:t>
      </w:r>
      <w:r w:rsidR="00E974B4">
        <w:rPr>
          <w:rFonts w:ascii="Lotus Linotype" w:hAnsi="Lotus Linotype" w:cs="Lotus Linotype" w:hint="cs"/>
          <w:sz w:val="32"/>
          <w:szCs w:val="32"/>
          <w:rtl/>
          <w:lang w:bidi="ar-LB"/>
        </w:rPr>
        <w:t>-</w:t>
      </w:r>
      <w:r>
        <w:rPr>
          <w:rFonts w:ascii="Lotus Linotype" w:hAnsi="Lotus Linotype" w:cs="Lotus Linotype" w:hint="cs"/>
          <w:sz w:val="32"/>
          <w:szCs w:val="32"/>
          <w:rtl/>
          <w:lang w:bidi="ar-LB"/>
        </w:rPr>
        <w:t>يعني يجوز الربا بين الوالد والولد وبين الزوج وزوجته</w:t>
      </w:r>
      <w:r w:rsidR="00E974B4">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استناداً إلى رواية ياسين الضرير لا تزال هذه الفتوى حجّة في حقّ هذا العاميّ</w:t>
      </w:r>
      <w:r w:rsidR="003C2CA8">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w:t>
      </w:r>
    </w:p>
    <w:p w:rsidR="00106C9F" w:rsidRDefault="00106C9F" w:rsidP="003C2CA8">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والسيد الخوئي</w:t>
      </w:r>
      <w:r w:rsidR="003C2CA8">
        <w:rPr>
          <w:rFonts w:ascii="Lotus Linotype" w:hAnsi="Lotus Linotype" w:cs="Lotus Linotype" w:hint="cs"/>
          <w:sz w:val="32"/>
          <w:szCs w:val="32"/>
          <w:rtl/>
          <w:lang w:bidi="ar-LB"/>
        </w:rPr>
        <w:t xml:space="preserve"> </w:t>
      </w:r>
      <w:r w:rsidR="000E40B6">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أبد ما يُخطىء هذا المجتهد، بل غاية الأمر يقول: أنا لم يحصل لي الوثوق، يا  ريت حصل لي الوصول وكنت أُفتي برواية ياسين الضرير.</w:t>
      </w:r>
    </w:p>
    <w:p w:rsidR="003C2CA8" w:rsidRDefault="003C2CA8" w:rsidP="00E974B4">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فما دام لا يُخطىء غيره كيف يتحقق موضوع حجيّة العام </w:t>
      </w:r>
      <w:r w:rsidR="00E974B4">
        <w:rPr>
          <w:rFonts w:ascii="Lotus Linotype" w:hAnsi="Lotus Linotype" w:cs="Taher" w:hint="cs"/>
          <w:sz w:val="32"/>
          <w:szCs w:val="32"/>
          <w:rtl/>
          <w:lang w:bidi="ar-LB"/>
        </w:rPr>
        <w:t>﴿</w:t>
      </w:r>
      <w:r>
        <w:rPr>
          <w:rFonts w:ascii="Lotus Linotype" w:hAnsi="Lotus Linotype" w:cs="Lotus Linotype" w:hint="cs"/>
          <w:sz w:val="32"/>
          <w:szCs w:val="32"/>
          <w:rtl/>
          <w:lang w:bidi="ar-LB"/>
        </w:rPr>
        <w:t>حرم الربا</w:t>
      </w:r>
      <w:r w:rsidR="00E974B4">
        <w:rPr>
          <w:rFonts w:ascii="Lotus Linotype" w:hAnsi="Lotus Linotype" w:cs="Taher" w:hint="cs"/>
          <w:sz w:val="32"/>
          <w:szCs w:val="32"/>
          <w:rtl/>
          <w:lang w:bidi="ar-LB"/>
        </w:rPr>
        <w:t>﴾</w:t>
      </w:r>
      <w:r>
        <w:rPr>
          <w:rFonts w:ascii="Lotus Linotype" w:hAnsi="Lotus Linotype" w:cs="Lotus Linotype" w:hint="cs"/>
          <w:sz w:val="32"/>
          <w:szCs w:val="32"/>
          <w:rtl/>
          <w:lang w:bidi="ar-LB"/>
        </w:rPr>
        <w:t xml:space="preserve"> في حق العامي بعد أن كانت فتوى المجتهد الآخر بأنّه "لا يحرم الربا بين الوالد والولد" حجّةً في حق العاميّ، بينما أنّه بناء على مسلك النيابة: مجرد أنّ هذه الفقيه </w:t>
      </w:r>
      <w:r>
        <w:rPr>
          <w:rFonts w:ascii="Times New Roman" w:hAnsi="Times New Roman" w:cs="Times New Roman" w:hint="cs"/>
          <w:sz w:val="32"/>
          <w:szCs w:val="32"/>
          <w:rtl/>
          <w:lang w:bidi="ar-LB"/>
        </w:rPr>
        <w:t>–</w:t>
      </w:r>
      <w:r>
        <w:rPr>
          <w:rFonts w:ascii="Lotus Linotype" w:hAnsi="Lotus Linotype" w:cs="Lotus Linotype" w:hint="cs"/>
          <w:sz w:val="32"/>
          <w:szCs w:val="32"/>
          <w:rtl/>
          <w:lang w:bidi="ar-LB"/>
        </w:rPr>
        <w:t xml:space="preserve">أي السيد الخوئي- لم يجزم بوثاقة ياسين الضرير أو صدور خبره عن الإمام </w:t>
      </w:r>
      <w:r w:rsidR="000E40B6">
        <w:rPr>
          <w:rFonts w:ascii="Lotus Linotype" w:hAnsi="Lotus Linotype" w:cs="Taher" w:hint="cs"/>
          <w:sz w:val="32"/>
          <w:szCs w:val="32"/>
          <w:rtl/>
          <w:lang w:bidi="ar-LB"/>
        </w:rPr>
        <w:t>علیه السلام</w:t>
      </w:r>
      <w:r>
        <w:rPr>
          <w:rFonts w:ascii="Lotus Linotype" w:hAnsi="Lotus Linotype" w:cs="Lotus Linotype" w:hint="cs"/>
          <w:sz w:val="32"/>
          <w:szCs w:val="32"/>
          <w:rtl/>
          <w:lang w:bidi="ar-LB"/>
        </w:rPr>
        <w:t xml:space="preserve"> فيكون عموم آية القرآن الكريم حجّةً في حقه ويمكنه أن يفتي بهذا العموم، كما أنّ عدم وصول المخصّص المعتبر إلىه يقوم مقام عدم وصول المخصص المعتبر إلى كلّ العوام من دون حاجةٍ إلى أن يُخطىء سائر المجتهدين.</w:t>
      </w:r>
    </w:p>
    <w:p w:rsidR="003C2CA8" w:rsidRPr="00E6641B" w:rsidRDefault="003C2CA8" w:rsidP="009916B8">
      <w:pPr>
        <w:pStyle w:val="ListParagraph"/>
        <w:ind w:left="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وبقية الكلام في الليلة القادمة إن شاء الله.</w:t>
      </w:r>
    </w:p>
    <w:p w:rsidR="00AC0D2D" w:rsidRPr="001F0D21" w:rsidRDefault="00AC0D2D" w:rsidP="00700048">
      <w:pPr>
        <w:jc w:val="both"/>
        <w:rPr>
          <w:rFonts w:ascii="Lotus Linotype" w:hAnsi="Lotus Linotype" w:cs="Lotus Linotype"/>
          <w:sz w:val="32"/>
          <w:szCs w:val="32"/>
          <w:rtl/>
          <w:lang w:bidi="ar-LB"/>
        </w:rPr>
      </w:pPr>
    </w:p>
    <w:p w:rsidR="009E35EF" w:rsidRPr="009E35EF" w:rsidRDefault="009E35EF" w:rsidP="000E40B6">
      <w:pPr>
        <w:pStyle w:val="ListParagraph"/>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1B" w:rsidRDefault="00A06D1B" w:rsidP="00795CCB">
      <w:pPr>
        <w:spacing w:after="0" w:line="240" w:lineRule="auto"/>
      </w:pPr>
      <w:r>
        <w:separator/>
      </w:r>
    </w:p>
  </w:endnote>
  <w:endnote w:type="continuationSeparator" w:id="0">
    <w:p w:rsidR="00A06D1B" w:rsidRDefault="00A06D1B"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B35CAA">
          <w:rPr>
            <w:noProof/>
            <w:rtl/>
          </w:rPr>
          <w:t>1</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1B" w:rsidRDefault="00A06D1B" w:rsidP="00795CCB">
      <w:pPr>
        <w:spacing w:after="0" w:line="240" w:lineRule="auto"/>
      </w:pPr>
      <w:r>
        <w:separator/>
      </w:r>
    </w:p>
  </w:footnote>
  <w:footnote w:type="continuationSeparator" w:id="0">
    <w:p w:rsidR="00A06D1B" w:rsidRDefault="00A06D1B"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92F"/>
    <w:multiLevelType w:val="hybridMultilevel"/>
    <w:tmpl w:val="AE64C8F8"/>
    <w:lvl w:ilvl="0" w:tplc="4DDA3430">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E46B29"/>
    <w:multiLevelType w:val="hybridMultilevel"/>
    <w:tmpl w:val="B8EE1AD4"/>
    <w:lvl w:ilvl="0" w:tplc="673E3A30">
      <w:start w:val="1"/>
      <w:numFmt w:val="arabicAbjad"/>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4356DA"/>
    <w:multiLevelType w:val="hybridMultilevel"/>
    <w:tmpl w:val="B3E28072"/>
    <w:lvl w:ilvl="0" w:tplc="673E3A30">
      <w:start w:val="1"/>
      <w:numFmt w:val="arabicAbjad"/>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2"/>
  </w:num>
  <w:num w:numId="5">
    <w:abstractNumId w:val="3"/>
  </w:num>
  <w:num w:numId="6">
    <w:abstractNumId w:val="2"/>
  </w:num>
  <w:num w:numId="7">
    <w:abstractNumId w:val="6"/>
  </w:num>
  <w:num w:numId="8">
    <w:abstractNumId w:val="9"/>
  </w:num>
  <w:num w:numId="9">
    <w:abstractNumId w:val="8"/>
  </w:num>
  <w:num w:numId="10">
    <w:abstractNumId w:val="7"/>
  </w:num>
  <w:num w:numId="11">
    <w:abstractNumId w:val="14"/>
  </w:num>
  <w:num w:numId="12">
    <w:abstractNumId w:val="1"/>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27400"/>
    <w:rsid w:val="0004389F"/>
    <w:rsid w:val="00054DFC"/>
    <w:rsid w:val="00056D44"/>
    <w:rsid w:val="00064275"/>
    <w:rsid w:val="00073E63"/>
    <w:rsid w:val="000809B5"/>
    <w:rsid w:val="000C07EB"/>
    <w:rsid w:val="000C2B1E"/>
    <w:rsid w:val="000D6B3A"/>
    <w:rsid w:val="000E0C22"/>
    <w:rsid w:val="000E40B6"/>
    <w:rsid w:val="001010C7"/>
    <w:rsid w:val="00106C9F"/>
    <w:rsid w:val="001568FC"/>
    <w:rsid w:val="00156C60"/>
    <w:rsid w:val="00177100"/>
    <w:rsid w:val="001B30F8"/>
    <w:rsid w:val="001D278B"/>
    <w:rsid w:val="001D64A1"/>
    <w:rsid w:val="001F0D21"/>
    <w:rsid w:val="00202794"/>
    <w:rsid w:val="00204011"/>
    <w:rsid w:val="0020663B"/>
    <w:rsid w:val="00247C21"/>
    <w:rsid w:val="00267E32"/>
    <w:rsid w:val="00286420"/>
    <w:rsid w:val="002A13D0"/>
    <w:rsid w:val="002B7C85"/>
    <w:rsid w:val="002D5F92"/>
    <w:rsid w:val="00322AB6"/>
    <w:rsid w:val="00325877"/>
    <w:rsid w:val="0033364B"/>
    <w:rsid w:val="0034131E"/>
    <w:rsid w:val="00341A6A"/>
    <w:rsid w:val="00347EE8"/>
    <w:rsid w:val="00374C87"/>
    <w:rsid w:val="00381072"/>
    <w:rsid w:val="003858DD"/>
    <w:rsid w:val="00396813"/>
    <w:rsid w:val="003C2CA8"/>
    <w:rsid w:val="003C6346"/>
    <w:rsid w:val="003D664E"/>
    <w:rsid w:val="003E27D4"/>
    <w:rsid w:val="0042761D"/>
    <w:rsid w:val="0042767B"/>
    <w:rsid w:val="00452B7E"/>
    <w:rsid w:val="004640DD"/>
    <w:rsid w:val="00476DF8"/>
    <w:rsid w:val="00477959"/>
    <w:rsid w:val="00477AFF"/>
    <w:rsid w:val="004805BE"/>
    <w:rsid w:val="0049022D"/>
    <w:rsid w:val="004D5927"/>
    <w:rsid w:val="004D7451"/>
    <w:rsid w:val="005102AA"/>
    <w:rsid w:val="00515FBD"/>
    <w:rsid w:val="0054288F"/>
    <w:rsid w:val="00543ADB"/>
    <w:rsid w:val="00546413"/>
    <w:rsid w:val="00554C66"/>
    <w:rsid w:val="005555CF"/>
    <w:rsid w:val="00557C7F"/>
    <w:rsid w:val="00570EC9"/>
    <w:rsid w:val="00571F3F"/>
    <w:rsid w:val="00590339"/>
    <w:rsid w:val="005A7165"/>
    <w:rsid w:val="005A71AC"/>
    <w:rsid w:val="005B0C13"/>
    <w:rsid w:val="005C41A3"/>
    <w:rsid w:val="005D3B46"/>
    <w:rsid w:val="005E0DE2"/>
    <w:rsid w:val="005F376A"/>
    <w:rsid w:val="005F4D41"/>
    <w:rsid w:val="00602C33"/>
    <w:rsid w:val="006134E6"/>
    <w:rsid w:val="00625DDA"/>
    <w:rsid w:val="0063299E"/>
    <w:rsid w:val="00644272"/>
    <w:rsid w:val="00651F18"/>
    <w:rsid w:val="00651FE1"/>
    <w:rsid w:val="00673A1F"/>
    <w:rsid w:val="006979B1"/>
    <w:rsid w:val="006B5BC0"/>
    <w:rsid w:val="006C27A6"/>
    <w:rsid w:val="006D0186"/>
    <w:rsid w:val="006E01AE"/>
    <w:rsid w:val="00700048"/>
    <w:rsid w:val="00721424"/>
    <w:rsid w:val="00737FE3"/>
    <w:rsid w:val="00747C45"/>
    <w:rsid w:val="007844EB"/>
    <w:rsid w:val="00794559"/>
    <w:rsid w:val="00795CCB"/>
    <w:rsid w:val="007B6767"/>
    <w:rsid w:val="007C4E30"/>
    <w:rsid w:val="007D5598"/>
    <w:rsid w:val="008303C6"/>
    <w:rsid w:val="008548E5"/>
    <w:rsid w:val="00880AC7"/>
    <w:rsid w:val="00895868"/>
    <w:rsid w:val="008A295A"/>
    <w:rsid w:val="008B5170"/>
    <w:rsid w:val="008C38A7"/>
    <w:rsid w:val="008D5743"/>
    <w:rsid w:val="008F43ED"/>
    <w:rsid w:val="008F714F"/>
    <w:rsid w:val="009462C2"/>
    <w:rsid w:val="00947A5E"/>
    <w:rsid w:val="0097491C"/>
    <w:rsid w:val="00975DBE"/>
    <w:rsid w:val="009872E8"/>
    <w:rsid w:val="009916B8"/>
    <w:rsid w:val="009A5557"/>
    <w:rsid w:val="009C7723"/>
    <w:rsid w:val="009E35EF"/>
    <w:rsid w:val="009E5525"/>
    <w:rsid w:val="00A06D1B"/>
    <w:rsid w:val="00A53725"/>
    <w:rsid w:val="00A71A43"/>
    <w:rsid w:val="00A7496D"/>
    <w:rsid w:val="00A8144D"/>
    <w:rsid w:val="00A8589A"/>
    <w:rsid w:val="00AC0D2D"/>
    <w:rsid w:val="00AD6056"/>
    <w:rsid w:val="00AF1713"/>
    <w:rsid w:val="00AF3289"/>
    <w:rsid w:val="00AF5865"/>
    <w:rsid w:val="00B05C43"/>
    <w:rsid w:val="00B10FF9"/>
    <w:rsid w:val="00B11AB6"/>
    <w:rsid w:val="00B35CAA"/>
    <w:rsid w:val="00B4609C"/>
    <w:rsid w:val="00B82F0F"/>
    <w:rsid w:val="00BE11CD"/>
    <w:rsid w:val="00BF2532"/>
    <w:rsid w:val="00C02B86"/>
    <w:rsid w:val="00C07694"/>
    <w:rsid w:val="00C0795B"/>
    <w:rsid w:val="00C2694C"/>
    <w:rsid w:val="00C41903"/>
    <w:rsid w:val="00C54F52"/>
    <w:rsid w:val="00C56A44"/>
    <w:rsid w:val="00C60A21"/>
    <w:rsid w:val="00C6699F"/>
    <w:rsid w:val="00C72262"/>
    <w:rsid w:val="00C74EE6"/>
    <w:rsid w:val="00C753C0"/>
    <w:rsid w:val="00CA72BF"/>
    <w:rsid w:val="00CD636A"/>
    <w:rsid w:val="00CF1C37"/>
    <w:rsid w:val="00CF3FE7"/>
    <w:rsid w:val="00D056C9"/>
    <w:rsid w:val="00D213C0"/>
    <w:rsid w:val="00D65582"/>
    <w:rsid w:val="00D87C3B"/>
    <w:rsid w:val="00DB7975"/>
    <w:rsid w:val="00E14B5B"/>
    <w:rsid w:val="00E61BDF"/>
    <w:rsid w:val="00E6641B"/>
    <w:rsid w:val="00E87C4B"/>
    <w:rsid w:val="00E91C14"/>
    <w:rsid w:val="00E974B4"/>
    <w:rsid w:val="00EA67D5"/>
    <w:rsid w:val="00EB0F21"/>
    <w:rsid w:val="00EB3A86"/>
    <w:rsid w:val="00EC125B"/>
    <w:rsid w:val="00EC468E"/>
    <w:rsid w:val="00ED4E17"/>
    <w:rsid w:val="00F075DF"/>
    <w:rsid w:val="00F85829"/>
    <w:rsid w:val="00F9106B"/>
    <w:rsid w:val="00FA28CB"/>
    <w:rsid w:val="00FC278B"/>
    <w:rsid w:val="00FD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1BF4F-7955-486B-B59D-B5F58B73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146</cp:revision>
  <dcterms:created xsi:type="dcterms:W3CDTF">2022-10-28T18:12:00Z</dcterms:created>
  <dcterms:modified xsi:type="dcterms:W3CDTF">2023-03-13T10:37:00Z</dcterms:modified>
</cp:coreProperties>
</file>