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77728334"/>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bookmarkStart w:id="67" w:name="_Toc116732138" w:displacedByCustomXml="prev"/>
        <w:bookmarkStart w:id="68" w:name="_Toc116472638" w:displacedByCustomXml="prev"/>
        <w:p w:rsidR="00A44DBA" w:rsidRDefault="00A44DBA" w:rsidP="00A44DBA">
          <w:pPr>
            <w:spacing w:before="100" w:beforeAutospacing="1" w:after="100" w:afterAutospacing="1"/>
          </w:pPr>
          <w:r>
            <w:rPr>
              <w:rtl/>
            </w:rPr>
            <w:t>بسمه تعالی</w:t>
          </w:r>
        </w:p>
        <w:p w:rsidR="00A44DBA" w:rsidRDefault="00A44DBA" w:rsidP="00A44DBA">
          <w:pPr>
            <w:pStyle w:val="TOCHeading"/>
            <w:bidi/>
          </w:pPr>
          <w:bookmarkStart w:id="69" w:name="_Toc119843303"/>
          <w:bookmarkStart w:id="70" w:name="_Toc120372668"/>
          <w:r>
            <w:rPr>
              <w:rFonts w:ascii="Calibri Light" w:hAnsi="Calibri Light"/>
              <w:color w:val="FF0000"/>
              <w:rtl/>
            </w:rPr>
            <w:t xml:space="preserve">موضوع: </w:t>
          </w:r>
          <w:bookmarkEnd w:id="69"/>
          <w:r>
            <w:rPr>
              <w:rFonts w:ascii="Calibri Light" w:hAnsi="Calibri Light" w:cs="Times New Roman"/>
              <w:rtl/>
            </w:rPr>
            <w:t xml:space="preserve">تنبیهات </w:t>
          </w:r>
          <w:r>
            <w:rPr>
              <w:rFonts w:ascii="Calibri Light" w:hAnsi="Calibri Light"/>
              <w:rtl/>
            </w:rPr>
            <w:t xml:space="preserve">/ </w:t>
          </w:r>
          <w:bookmarkEnd w:id="70"/>
          <w:r>
            <w:rPr>
              <w:rFonts w:ascii="Calibri Light" w:hAnsi="Calibri Light"/>
              <w:rtl/>
            </w:rPr>
            <w:t>مطلق و مقید</w:t>
          </w:r>
        </w:p>
        <w:p w:rsidR="00A44DBA" w:rsidRDefault="00A44DBA" w:rsidP="00A44DBA">
          <w:pPr>
            <w:spacing w:before="100" w:beforeAutospacing="1" w:after="100" w:afterAutospacing="1"/>
          </w:pPr>
          <w:r>
            <w:t> </w:t>
          </w:r>
        </w:p>
        <w:p w:rsidR="00A6167E" w:rsidRDefault="00A44DBA" w:rsidP="00A44DBA">
          <w:pPr>
            <w:pStyle w:val="TOCHeading"/>
            <w:bidi/>
            <w:jc w:val="both"/>
            <w:rPr>
              <w:rFonts w:hint="cs"/>
              <w:rtl/>
              <w:lang w:bidi="fa-IR"/>
            </w:rPr>
          </w:pPr>
          <w:r>
            <w:rPr>
              <w:rFonts w:ascii="Calibri Light" w:hAnsi="Calibri Light"/>
              <w:rtl/>
            </w:rPr>
            <w:t>فهرست مطالب</w:t>
          </w:r>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Pr>
              <w:rFonts w:ascii="Calibri Light" w:hAnsi="Calibri Light"/>
            </w:rPr>
            <w:t>:</w:t>
          </w:r>
          <w:bookmarkStart w:id="71" w:name="_GoBack"/>
          <w:bookmarkEnd w:id="71"/>
        </w:p>
        <w:p w:rsidR="00A6167E" w:rsidRDefault="00A6167E" w:rsidP="000A5F03">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6308559" w:history="1">
            <w:r w:rsidRPr="0091497C">
              <w:rPr>
                <w:rStyle w:val="Hyperlink"/>
                <w:rFonts w:hint="eastAsia"/>
                <w:noProof/>
                <w:rtl/>
              </w:rPr>
              <w:t>تنب</w:t>
            </w:r>
            <w:r w:rsidRPr="0091497C">
              <w:rPr>
                <w:rStyle w:val="Hyperlink"/>
                <w:rFonts w:hint="cs"/>
                <w:noProof/>
                <w:rtl/>
              </w:rPr>
              <w:t>ی</w:t>
            </w:r>
            <w:r w:rsidRPr="0091497C">
              <w:rPr>
                <w:rStyle w:val="Hyperlink"/>
                <w:rFonts w:hint="eastAsia"/>
                <w:noProof/>
                <w:rtl/>
              </w:rPr>
              <w:t>هات</w:t>
            </w:r>
            <w:r>
              <w:rPr>
                <w:noProof/>
                <w:webHidden/>
              </w:rPr>
              <w:tab/>
            </w:r>
            <w:r>
              <w:rPr>
                <w:noProof/>
                <w:webHidden/>
              </w:rPr>
              <w:fldChar w:fldCharType="begin"/>
            </w:r>
            <w:r>
              <w:rPr>
                <w:noProof/>
                <w:webHidden/>
              </w:rPr>
              <w:instrText xml:space="preserve"> PAGEREF _Toc126308559 \h </w:instrText>
            </w:r>
            <w:r>
              <w:rPr>
                <w:noProof/>
                <w:webHidden/>
              </w:rPr>
            </w:r>
            <w:r>
              <w:rPr>
                <w:noProof/>
                <w:webHidden/>
              </w:rPr>
              <w:fldChar w:fldCharType="separate"/>
            </w:r>
            <w:r w:rsidR="00DF18E1">
              <w:rPr>
                <w:noProof/>
                <w:webHidden/>
                <w:rtl/>
              </w:rPr>
              <w:t>1</w:t>
            </w:r>
            <w:r>
              <w:rPr>
                <w:noProof/>
                <w:webHidden/>
              </w:rPr>
              <w:fldChar w:fldCharType="end"/>
            </w:r>
          </w:hyperlink>
        </w:p>
        <w:p w:rsidR="00A6167E" w:rsidRDefault="00513857" w:rsidP="000A5F03">
          <w:pPr>
            <w:pStyle w:val="TOC2"/>
            <w:tabs>
              <w:tab w:val="right" w:leader="dot" w:pos="9350"/>
            </w:tabs>
            <w:jc w:val="both"/>
            <w:rPr>
              <w:rFonts w:asciiTheme="minorHAnsi" w:eastAsiaTheme="minorEastAsia" w:hAnsiTheme="minorHAnsi" w:cstheme="minorBidi"/>
              <w:noProof/>
              <w:szCs w:val="22"/>
              <w:lang w:bidi="ar-SA"/>
            </w:rPr>
          </w:pPr>
          <w:hyperlink w:anchor="_Toc126308560" w:history="1">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مختار</w:t>
            </w:r>
            <w:r w:rsidR="00A6167E" w:rsidRPr="0091497C">
              <w:rPr>
                <w:rStyle w:val="Hyperlink"/>
                <w:noProof/>
                <w:rtl/>
              </w:rPr>
              <w:t xml:space="preserve"> </w:t>
            </w:r>
            <w:r w:rsidR="00A6167E" w:rsidRPr="0091497C">
              <w:rPr>
                <w:rStyle w:val="Hyperlink"/>
                <w:rFonts w:hint="eastAsia"/>
                <w:noProof/>
                <w:rtl/>
              </w:rPr>
              <w:t>شه</w:t>
            </w:r>
            <w:r w:rsidR="00A6167E" w:rsidRPr="0091497C">
              <w:rPr>
                <w:rStyle w:val="Hyperlink"/>
                <w:rFonts w:hint="cs"/>
                <w:noProof/>
                <w:rtl/>
              </w:rPr>
              <w:t>ی</w:t>
            </w:r>
            <w:r w:rsidR="00A6167E" w:rsidRPr="0091497C">
              <w:rPr>
                <w:rStyle w:val="Hyperlink"/>
                <w:rFonts w:hint="eastAsia"/>
                <w:noProof/>
                <w:rtl/>
              </w:rPr>
              <w:t>د</w:t>
            </w:r>
            <w:r w:rsidR="00A6167E" w:rsidRPr="0091497C">
              <w:rPr>
                <w:rStyle w:val="Hyperlink"/>
                <w:noProof/>
                <w:rtl/>
              </w:rPr>
              <w:t xml:space="preserve"> </w:t>
            </w:r>
            <w:r w:rsidR="00A6167E" w:rsidRPr="0091497C">
              <w:rPr>
                <w:rStyle w:val="Hyperlink"/>
                <w:rFonts w:hint="eastAsia"/>
                <w:noProof/>
                <w:rtl/>
              </w:rPr>
              <w:t>صدر</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sidRPr="0091497C">
              <w:rPr>
                <w:rStyle w:val="Hyperlink"/>
                <w:noProof/>
                <w:rtl/>
              </w:rPr>
              <w:t xml:space="preserve"> </w:t>
            </w:r>
            <w:r w:rsidR="00A6167E" w:rsidRPr="0091497C">
              <w:rPr>
                <w:rStyle w:val="Hyperlink"/>
                <w:rFonts w:hint="eastAsia"/>
                <w:noProof/>
                <w:rtl/>
              </w:rPr>
              <w:t>در</w:t>
            </w:r>
            <w:r w:rsidR="00A6167E" w:rsidRPr="0091497C">
              <w:rPr>
                <w:rStyle w:val="Hyperlink"/>
                <w:noProof/>
                <w:rtl/>
              </w:rPr>
              <w:t xml:space="preserve"> </w:t>
            </w:r>
            <w:r w:rsidR="00A6167E" w:rsidRPr="0091497C">
              <w:rPr>
                <w:rStyle w:val="Hyperlink"/>
                <w:rFonts w:hint="eastAsia"/>
                <w:noProof/>
                <w:rtl/>
              </w:rPr>
              <w:t>مانع</w:t>
            </w:r>
            <w:r w:rsidR="00A6167E" w:rsidRPr="0091497C">
              <w:rPr>
                <w:rStyle w:val="Hyperlink"/>
                <w:rFonts w:hint="cs"/>
                <w:noProof/>
                <w:rtl/>
              </w:rPr>
              <w:t>ی</w:t>
            </w:r>
            <w:r w:rsidR="00A6167E" w:rsidRPr="0091497C">
              <w:rPr>
                <w:rStyle w:val="Hyperlink"/>
                <w:rFonts w:hint="eastAsia"/>
                <w:noProof/>
                <w:rtl/>
              </w:rPr>
              <w:t>ت</w:t>
            </w:r>
            <w:r w:rsidR="00A6167E" w:rsidRPr="0091497C">
              <w:rPr>
                <w:rStyle w:val="Hyperlink"/>
                <w:noProof/>
                <w:rtl/>
              </w:rPr>
              <w:t xml:space="preserve"> </w:t>
            </w:r>
            <w:r w:rsidR="00A6167E" w:rsidRPr="0091497C">
              <w:rPr>
                <w:rStyle w:val="Hyperlink"/>
                <w:rFonts w:hint="eastAsia"/>
                <w:noProof/>
                <w:rtl/>
              </w:rPr>
              <w:t>ب</w:t>
            </w:r>
            <w:r w:rsidR="00A6167E" w:rsidRPr="0091497C">
              <w:rPr>
                <w:rStyle w:val="Hyperlink"/>
                <w:rFonts w:hint="cs"/>
                <w:noProof/>
                <w:rtl/>
              </w:rPr>
              <w:t>ی</w:t>
            </w:r>
            <w:r w:rsidR="00A6167E" w:rsidRPr="0091497C">
              <w:rPr>
                <w:rStyle w:val="Hyperlink"/>
                <w:rFonts w:hint="eastAsia"/>
                <w:noProof/>
                <w:rtl/>
              </w:rPr>
              <w:t>ان</w:t>
            </w:r>
            <w:r w:rsidR="00A6167E" w:rsidRPr="0091497C">
              <w:rPr>
                <w:rStyle w:val="Hyperlink"/>
                <w:noProof/>
                <w:rtl/>
              </w:rPr>
              <w:t xml:space="preserve"> </w:t>
            </w:r>
            <w:r w:rsidR="00A6167E" w:rsidRPr="0091497C">
              <w:rPr>
                <w:rStyle w:val="Hyperlink"/>
                <w:rFonts w:hint="eastAsia"/>
                <w:noProof/>
                <w:rtl/>
              </w:rPr>
              <w:t>عام</w:t>
            </w:r>
            <w:r w:rsidR="00A6167E" w:rsidRPr="0091497C">
              <w:rPr>
                <w:rStyle w:val="Hyperlink"/>
                <w:noProof/>
                <w:rtl/>
              </w:rPr>
              <w:t xml:space="preserve"> </w:t>
            </w:r>
            <w:r w:rsidR="00A6167E" w:rsidRPr="0091497C">
              <w:rPr>
                <w:rStyle w:val="Hyperlink"/>
                <w:rFonts w:hint="eastAsia"/>
                <w:noProof/>
                <w:rtl/>
              </w:rPr>
              <w:t>از</w:t>
            </w:r>
            <w:r w:rsidR="00A6167E" w:rsidRPr="0091497C">
              <w:rPr>
                <w:rStyle w:val="Hyperlink"/>
                <w:noProof/>
                <w:rtl/>
              </w:rPr>
              <w:t xml:space="preserve"> </w:t>
            </w:r>
            <w:r w:rsidR="00A6167E" w:rsidRPr="0091497C">
              <w:rPr>
                <w:rStyle w:val="Hyperlink"/>
                <w:rFonts w:hint="eastAsia"/>
                <w:noProof/>
                <w:rtl/>
              </w:rPr>
              <w:t>جر</w:t>
            </w:r>
            <w:r w:rsidR="00A6167E" w:rsidRPr="0091497C">
              <w:rPr>
                <w:rStyle w:val="Hyperlink"/>
                <w:rFonts w:hint="cs"/>
                <w:noProof/>
                <w:rtl/>
              </w:rPr>
              <w:t>ی</w:t>
            </w:r>
            <w:r w:rsidR="00A6167E" w:rsidRPr="0091497C">
              <w:rPr>
                <w:rStyle w:val="Hyperlink"/>
                <w:rFonts w:hint="eastAsia"/>
                <w:noProof/>
                <w:rtl/>
              </w:rPr>
              <w:t>ان</w:t>
            </w:r>
            <w:r w:rsidR="00A6167E" w:rsidRPr="0091497C">
              <w:rPr>
                <w:rStyle w:val="Hyperlink"/>
                <w:noProof/>
                <w:rtl/>
              </w:rPr>
              <w:t xml:space="preserve"> </w:t>
            </w:r>
            <w:r w:rsidR="00A6167E" w:rsidRPr="0091497C">
              <w:rPr>
                <w:rStyle w:val="Hyperlink"/>
                <w:rFonts w:hint="eastAsia"/>
                <w:noProof/>
                <w:rtl/>
              </w:rPr>
              <w:t>مقدمات</w:t>
            </w:r>
            <w:r w:rsidR="00A6167E" w:rsidRPr="0091497C">
              <w:rPr>
                <w:rStyle w:val="Hyperlink"/>
                <w:noProof/>
                <w:rtl/>
              </w:rPr>
              <w:t xml:space="preserve"> </w:t>
            </w:r>
            <w:r w:rsidR="00A6167E" w:rsidRPr="0091497C">
              <w:rPr>
                <w:rStyle w:val="Hyperlink"/>
                <w:rFonts w:hint="eastAsia"/>
                <w:noProof/>
                <w:rtl/>
              </w:rPr>
              <w:t>حکمت</w:t>
            </w:r>
            <w:r w:rsidR="00A6167E">
              <w:rPr>
                <w:noProof/>
                <w:webHidden/>
              </w:rPr>
              <w:tab/>
            </w:r>
            <w:r w:rsidR="00A6167E">
              <w:rPr>
                <w:noProof/>
                <w:webHidden/>
              </w:rPr>
              <w:fldChar w:fldCharType="begin"/>
            </w:r>
            <w:r w:rsidR="00A6167E">
              <w:rPr>
                <w:noProof/>
                <w:webHidden/>
              </w:rPr>
              <w:instrText xml:space="preserve"> PAGEREF _Toc126308560 \h </w:instrText>
            </w:r>
            <w:r w:rsidR="00A6167E">
              <w:rPr>
                <w:noProof/>
                <w:webHidden/>
              </w:rPr>
            </w:r>
            <w:r w:rsidR="00A6167E">
              <w:rPr>
                <w:noProof/>
                <w:webHidden/>
              </w:rPr>
              <w:fldChar w:fldCharType="separate"/>
            </w:r>
            <w:r w:rsidR="00DF18E1">
              <w:rPr>
                <w:noProof/>
                <w:webHidden/>
                <w:rtl/>
              </w:rPr>
              <w:t>1</w:t>
            </w:r>
            <w:r w:rsidR="00A6167E">
              <w:rPr>
                <w:noProof/>
                <w:webHidden/>
              </w:rPr>
              <w:fldChar w:fldCharType="end"/>
            </w:r>
          </w:hyperlink>
        </w:p>
        <w:p w:rsidR="00A6167E" w:rsidRDefault="00513857" w:rsidP="000A5F03">
          <w:pPr>
            <w:pStyle w:val="TOC2"/>
            <w:tabs>
              <w:tab w:val="right" w:leader="dot" w:pos="9350"/>
            </w:tabs>
            <w:jc w:val="both"/>
            <w:rPr>
              <w:rFonts w:asciiTheme="minorHAnsi" w:eastAsiaTheme="minorEastAsia" w:hAnsiTheme="minorHAnsi" w:cstheme="minorBidi"/>
              <w:noProof/>
              <w:szCs w:val="22"/>
              <w:lang w:bidi="ar-SA"/>
            </w:rPr>
          </w:pPr>
          <w:hyperlink w:anchor="_Toc126308561" w:history="1">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شه</w:t>
            </w:r>
            <w:r w:rsidR="00A6167E" w:rsidRPr="0091497C">
              <w:rPr>
                <w:rStyle w:val="Hyperlink"/>
                <w:rFonts w:hint="cs"/>
                <w:noProof/>
                <w:rtl/>
              </w:rPr>
              <w:t>ی</w:t>
            </w:r>
            <w:r w:rsidR="00A6167E" w:rsidRPr="0091497C">
              <w:rPr>
                <w:rStyle w:val="Hyperlink"/>
                <w:rFonts w:hint="eastAsia"/>
                <w:noProof/>
                <w:rtl/>
              </w:rPr>
              <w:t>د</w:t>
            </w:r>
            <w:r w:rsidR="00A6167E" w:rsidRPr="0091497C">
              <w:rPr>
                <w:rStyle w:val="Hyperlink"/>
                <w:noProof/>
                <w:rtl/>
              </w:rPr>
              <w:t xml:space="preserve"> </w:t>
            </w:r>
            <w:r w:rsidR="00A6167E" w:rsidRPr="0091497C">
              <w:rPr>
                <w:rStyle w:val="Hyperlink"/>
                <w:rFonts w:hint="eastAsia"/>
                <w:noProof/>
                <w:rtl/>
              </w:rPr>
              <w:t>صدر</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_Toc126308561 \h </w:instrText>
            </w:r>
            <w:r w:rsidR="00A6167E">
              <w:rPr>
                <w:noProof/>
                <w:webHidden/>
              </w:rPr>
            </w:r>
            <w:r w:rsidR="00A6167E">
              <w:rPr>
                <w:noProof/>
                <w:webHidden/>
              </w:rPr>
              <w:fldChar w:fldCharType="separate"/>
            </w:r>
            <w:r w:rsidR="00DF18E1">
              <w:rPr>
                <w:noProof/>
                <w:webHidden/>
                <w:rtl/>
              </w:rPr>
              <w:t>2</w:t>
            </w:r>
            <w:r w:rsidR="00A6167E">
              <w:rPr>
                <w:noProof/>
                <w:webHidden/>
              </w:rPr>
              <w:fldChar w:fldCharType="end"/>
            </w:r>
          </w:hyperlink>
        </w:p>
        <w:p w:rsidR="00A6167E" w:rsidRDefault="00513857" w:rsidP="000A5F03">
          <w:pPr>
            <w:pStyle w:val="TOC2"/>
            <w:tabs>
              <w:tab w:val="right" w:leader="dot" w:pos="9350"/>
            </w:tabs>
            <w:jc w:val="both"/>
            <w:rPr>
              <w:rFonts w:asciiTheme="minorHAnsi" w:eastAsiaTheme="minorEastAsia" w:hAnsiTheme="minorHAnsi" w:cstheme="minorBidi"/>
              <w:noProof/>
              <w:szCs w:val="22"/>
              <w:lang w:bidi="ar-SA"/>
            </w:rPr>
          </w:pPr>
          <w:hyperlink w:anchor="_Toc126308562" w:history="1">
            <w:r w:rsidR="00A6167E" w:rsidRPr="0091497C">
              <w:rPr>
                <w:rStyle w:val="Hyperlink"/>
                <w:rFonts w:hint="eastAsia"/>
                <w:noProof/>
                <w:rtl/>
              </w:rPr>
              <w:t>تنب</w:t>
            </w:r>
            <w:r w:rsidR="00A6167E" w:rsidRPr="0091497C">
              <w:rPr>
                <w:rStyle w:val="Hyperlink"/>
                <w:rFonts w:hint="cs"/>
                <w:noProof/>
                <w:rtl/>
              </w:rPr>
              <w:t>ی</w:t>
            </w:r>
            <w:r w:rsidR="00A6167E" w:rsidRPr="0091497C">
              <w:rPr>
                <w:rStyle w:val="Hyperlink"/>
                <w:rFonts w:hint="eastAsia"/>
                <w:noProof/>
                <w:rtl/>
              </w:rPr>
              <w:t>ه</w:t>
            </w:r>
            <w:r w:rsidR="00A6167E" w:rsidRPr="0091497C">
              <w:rPr>
                <w:rStyle w:val="Hyperlink"/>
                <w:noProof/>
                <w:rtl/>
              </w:rPr>
              <w:t xml:space="preserve"> </w:t>
            </w:r>
            <w:r w:rsidR="00A6167E" w:rsidRPr="0091497C">
              <w:rPr>
                <w:rStyle w:val="Hyperlink"/>
                <w:rFonts w:hint="eastAsia"/>
                <w:noProof/>
                <w:rtl/>
              </w:rPr>
              <w:t>ششم</w:t>
            </w:r>
            <w:r w:rsidR="00A6167E" w:rsidRPr="0091497C">
              <w:rPr>
                <w:rStyle w:val="Hyperlink"/>
                <w:noProof/>
                <w:rtl/>
              </w:rPr>
              <w:t xml:space="preserve">: </w:t>
            </w:r>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صور</w:t>
            </w:r>
            <w:r w:rsidR="00A6167E" w:rsidRPr="0091497C">
              <w:rPr>
                <w:rStyle w:val="Hyperlink"/>
                <w:noProof/>
                <w:rtl/>
              </w:rPr>
              <w:t xml:space="preserve"> </w:t>
            </w:r>
            <w:r w:rsidR="00A6167E" w:rsidRPr="0091497C">
              <w:rPr>
                <w:rStyle w:val="Hyperlink"/>
                <w:rFonts w:hint="eastAsia"/>
                <w:noProof/>
                <w:rtl/>
              </w:rPr>
              <w:t>تناف</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خطاب</w:t>
            </w:r>
            <w:r w:rsidR="00A6167E" w:rsidRPr="0091497C">
              <w:rPr>
                <w:rStyle w:val="Hyperlink"/>
                <w:noProof/>
                <w:rtl/>
              </w:rPr>
              <w:t xml:space="preserve"> </w:t>
            </w:r>
            <w:r w:rsidR="00A6167E" w:rsidRPr="0091497C">
              <w:rPr>
                <w:rStyle w:val="Hyperlink"/>
                <w:rFonts w:hint="eastAsia"/>
                <w:noProof/>
                <w:rtl/>
              </w:rPr>
              <w:t>مطلق</w:t>
            </w:r>
            <w:r w:rsidR="00A6167E" w:rsidRPr="0091497C">
              <w:rPr>
                <w:rStyle w:val="Hyperlink"/>
                <w:noProof/>
                <w:rtl/>
              </w:rPr>
              <w:t xml:space="preserve"> </w:t>
            </w:r>
            <w:r w:rsidR="00A6167E" w:rsidRPr="0091497C">
              <w:rPr>
                <w:rStyle w:val="Hyperlink"/>
                <w:rFonts w:hint="eastAsia"/>
                <w:noProof/>
                <w:rtl/>
              </w:rPr>
              <w:t>با</w:t>
            </w:r>
            <w:r w:rsidR="00A6167E" w:rsidRPr="0091497C">
              <w:rPr>
                <w:rStyle w:val="Hyperlink"/>
                <w:noProof/>
                <w:rtl/>
              </w:rPr>
              <w:t xml:space="preserve"> </w:t>
            </w:r>
            <w:r w:rsidR="00A6167E" w:rsidRPr="0091497C">
              <w:rPr>
                <w:rStyle w:val="Hyperlink"/>
                <w:rFonts w:hint="eastAsia"/>
                <w:noProof/>
                <w:rtl/>
              </w:rPr>
              <w:t>خطاب</w:t>
            </w:r>
            <w:r w:rsidR="00A6167E" w:rsidRPr="0091497C">
              <w:rPr>
                <w:rStyle w:val="Hyperlink"/>
                <w:noProof/>
                <w:rtl/>
              </w:rPr>
              <w:t xml:space="preserve"> </w:t>
            </w:r>
            <w:r w:rsidR="00A6167E" w:rsidRPr="0091497C">
              <w:rPr>
                <w:rStyle w:val="Hyperlink"/>
                <w:rFonts w:hint="eastAsia"/>
                <w:noProof/>
                <w:rtl/>
              </w:rPr>
              <w:t>مق</w:t>
            </w:r>
            <w:r w:rsidR="00A6167E" w:rsidRPr="0091497C">
              <w:rPr>
                <w:rStyle w:val="Hyperlink"/>
                <w:rFonts w:hint="cs"/>
                <w:noProof/>
                <w:rtl/>
              </w:rPr>
              <w:t>ی</w:t>
            </w:r>
            <w:r w:rsidR="00A6167E" w:rsidRPr="0091497C">
              <w:rPr>
                <w:rStyle w:val="Hyperlink"/>
                <w:rFonts w:hint="eastAsia"/>
                <w:noProof/>
                <w:rtl/>
              </w:rPr>
              <w:t>د</w:t>
            </w:r>
            <w:r w:rsidR="00A6167E">
              <w:rPr>
                <w:noProof/>
                <w:webHidden/>
              </w:rPr>
              <w:tab/>
            </w:r>
            <w:r w:rsidR="00A6167E">
              <w:rPr>
                <w:noProof/>
                <w:webHidden/>
              </w:rPr>
              <w:fldChar w:fldCharType="begin"/>
            </w:r>
            <w:r w:rsidR="00A6167E">
              <w:rPr>
                <w:noProof/>
                <w:webHidden/>
              </w:rPr>
              <w:instrText xml:space="preserve"> PAGEREF _Toc126308562 \h </w:instrText>
            </w:r>
            <w:r w:rsidR="00A6167E">
              <w:rPr>
                <w:noProof/>
                <w:webHidden/>
              </w:rPr>
            </w:r>
            <w:r w:rsidR="00A6167E">
              <w:rPr>
                <w:noProof/>
                <w:webHidden/>
              </w:rPr>
              <w:fldChar w:fldCharType="separate"/>
            </w:r>
            <w:r w:rsidR="00DF18E1">
              <w:rPr>
                <w:noProof/>
                <w:webHidden/>
                <w:rtl/>
              </w:rPr>
              <w:t>2</w:t>
            </w:r>
            <w:r w:rsidR="00A6167E">
              <w:rPr>
                <w:noProof/>
                <w:webHidden/>
              </w:rPr>
              <w:fldChar w:fldCharType="end"/>
            </w:r>
          </w:hyperlink>
        </w:p>
        <w:p w:rsidR="00A6167E" w:rsidRDefault="00513857" w:rsidP="000A5F03">
          <w:pPr>
            <w:pStyle w:val="TOC2"/>
            <w:tabs>
              <w:tab w:val="right" w:leader="dot" w:pos="9350"/>
            </w:tabs>
            <w:jc w:val="both"/>
            <w:rPr>
              <w:rFonts w:asciiTheme="minorHAnsi" w:eastAsiaTheme="minorEastAsia" w:hAnsiTheme="minorHAnsi" w:cstheme="minorBidi"/>
              <w:noProof/>
              <w:szCs w:val="22"/>
              <w:lang w:bidi="ar-SA"/>
            </w:rPr>
          </w:pPr>
          <w:hyperlink w:anchor="_Toc126308563" w:history="1">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آ</w:t>
            </w:r>
            <w:r w:rsidR="00A6167E" w:rsidRPr="0091497C">
              <w:rPr>
                <w:rStyle w:val="Hyperlink"/>
                <w:rFonts w:hint="cs"/>
                <w:noProof/>
                <w:rtl/>
              </w:rPr>
              <w:t>ی</w:t>
            </w:r>
            <w:r w:rsidR="00A6167E" w:rsidRPr="0091497C">
              <w:rPr>
                <w:rStyle w:val="Hyperlink"/>
                <w:rFonts w:hint="eastAsia"/>
                <w:noProof/>
                <w:rtl/>
              </w:rPr>
              <w:t>ت</w:t>
            </w:r>
            <w:r w:rsidR="00A6167E" w:rsidRPr="0091497C">
              <w:rPr>
                <w:rStyle w:val="Hyperlink"/>
                <w:noProof/>
                <w:rtl/>
              </w:rPr>
              <w:t xml:space="preserve"> </w:t>
            </w:r>
            <w:r w:rsidR="00A6167E" w:rsidRPr="0091497C">
              <w:rPr>
                <w:rStyle w:val="Hyperlink"/>
                <w:rFonts w:hint="eastAsia"/>
                <w:noProof/>
                <w:rtl/>
              </w:rPr>
              <w:t>الله</w:t>
            </w:r>
            <w:r w:rsidR="00A6167E" w:rsidRPr="0091497C">
              <w:rPr>
                <w:rStyle w:val="Hyperlink"/>
                <w:noProof/>
                <w:rtl/>
              </w:rPr>
              <w:t xml:space="preserve"> </w:t>
            </w:r>
            <w:r w:rsidR="00A6167E" w:rsidRPr="0091497C">
              <w:rPr>
                <w:rStyle w:val="Hyperlink"/>
                <w:rFonts w:hint="eastAsia"/>
                <w:noProof/>
                <w:rtl/>
              </w:rPr>
              <w:t>س</w:t>
            </w:r>
            <w:r w:rsidR="00A6167E" w:rsidRPr="0091497C">
              <w:rPr>
                <w:rStyle w:val="Hyperlink"/>
                <w:rFonts w:hint="cs"/>
                <w:noProof/>
                <w:rtl/>
              </w:rPr>
              <w:t>ی</w:t>
            </w:r>
            <w:r w:rsidR="00A6167E" w:rsidRPr="0091497C">
              <w:rPr>
                <w:rStyle w:val="Hyperlink"/>
                <w:rFonts w:hint="eastAsia"/>
                <w:noProof/>
                <w:rtl/>
              </w:rPr>
              <w:t>ستان</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حفظه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_Toc126308563 \h </w:instrText>
            </w:r>
            <w:r w:rsidR="00A6167E">
              <w:rPr>
                <w:noProof/>
                <w:webHidden/>
              </w:rPr>
            </w:r>
            <w:r w:rsidR="00A6167E">
              <w:rPr>
                <w:noProof/>
                <w:webHidden/>
              </w:rPr>
              <w:fldChar w:fldCharType="separate"/>
            </w:r>
            <w:r w:rsidR="00DF18E1">
              <w:rPr>
                <w:noProof/>
                <w:webHidden/>
                <w:rtl/>
              </w:rPr>
              <w:t>3</w:t>
            </w:r>
            <w:r w:rsidR="00A6167E">
              <w:rPr>
                <w:noProof/>
                <w:webHidden/>
              </w:rPr>
              <w:fldChar w:fldCharType="end"/>
            </w:r>
          </w:hyperlink>
        </w:p>
        <w:p w:rsidR="00A6167E" w:rsidRDefault="00513857" w:rsidP="000A5F03">
          <w:pPr>
            <w:pStyle w:val="TOC3"/>
            <w:tabs>
              <w:tab w:val="right" w:leader="dot" w:pos="9350"/>
            </w:tabs>
            <w:jc w:val="both"/>
            <w:rPr>
              <w:rFonts w:asciiTheme="minorHAnsi" w:eastAsiaTheme="minorEastAsia" w:hAnsiTheme="minorHAnsi" w:cstheme="minorBidi"/>
              <w:noProof/>
              <w:szCs w:val="22"/>
              <w:lang w:bidi="ar-SA"/>
            </w:rPr>
          </w:pPr>
          <w:hyperlink w:anchor="_Toc126308564" w:history="1">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آ</w:t>
            </w:r>
            <w:r w:rsidR="00A6167E" w:rsidRPr="0091497C">
              <w:rPr>
                <w:rStyle w:val="Hyperlink"/>
                <w:rFonts w:hint="cs"/>
                <w:noProof/>
                <w:rtl/>
              </w:rPr>
              <w:t>ی</w:t>
            </w:r>
            <w:r w:rsidR="00A6167E" w:rsidRPr="0091497C">
              <w:rPr>
                <w:rStyle w:val="Hyperlink"/>
                <w:rFonts w:hint="eastAsia"/>
                <w:noProof/>
                <w:rtl/>
              </w:rPr>
              <w:t>ت</w:t>
            </w:r>
            <w:r w:rsidR="00A6167E" w:rsidRPr="0091497C">
              <w:rPr>
                <w:rStyle w:val="Hyperlink"/>
                <w:noProof/>
                <w:rtl/>
              </w:rPr>
              <w:t xml:space="preserve"> </w:t>
            </w:r>
            <w:r w:rsidR="00A6167E" w:rsidRPr="0091497C">
              <w:rPr>
                <w:rStyle w:val="Hyperlink"/>
                <w:rFonts w:hint="eastAsia"/>
                <w:noProof/>
                <w:rtl/>
              </w:rPr>
              <w:t>الله</w:t>
            </w:r>
            <w:r w:rsidR="00A6167E" w:rsidRPr="0091497C">
              <w:rPr>
                <w:rStyle w:val="Hyperlink"/>
                <w:noProof/>
                <w:rtl/>
              </w:rPr>
              <w:t xml:space="preserve"> </w:t>
            </w:r>
            <w:r w:rsidR="00A6167E" w:rsidRPr="0091497C">
              <w:rPr>
                <w:rStyle w:val="Hyperlink"/>
                <w:rFonts w:hint="eastAsia"/>
                <w:noProof/>
                <w:rtl/>
              </w:rPr>
              <w:t>س</w:t>
            </w:r>
            <w:r w:rsidR="00A6167E" w:rsidRPr="0091497C">
              <w:rPr>
                <w:rStyle w:val="Hyperlink"/>
                <w:rFonts w:hint="cs"/>
                <w:noProof/>
                <w:rtl/>
              </w:rPr>
              <w:t>ی</w:t>
            </w:r>
            <w:r w:rsidR="00A6167E" w:rsidRPr="0091497C">
              <w:rPr>
                <w:rStyle w:val="Hyperlink"/>
                <w:rFonts w:hint="eastAsia"/>
                <w:noProof/>
                <w:rtl/>
              </w:rPr>
              <w:t>ستان</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حفظه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_Toc126308564 \h </w:instrText>
            </w:r>
            <w:r w:rsidR="00A6167E">
              <w:rPr>
                <w:noProof/>
                <w:webHidden/>
              </w:rPr>
            </w:r>
            <w:r w:rsidR="00A6167E">
              <w:rPr>
                <w:noProof/>
                <w:webHidden/>
              </w:rPr>
              <w:fldChar w:fldCharType="separate"/>
            </w:r>
            <w:r w:rsidR="00DF18E1">
              <w:rPr>
                <w:noProof/>
                <w:webHidden/>
                <w:rtl/>
              </w:rPr>
              <w:t>4</w:t>
            </w:r>
            <w:r w:rsidR="00A6167E">
              <w:rPr>
                <w:noProof/>
                <w:webHidden/>
              </w:rPr>
              <w:fldChar w:fldCharType="end"/>
            </w:r>
          </w:hyperlink>
        </w:p>
        <w:p w:rsidR="00A6167E" w:rsidRDefault="00513857" w:rsidP="000A5F03">
          <w:pPr>
            <w:pStyle w:val="TOC3"/>
            <w:tabs>
              <w:tab w:val="right" w:leader="dot" w:pos="9350"/>
            </w:tabs>
            <w:jc w:val="both"/>
            <w:rPr>
              <w:rFonts w:asciiTheme="minorHAnsi" w:eastAsiaTheme="minorEastAsia" w:hAnsiTheme="minorHAnsi" w:cstheme="minorBidi"/>
              <w:noProof/>
              <w:szCs w:val="22"/>
              <w:lang w:bidi="ar-SA"/>
            </w:rPr>
          </w:pPr>
          <w:hyperlink w:anchor="_Toc126308565" w:history="1">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شه</w:t>
            </w:r>
            <w:r w:rsidR="00A6167E" w:rsidRPr="0091497C">
              <w:rPr>
                <w:rStyle w:val="Hyperlink"/>
                <w:rFonts w:hint="cs"/>
                <w:noProof/>
                <w:rtl/>
              </w:rPr>
              <w:t>ی</w:t>
            </w:r>
            <w:r w:rsidR="00A6167E" w:rsidRPr="0091497C">
              <w:rPr>
                <w:rStyle w:val="Hyperlink"/>
                <w:rFonts w:hint="eastAsia"/>
                <w:noProof/>
                <w:rtl/>
              </w:rPr>
              <w:t>د</w:t>
            </w:r>
            <w:r w:rsidR="00A6167E" w:rsidRPr="0091497C">
              <w:rPr>
                <w:rStyle w:val="Hyperlink"/>
                <w:noProof/>
                <w:rtl/>
              </w:rPr>
              <w:t xml:space="preserve"> </w:t>
            </w:r>
            <w:r w:rsidR="00A6167E" w:rsidRPr="0091497C">
              <w:rPr>
                <w:rStyle w:val="Hyperlink"/>
                <w:rFonts w:hint="eastAsia"/>
                <w:noProof/>
                <w:rtl/>
              </w:rPr>
              <w:t>صدر</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_Toc126308565 \h </w:instrText>
            </w:r>
            <w:r w:rsidR="00A6167E">
              <w:rPr>
                <w:noProof/>
                <w:webHidden/>
              </w:rPr>
            </w:r>
            <w:r w:rsidR="00A6167E">
              <w:rPr>
                <w:noProof/>
                <w:webHidden/>
              </w:rPr>
              <w:fldChar w:fldCharType="separate"/>
            </w:r>
            <w:r w:rsidR="00DF18E1">
              <w:rPr>
                <w:noProof/>
                <w:webHidden/>
                <w:rtl/>
              </w:rPr>
              <w:t>6</w:t>
            </w:r>
            <w:r w:rsidR="00A6167E">
              <w:rPr>
                <w:noProof/>
                <w:webHidden/>
              </w:rPr>
              <w:fldChar w:fldCharType="end"/>
            </w:r>
          </w:hyperlink>
        </w:p>
        <w:p w:rsidR="00A6167E" w:rsidRDefault="00513857" w:rsidP="000A5F03">
          <w:pPr>
            <w:pStyle w:val="TOC3"/>
            <w:tabs>
              <w:tab w:val="right" w:leader="dot" w:pos="9350"/>
            </w:tabs>
            <w:jc w:val="both"/>
            <w:rPr>
              <w:rFonts w:asciiTheme="minorHAnsi" w:eastAsiaTheme="minorEastAsia" w:hAnsiTheme="minorHAnsi" w:cstheme="minorBidi"/>
              <w:noProof/>
              <w:szCs w:val="22"/>
              <w:lang w:bidi="ar-SA"/>
            </w:rPr>
          </w:pPr>
          <w:hyperlink w:anchor="_Toc126308566" w:history="1">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شه</w:t>
            </w:r>
            <w:r w:rsidR="00A6167E" w:rsidRPr="0091497C">
              <w:rPr>
                <w:rStyle w:val="Hyperlink"/>
                <w:rFonts w:hint="cs"/>
                <w:noProof/>
                <w:rtl/>
              </w:rPr>
              <w:t>ی</w:t>
            </w:r>
            <w:r w:rsidR="00A6167E" w:rsidRPr="0091497C">
              <w:rPr>
                <w:rStyle w:val="Hyperlink"/>
                <w:rFonts w:hint="eastAsia"/>
                <w:noProof/>
                <w:rtl/>
              </w:rPr>
              <w:t>د</w:t>
            </w:r>
            <w:r w:rsidR="00A6167E" w:rsidRPr="0091497C">
              <w:rPr>
                <w:rStyle w:val="Hyperlink"/>
                <w:noProof/>
                <w:rtl/>
              </w:rPr>
              <w:t xml:space="preserve"> </w:t>
            </w:r>
            <w:r w:rsidR="00A6167E" w:rsidRPr="0091497C">
              <w:rPr>
                <w:rStyle w:val="Hyperlink"/>
                <w:rFonts w:hint="eastAsia"/>
                <w:noProof/>
                <w:rtl/>
              </w:rPr>
              <w:t>صدر</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_Toc126308566 \h </w:instrText>
            </w:r>
            <w:r w:rsidR="00A6167E">
              <w:rPr>
                <w:noProof/>
                <w:webHidden/>
              </w:rPr>
            </w:r>
            <w:r w:rsidR="00A6167E">
              <w:rPr>
                <w:noProof/>
                <w:webHidden/>
              </w:rPr>
              <w:fldChar w:fldCharType="separate"/>
            </w:r>
            <w:r w:rsidR="00DF18E1">
              <w:rPr>
                <w:noProof/>
                <w:webHidden/>
                <w:rtl/>
              </w:rPr>
              <w:t>6</w:t>
            </w:r>
            <w:r w:rsidR="00A6167E">
              <w:rPr>
                <w:noProof/>
                <w:webHidden/>
              </w:rPr>
              <w:fldChar w:fldCharType="end"/>
            </w:r>
          </w:hyperlink>
        </w:p>
        <w:p w:rsidR="00A6167E" w:rsidRDefault="00513857" w:rsidP="000A5F03">
          <w:pPr>
            <w:pStyle w:val="TOC2"/>
            <w:tabs>
              <w:tab w:val="right" w:leader="dot" w:pos="9350"/>
            </w:tabs>
            <w:jc w:val="both"/>
            <w:rPr>
              <w:rFonts w:asciiTheme="minorHAnsi" w:eastAsiaTheme="minorEastAsia" w:hAnsiTheme="minorHAnsi" w:cstheme="minorBidi"/>
              <w:noProof/>
              <w:szCs w:val="22"/>
              <w:lang w:bidi="ar-SA"/>
            </w:rPr>
          </w:pPr>
          <w:hyperlink w:anchor="_Toc126308567" w:history="1">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محقق</w:t>
            </w:r>
            <w:r w:rsidR="00A6167E" w:rsidRPr="0091497C">
              <w:rPr>
                <w:rStyle w:val="Hyperlink"/>
                <w:noProof/>
                <w:rtl/>
              </w:rPr>
              <w:t xml:space="preserve"> </w:t>
            </w:r>
            <w:r w:rsidR="00A6167E" w:rsidRPr="0091497C">
              <w:rPr>
                <w:rStyle w:val="Hyperlink"/>
                <w:rFonts w:hint="eastAsia"/>
                <w:noProof/>
                <w:rtl/>
              </w:rPr>
              <w:t>خو</w:t>
            </w:r>
            <w:r w:rsidR="00A6167E" w:rsidRPr="0091497C">
              <w:rPr>
                <w:rStyle w:val="Hyperlink"/>
                <w:rFonts w:hint="cs"/>
                <w:noProof/>
                <w:rtl/>
              </w:rPr>
              <w:t>یی</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_Toc126308567 \h </w:instrText>
            </w:r>
            <w:r w:rsidR="00A6167E">
              <w:rPr>
                <w:noProof/>
                <w:webHidden/>
              </w:rPr>
            </w:r>
            <w:r w:rsidR="00A6167E">
              <w:rPr>
                <w:noProof/>
                <w:webHidden/>
              </w:rPr>
              <w:fldChar w:fldCharType="separate"/>
            </w:r>
            <w:r w:rsidR="00DF18E1">
              <w:rPr>
                <w:noProof/>
                <w:webHidden/>
                <w:rtl/>
              </w:rPr>
              <w:t>7</w:t>
            </w:r>
            <w:r w:rsidR="00A6167E">
              <w:rPr>
                <w:noProof/>
                <w:webHidden/>
              </w:rPr>
              <w:fldChar w:fldCharType="end"/>
            </w:r>
          </w:hyperlink>
        </w:p>
        <w:p w:rsidR="00A6167E" w:rsidRDefault="00513857" w:rsidP="000A5F03">
          <w:pPr>
            <w:pStyle w:val="TOC3"/>
            <w:tabs>
              <w:tab w:val="right" w:leader="dot" w:pos="9350"/>
            </w:tabs>
            <w:jc w:val="both"/>
            <w:rPr>
              <w:rFonts w:asciiTheme="minorHAnsi" w:eastAsiaTheme="minorEastAsia" w:hAnsiTheme="minorHAnsi" w:cstheme="minorBidi"/>
              <w:noProof/>
              <w:szCs w:val="22"/>
              <w:lang w:bidi="ar-SA"/>
            </w:rPr>
          </w:pPr>
          <w:hyperlink w:anchor="_Toc126308568" w:history="1">
            <w:r w:rsidR="00A6167E" w:rsidRPr="0091497C">
              <w:rPr>
                <w:rStyle w:val="Hyperlink"/>
                <w:rFonts w:hint="eastAsia"/>
                <w:noProof/>
                <w:rtl/>
              </w:rPr>
              <w:t>بررس</w:t>
            </w:r>
            <w:r w:rsidR="00A6167E" w:rsidRPr="0091497C">
              <w:rPr>
                <w:rStyle w:val="Hyperlink"/>
                <w:rFonts w:hint="cs"/>
                <w:noProof/>
                <w:rtl/>
              </w:rPr>
              <w:t>ی</w:t>
            </w:r>
            <w:r w:rsidR="00A6167E" w:rsidRPr="0091497C">
              <w:rPr>
                <w:rStyle w:val="Hyperlink"/>
                <w:noProof/>
                <w:rtl/>
              </w:rPr>
              <w:t xml:space="preserve"> </w:t>
            </w:r>
            <w:r w:rsidR="00A6167E" w:rsidRPr="0091497C">
              <w:rPr>
                <w:rStyle w:val="Hyperlink"/>
                <w:rFonts w:hint="eastAsia"/>
                <w:noProof/>
                <w:rtl/>
              </w:rPr>
              <w:t>کلام</w:t>
            </w:r>
            <w:r w:rsidR="00A6167E" w:rsidRPr="0091497C">
              <w:rPr>
                <w:rStyle w:val="Hyperlink"/>
                <w:noProof/>
                <w:rtl/>
              </w:rPr>
              <w:t xml:space="preserve"> </w:t>
            </w:r>
            <w:r w:rsidR="00A6167E" w:rsidRPr="0091497C">
              <w:rPr>
                <w:rStyle w:val="Hyperlink"/>
                <w:rFonts w:hint="eastAsia"/>
                <w:noProof/>
                <w:rtl/>
              </w:rPr>
              <w:t>محقق</w:t>
            </w:r>
            <w:r w:rsidR="00A6167E" w:rsidRPr="0091497C">
              <w:rPr>
                <w:rStyle w:val="Hyperlink"/>
                <w:noProof/>
                <w:rtl/>
              </w:rPr>
              <w:t xml:space="preserve"> </w:t>
            </w:r>
            <w:r w:rsidR="00A6167E" w:rsidRPr="0091497C">
              <w:rPr>
                <w:rStyle w:val="Hyperlink"/>
                <w:rFonts w:hint="eastAsia"/>
                <w:noProof/>
                <w:rtl/>
              </w:rPr>
              <w:t>خو</w:t>
            </w:r>
            <w:r w:rsidR="00A6167E" w:rsidRPr="0091497C">
              <w:rPr>
                <w:rStyle w:val="Hyperlink"/>
                <w:rFonts w:hint="cs"/>
                <w:noProof/>
                <w:rtl/>
              </w:rPr>
              <w:t>یی</w:t>
            </w:r>
            <w:r w:rsidR="00A6167E" w:rsidRPr="0091497C">
              <w:rPr>
                <w:rStyle w:val="Hyperlink"/>
                <w:noProof/>
                <w:rtl/>
              </w:rPr>
              <w:t xml:space="preserve"> </w:t>
            </w:r>
            <w:r w:rsidR="00A6167E" w:rsidRPr="0091497C">
              <w:rPr>
                <w:rStyle w:val="Hyperlink"/>
                <w:rFonts w:hint="eastAsia"/>
                <w:noProof/>
                <w:rtl/>
              </w:rPr>
              <w:t>رحمه</w:t>
            </w:r>
            <w:r w:rsidR="00A6167E" w:rsidRPr="0091497C">
              <w:rPr>
                <w:rStyle w:val="Hyperlink"/>
                <w:noProof/>
                <w:rtl/>
              </w:rPr>
              <w:t xml:space="preserve"> </w:t>
            </w:r>
            <w:r w:rsidR="00A6167E" w:rsidRPr="0091497C">
              <w:rPr>
                <w:rStyle w:val="Hyperlink"/>
                <w:rFonts w:hint="eastAsia"/>
                <w:noProof/>
                <w:rtl/>
              </w:rPr>
              <w:t>الله</w:t>
            </w:r>
            <w:r w:rsidR="00A6167E">
              <w:rPr>
                <w:noProof/>
                <w:webHidden/>
              </w:rPr>
              <w:tab/>
            </w:r>
            <w:r w:rsidR="00A6167E">
              <w:rPr>
                <w:noProof/>
                <w:webHidden/>
              </w:rPr>
              <w:fldChar w:fldCharType="begin"/>
            </w:r>
            <w:r w:rsidR="00A6167E">
              <w:rPr>
                <w:noProof/>
                <w:webHidden/>
              </w:rPr>
              <w:instrText xml:space="preserve"> PAGEREF _Toc126308568 \h </w:instrText>
            </w:r>
            <w:r w:rsidR="00A6167E">
              <w:rPr>
                <w:noProof/>
                <w:webHidden/>
              </w:rPr>
            </w:r>
            <w:r w:rsidR="00A6167E">
              <w:rPr>
                <w:noProof/>
                <w:webHidden/>
              </w:rPr>
              <w:fldChar w:fldCharType="separate"/>
            </w:r>
            <w:r w:rsidR="00DF18E1">
              <w:rPr>
                <w:noProof/>
                <w:webHidden/>
                <w:rtl/>
              </w:rPr>
              <w:t>7</w:t>
            </w:r>
            <w:r w:rsidR="00A6167E">
              <w:rPr>
                <w:noProof/>
                <w:webHidden/>
              </w:rPr>
              <w:fldChar w:fldCharType="end"/>
            </w:r>
          </w:hyperlink>
        </w:p>
        <w:p w:rsidR="00A6167E" w:rsidRDefault="00A6167E" w:rsidP="000A5F03">
          <w:pPr>
            <w:jc w:val="both"/>
            <w:rPr>
              <w:rtl/>
            </w:rPr>
          </w:pPr>
          <w:r>
            <w:rPr>
              <w:b/>
              <w:bCs/>
              <w:noProof/>
            </w:rPr>
            <w:fldChar w:fldCharType="end"/>
          </w:r>
        </w:p>
      </w:sdtContent>
    </w:sdt>
    <w:p w:rsidR="00732245" w:rsidRDefault="00732245" w:rsidP="000A5F03">
      <w:pPr>
        <w:pStyle w:val="Heading1"/>
        <w:jc w:val="both"/>
      </w:pPr>
      <w:bookmarkStart w:id="72" w:name="_Toc126308559"/>
      <w:r>
        <w:rPr>
          <w:rFonts w:hint="cs"/>
          <w:rtl/>
        </w:rPr>
        <w:t>تنبیهات</w:t>
      </w:r>
      <w:bookmarkEnd w:id="72"/>
      <w:r>
        <w:rPr>
          <w:rFonts w:hint="cs"/>
          <w:rtl/>
        </w:rPr>
        <w:t xml:space="preserve"> </w:t>
      </w:r>
    </w:p>
    <w:p w:rsidR="000F77D7" w:rsidRPr="000F77D7" w:rsidRDefault="000F77D7" w:rsidP="000A5F03">
      <w:pPr>
        <w:pStyle w:val="Heading2"/>
        <w:jc w:val="both"/>
        <w:rPr>
          <w:rtl/>
        </w:rPr>
      </w:pPr>
      <w:bookmarkStart w:id="73" w:name="_Toc126308560"/>
      <w:r>
        <w:rPr>
          <w:rFonts w:hint="cs"/>
          <w:rtl/>
        </w:rPr>
        <w:t>بررسی مختار شهید صدر رحمه الله در مانعیت بیان عام از جریان مقدمات حکمت</w:t>
      </w:r>
      <w:bookmarkEnd w:id="73"/>
    </w:p>
    <w:p w:rsidR="00732245" w:rsidRDefault="00732245" w:rsidP="000A5F03">
      <w:pPr>
        <w:jc w:val="both"/>
        <w:rPr>
          <w:rtl/>
        </w:rPr>
      </w:pPr>
      <w:r>
        <w:rPr>
          <w:rFonts w:hint="cs"/>
          <w:rtl/>
        </w:rPr>
        <w:t>ما در جلسه قبل گفتیم: شهید صدر رحمه الله در مواردی که عام و مطلق در یک کلام در کنار هم قرار گیرند، به نحوی که نسبت آن دو عموم و خصوص من وجه باشد، مثل: «اکرم کل عالم و لاتکرم الفاسق» خطاب عام مانع از انعقاد مقدمات حکمت در مطلق می شود ولی ظهور خطاب عام در عموم منعقد می‌شود و ظهور عام نسبت به مورد اجتماع که عالم فاسق است، محکّم و حجت است.</w:t>
      </w:r>
    </w:p>
    <w:p w:rsidR="00732245" w:rsidRDefault="00732245" w:rsidP="000A5F03">
      <w:pPr>
        <w:pStyle w:val="NoSpacing"/>
        <w:jc w:val="both"/>
        <w:rPr>
          <w:rtl/>
        </w:rPr>
      </w:pPr>
      <w:r>
        <w:rPr>
          <w:rFonts w:hint="cs"/>
          <w:rtl/>
        </w:rPr>
        <w:t xml:space="preserve">این </w:t>
      </w:r>
      <w:r w:rsidRPr="000F77D7">
        <w:rPr>
          <w:rStyle w:val="FootnoteTextChar"/>
          <w:rFonts w:hint="cs"/>
          <w:sz w:val="28"/>
          <w:szCs w:val="28"/>
          <w:rtl/>
        </w:rPr>
        <w:t>مطلب را به لحاظ مجموع کلمات ایشان، به ایشان نسبت دادیم، و در حلقه ثالثه -که آخرین کتابی است که در اصول نوشتند- به صورت صریح فرموده‌اند: « إذا تعارض اطلاق شمولي و آخر بدلي بالعموم من وجه، فان كان أحد الدليلين دالّا على الاطلاق بالوضع و الأداة، و الآخر بقرينة الحكمة، قدّم ما كان بالوضع، سواء اتصل بالاطلاق الآخر او انفصل عنه. أمّا في حالة الاتصال فلانه بيان للقيد، فلا يسمح لقرينة الحكمة بالجريان و تكوين الاطلاق. و أما في حالة الانفصال فللأظهريّة و القرينية</w:t>
      </w:r>
      <w:r>
        <w:rPr>
          <w:rFonts w:ascii="Traditional Arabic" w:cs="Traditional Arabic" w:hint="cs"/>
          <w:color w:val="000000"/>
          <w:sz w:val="30"/>
          <w:szCs w:val="30"/>
          <w:rtl/>
        </w:rPr>
        <w:t>.</w:t>
      </w:r>
      <w:r>
        <w:rPr>
          <w:rFonts w:hint="cs"/>
          <w:rtl/>
        </w:rPr>
        <w:t>»</w:t>
      </w:r>
      <w:r>
        <w:rPr>
          <w:rStyle w:val="FootnoteReference"/>
          <w:rtl/>
        </w:rPr>
        <w:footnoteReference w:id="1"/>
      </w:r>
      <w:r>
        <w:rPr>
          <w:rFonts w:hint="cs"/>
          <w:rtl/>
        </w:rPr>
        <w:t xml:space="preserve"> </w:t>
      </w:r>
    </w:p>
    <w:p w:rsidR="002649C7" w:rsidRDefault="00732245" w:rsidP="000A5F03">
      <w:pPr>
        <w:pStyle w:val="NoSpacing"/>
        <w:jc w:val="both"/>
        <w:rPr>
          <w:rtl/>
        </w:rPr>
      </w:pPr>
      <w:r>
        <w:rPr>
          <w:rFonts w:hint="cs"/>
          <w:rtl/>
        </w:rPr>
        <w:t xml:space="preserve">اما </w:t>
      </w:r>
      <w:r w:rsidR="000B6732">
        <w:rPr>
          <w:rFonts w:hint="cs"/>
          <w:rtl/>
        </w:rPr>
        <w:t xml:space="preserve">در متن بحوث به صورت تردید آن را بیان کردند بلکه با «قد یقال» مانعیت عام از جریان مقدمات حکمت را نفی کردند، و مرحوم شاهرودی رحمه الله در درس نامه علم اصول همین «قد یقال» را تقویت کردند که مفاد آن این است که خطاب عام ولو متصل به مطلق باشد مانع از جریان مقدمات حکمت در مطلق نمی‌شود چون ظهور حالی متکلم این است که اگر مرادش مقید است، آن را به نحو تقیید بیان می‌کند مثل «لاتکرم الجاهل الفاسق» نه این که آن را به نحو مطلق «لاتکرم الفاسق» بیان کند و برای بیان قید </w:t>
      </w:r>
      <w:r w:rsidR="000B6732">
        <w:rPr>
          <w:rFonts w:hint="cs"/>
          <w:rtl/>
        </w:rPr>
        <w:lastRenderedPageBreak/>
        <w:t xml:space="preserve">اکتفاء به یک بیان عام کند مثل: «اکرم کل عالم» </w:t>
      </w:r>
      <w:r w:rsidR="002649C7">
        <w:rPr>
          <w:rFonts w:hint="cs"/>
          <w:rtl/>
        </w:rPr>
        <w:t xml:space="preserve">و با این خطاب عام بفهماند که مرادش از «لاتکرم الفاسق» «لاتکرم الجاهل الفاسق» است. </w:t>
      </w:r>
    </w:p>
    <w:p w:rsidR="00732245" w:rsidRDefault="000B6732" w:rsidP="000A5F03">
      <w:pPr>
        <w:pStyle w:val="NoSpacing"/>
        <w:jc w:val="both"/>
        <w:rPr>
          <w:rtl/>
        </w:rPr>
      </w:pPr>
      <w:r>
        <w:rPr>
          <w:rFonts w:hint="cs"/>
          <w:rtl/>
        </w:rPr>
        <w:t xml:space="preserve">در بحوث </w:t>
      </w:r>
      <w:r>
        <w:rPr>
          <w:rFonts w:ascii="Times New Roman" w:hAnsi="Times New Roman" w:cs="Times New Roman" w:hint="cs"/>
          <w:rtl/>
        </w:rPr>
        <w:t>–</w:t>
      </w:r>
      <w:r>
        <w:rPr>
          <w:rFonts w:hint="cs"/>
          <w:rtl/>
        </w:rPr>
        <w:t>نه در بحوث به تقریر عبدالساتر</w:t>
      </w:r>
      <w:r w:rsidR="002649C7">
        <w:rPr>
          <w:rStyle w:val="FootnoteReference"/>
          <w:rtl/>
        </w:rPr>
        <w:footnoteReference w:id="2"/>
      </w:r>
      <w:r>
        <w:rPr>
          <w:rFonts w:hint="cs"/>
          <w:rtl/>
        </w:rPr>
        <w:t xml:space="preserve"> و نه در بحوث به تقریر مرحوم شاهرودی</w:t>
      </w:r>
      <w:r w:rsidR="002649C7">
        <w:rPr>
          <w:rStyle w:val="FootnoteReference"/>
          <w:rtl/>
        </w:rPr>
        <w:footnoteReference w:id="3"/>
      </w:r>
      <w:r>
        <w:rPr>
          <w:rFonts w:hint="cs"/>
          <w:rtl/>
        </w:rPr>
        <w:t xml:space="preserve"> رحمه الله- نگفتند: این «قد یقال» نظر مختار ما است. ولی در درس نامه این نظر را اختیار کردند.   </w:t>
      </w:r>
    </w:p>
    <w:p w:rsidR="006035A0" w:rsidRDefault="006035A0" w:rsidP="000A5F03">
      <w:pPr>
        <w:pStyle w:val="NoSpacing"/>
        <w:jc w:val="both"/>
        <w:rPr>
          <w:rtl/>
        </w:rPr>
      </w:pPr>
      <w:r>
        <w:rPr>
          <w:rFonts w:hint="cs"/>
          <w:rtl/>
        </w:rPr>
        <w:t xml:space="preserve">و این که شهید صدر رحمه الله در موارد مختلف عام را بر مطلق مقدم می‌کند موید این است که مختار ایشان همان عبارت حلقه ثالثه است. </w:t>
      </w:r>
    </w:p>
    <w:p w:rsidR="002649C7" w:rsidRDefault="002649C7" w:rsidP="000A5F03">
      <w:pPr>
        <w:pStyle w:val="Heading2"/>
        <w:jc w:val="both"/>
        <w:rPr>
          <w:rtl/>
        </w:rPr>
      </w:pPr>
      <w:bookmarkStart w:id="74" w:name="_Toc126308561"/>
      <w:r>
        <w:rPr>
          <w:rFonts w:hint="cs"/>
          <w:rtl/>
        </w:rPr>
        <w:t>بررسی کلام شهید صدر رحمه الله</w:t>
      </w:r>
      <w:bookmarkEnd w:id="74"/>
    </w:p>
    <w:p w:rsidR="002649C7" w:rsidRDefault="002649C7" w:rsidP="000A5F03">
      <w:pPr>
        <w:pStyle w:val="NoSpacing"/>
        <w:jc w:val="both"/>
        <w:rPr>
          <w:rtl/>
        </w:rPr>
      </w:pPr>
      <w:r>
        <w:rPr>
          <w:rFonts w:hint="cs"/>
          <w:rtl/>
        </w:rPr>
        <w:t xml:space="preserve">به نظر ما کلام ایشان در حلقه ثالثه صحیح است و ظهور حال متکلم این نیست که اگر مرادش «لاتکرم الجاهل الفاسق» است حتما آن را باید به نحو مقید بیان کند، بلکه می‌تواند قید را به لسان «اکرم کل عالم» بیان کند، و هیچ محذوری ندارد، لذا عام مانع از انعقاد مقدمات حکمت در مطلق متصل به آن است. </w:t>
      </w:r>
    </w:p>
    <w:p w:rsidR="002649C7" w:rsidRDefault="002649C7" w:rsidP="000A5F03">
      <w:pPr>
        <w:pStyle w:val="NoSpacing"/>
        <w:jc w:val="both"/>
        <w:rPr>
          <w:rtl/>
        </w:rPr>
      </w:pPr>
      <w:r>
        <w:rPr>
          <w:rFonts w:hint="cs"/>
          <w:rtl/>
        </w:rPr>
        <w:t>البته وجود «لاتکرم الفاسق» نیز مانع از انعقاد ظهور</w:t>
      </w:r>
      <w:r w:rsidR="009A2A2B">
        <w:rPr>
          <w:rFonts w:hint="cs"/>
          <w:rtl/>
        </w:rPr>
        <w:t xml:space="preserve"> </w:t>
      </w:r>
      <w:r>
        <w:rPr>
          <w:rFonts w:hint="cs"/>
          <w:rtl/>
        </w:rPr>
        <w:t xml:space="preserve">تصدیقی خطاب عام در عموم است و لذا نسبت به عالم فاسق این خطاب مجمل است.   </w:t>
      </w:r>
    </w:p>
    <w:p w:rsidR="002649C7" w:rsidRDefault="006035A0" w:rsidP="000A5F03">
      <w:pPr>
        <w:pStyle w:val="Heading2"/>
        <w:jc w:val="both"/>
        <w:rPr>
          <w:rtl/>
        </w:rPr>
      </w:pPr>
      <w:bookmarkStart w:id="75" w:name="_Toc126308562"/>
      <w:r>
        <w:rPr>
          <w:rFonts w:hint="cs"/>
          <w:rtl/>
        </w:rPr>
        <w:t xml:space="preserve">تنبیه ششم: </w:t>
      </w:r>
      <w:r w:rsidR="00536D86">
        <w:rPr>
          <w:rFonts w:hint="cs"/>
          <w:rtl/>
        </w:rPr>
        <w:t>بررسی صور تنافی خطاب مطلق با خطاب مقید</w:t>
      </w:r>
      <w:bookmarkEnd w:id="75"/>
    </w:p>
    <w:p w:rsidR="006035A0" w:rsidRDefault="00536D86" w:rsidP="000A5F03">
      <w:pPr>
        <w:jc w:val="both"/>
        <w:rPr>
          <w:rtl/>
        </w:rPr>
      </w:pPr>
      <w:r>
        <w:rPr>
          <w:rFonts w:hint="cs"/>
          <w:rtl/>
        </w:rPr>
        <w:t>بحث در حمل خطاب مطلق بر خطاب مقید است.</w:t>
      </w:r>
    </w:p>
    <w:p w:rsidR="00536D86" w:rsidRDefault="006035A0" w:rsidP="000A5F03">
      <w:pPr>
        <w:jc w:val="both"/>
        <w:rPr>
          <w:rtl/>
        </w:rPr>
      </w:pPr>
      <w:r>
        <w:rPr>
          <w:rFonts w:hint="cs"/>
          <w:rtl/>
        </w:rPr>
        <w:t xml:space="preserve">این مسأله دارای صور مختلفی است: </w:t>
      </w:r>
    </w:p>
    <w:p w:rsidR="00536D86" w:rsidRDefault="006035A0" w:rsidP="00CA2575">
      <w:pPr>
        <w:pStyle w:val="Heading2"/>
        <w:rPr>
          <w:rtl/>
        </w:rPr>
      </w:pPr>
      <w:r>
        <w:rPr>
          <w:rFonts w:hint="cs"/>
          <w:rtl/>
        </w:rPr>
        <w:t>صورت اول:</w:t>
      </w:r>
      <w:r w:rsidR="00CA2575">
        <w:rPr>
          <w:rFonts w:hint="cs"/>
          <w:rtl/>
        </w:rPr>
        <w:t xml:space="preserve"> اختلاف</w:t>
      </w:r>
      <w:r>
        <w:rPr>
          <w:rFonts w:hint="cs"/>
          <w:rtl/>
        </w:rPr>
        <w:t xml:space="preserve"> مطلق و مقید </w:t>
      </w:r>
      <w:r w:rsidR="00CA2575">
        <w:rPr>
          <w:rFonts w:hint="cs"/>
          <w:rtl/>
        </w:rPr>
        <w:t>به لحاظ نفی و اثبات</w:t>
      </w:r>
    </w:p>
    <w:p w:rsidR="00536D86" w:rsidRDefault="00536D86" w:rsidP="000A5F03">
      <w:pPr>
        <w:jc w:val="both"/>
        <w:rPr>
          <w:rtl/>
        </w:rPr>
      </w:pPr>
      <w:r>
        <w:rPr>
          <w:rFonts w:hint="cs"/>
          <w:rtl/>
        </w:rPr>
        <w:t>این صورت دارای دو قسم است:</w:t>
      </w:r>
    </w:p>
    <w:p w:rsidR="00536D86" w:rsidRDefault="00536D86" w:rsidP="000A5F03">
      <w:pPr>
        <w:jc w:val="both"/>
        <w:rPr>
          <w:rtl/>
        </w:rPr>
      </w:pPr>
      <w:r>
        <w:rPr>
          <w:rFonts w:hint="cs"/>
          <w:rtl/>
        </w:rPr>
        <w:t>قسم اول: خطاب مطلق، شمولی باشد.</w:t>
      </w:r>
    </w:p>
    <w:p w:rsidR="00536D86" w:rsidRDefault="00536D86" w:rsidP="000A5F03">
      <w:pPr>
        <w:jc w:val="both"/>
        <w:rPr>
          <w:rtl/>
        </w:rPr>
      </w:pPr>
      <w:r>
        <w:rPr>
          <w:rFonts w:hint="cs"/>
          <w:rtl/>
        </w:rPr>
        <w:t>این قسم نیز دارای دو حالت است:</w:t>
      </w:r>
    </w:p>
    <w:p w:rsidR="006035A0" w:rsidRDefault="00536D86" w:rsidP="000A5F03">
      <w:pPr>
        <w:jc w:val="both"/>
        <w:rPr>
          <w:rtl/>
        </w:rPr>
      </w:pPr>
      <w:r>
        <w:rPr>
          <w:rFonts w:hint="cs"/>
          <w:rtl/>
        </w:rPr>
        <w:t>حالت اول: خطاب مطلق متضمن حکم الزامی باشد.</w:t>
      </w:r>
      <w:r w:rsidR="006035A0">
        <w:rPr>
          <w:rFonts w:hint="cs"/>
          <w:rtl/>
        </w:rPr>
        <w:t xml:space="preserve"> مثل: «اکرم العالم» و «لاتکرم العالم الفاسق»</w:t>
      </w:r>
    </w:p>
    <w:p w:rsidR="006035A0" w:rsidRDefault="00536D86" w:rsidP="000A5F03">
      <w:pPr>
        <w:jc w:val="both"/>
        <w:rPr>
          <w:rtl/>
        </w:rPr>
      </w:pPr>
      <w:r>
        <w:rPr>
          <w:rFonts w:hint="cs"/>
          <w:rtl/>
        </w:rPr>
        <w:t>در این حالت</w:t>
      </w:r>
      <w:r w:rsidR="006035A0">
        <w:rPr>
          <w:rFonts w:hint="cs"/>
          <w:rtl/>
        </w:rPr>
        <w:t xml:space="preserve"> خطاب مطلق تقیید زده می‌شود. </w:t>
      </w:r>
    </w:p>
    <w:p w:rsidR="00536D86" w:rsidRDefault="00536D86" w:rsidP="000A5F03">
      <w:pPr>
        <w:jc w:val="both"/>
        <w:rPr>
          <w:rtl/>
        </w:rPr>
      </w:pPr>
      <w:r>
        <w:rPr>
          <w:rFonts w:hint="cs"/>
          <w:rtl/>
        </w:rPr>
        <w:t xml:space="preserve">حالت دوم: خطاب مطلق متضمن حکم ترخیصی باشد. مثل: </w:t>
      </w:r>
      <w:r w:rsidR="006035A0">
        <w:rPr>
          <w:rFonts w:hint="cs"/>
          <w:rtl/>
        </w:rPr>
        <w:t xml:space="preserve">«لایجب اکرام </w:t>
      </w:r>
      <w:r>
        <w:rPr>
          <w:rFonts w:hint="cs"/>
          <w:rtl/>
        </w:rPr>
        <w:t>العالم» و «اکرم العالم العادل»</w:t>
      </w:r>
    </w:p>
    <w:p w:rsidR="006035A0" w:rsidRDefault="00536D86" w:rsidP="000A5F03">
      <w:pPr>
        <w:jc w:val="both"/>
        <w:rPr>
          <w:rtl/>
        </w:rPr>
      </w:pPr>
      <w:r>
        <w:rPr>
          <w:rFonts w:hint="cs"/>
          <w:rtl/>
        </w:rPr>
        <w:t xml:space="preserve">در این حالت اگر ذکر خطاب مقید بعد از وقت حاجت نباشد به نحوی که حمل مطلق بر مقید مستلزم تاخیر بیان از وقت حاجب باشد، </w:t>
      </w:r>
      <w:r w:rsidR="006035A0">
        <w:rPr>
          <w:rFonts w:hint="cs"/>
          <w:rtl/>
        </w:rPr>
        <w:t xml:space="preserve">عرف تقیید موضوعی می‌زند و مطلق را حمل بر مقید می‌کند. </w:t>
      </w:r>
    </w:p>
    <w:p w:rsidR="006035A0" w:rsidRDefault="006035A0" w:rsidP="000A5F03">
      <w:pPr>
        <w:jc w:val="both"/>
      </w:pPr>
      <w:r>
        <w:rPr>
          <w:rFonts w:hint="cs"/>
          <w:rtl/>
        </w:rPr>
        <w:t xml:space="preserve">ولی اگر تاخیر بیان از وقت حاجت لازم بیاید، معلوم نیست که عرف </w:t>
      </w:r>
      <w:r w:rsidR="00536D86">
        <w:rPr>
          <w:rFonts w:hint="cs"/>
          <w:rtl/>
        </w:rPr>
        <w:t>در این موارد نیز خطاب مطلق را حمل بر مقید کند</w:t>
      </w:r>
      <w:r>
        <w:rPr>
          <w:rFonts w:hint="cs"/>
          <w:rtl/>
        </w:rPr>
        <w:t xml:space="preserve"> زیرا با توجه به این که وجوب از اطلاق «اکرم العالم العادل» استفاده شده است ممکن است عرف بگوید: اطلاق «اکرم» </w:t>
      </w:r>
      <w:r w:rsidR="00EA76F0">
        <w:rPr>
          <w:rFonts w:hint="cs"/>
          <w:rtl/>
        </w:rPr>
        <w:t xml:space="preserve">که وجوب را اقتضاء می‌کند به قرینه خطاب «لایجب اکرام العالم» حمل بر استحباب می‌شود. </w:t>
      </w:r>
    </w:p>
    <w:p w:rsidR="000D43E3" w:rsidRDefault="000D43E3" w:rsidP="000A5F03">
      <w:pPr>
        <w:pStyle w:val="Heading2"/>
        <w:jc w:val="both"/>
        <w:rPr>
          <w:rtl/>
        </w:rPr>
      </w:pPr>
      <w:bookmarkStart w:id="76" w:name="_Toc126308563"/>
      <w:r>
        <w:rPr>
          <w:rFonts w:hint="cs"/>
          <w:rtl/>
        </w:rPr>
        <w:lastRenderedPageBreak/>
        <w:t>کلام آیت الله سیستانی حفظه الله</w:t>
      </w:r>
      <w:bookmarkEnd w:id="76"/>
    </w:p>
    <w:p w:rsidR="00EA76F0" w:rsidRDefault="00EA76F0" w:rsidP="000A5F03">
      <w:pPr>
        <w:jc w:val="both"/>
        <w:rPr>
          <w:rtl/>
        </w:rPr>
      </w:pPr>
      <w:r>
        <w:rPr>
          <w:rFonts w:hint="cs"/>
          <w:rtl/>
        </w:rPr>
        <w:t>آیت الله سیستانی حفظه الله فرموده‌اند: در مواردی که امام علیه السلام خطاب مطلق را در</w:t>
      </w:r>
      <w:r w:rsidR="00536D86">
        <w:rPr>
          <w:rFonts w:hint="cs"/>
          <w:rtl/>
        </w:rPr>
        <w:t xml:space="preserve"> مقام افتاء بیان کرده باشند، در صورت</w:t>
      </w:r>
      <w:r>
        <w:rPr>
          <w:rFonts w:hint="cs"/>
          <w:rtl/>
        </w:rPr>
        <w:t xml:space="preserve"> ورود خطاب مقید منفصل بعد از وقت حاجت، این خطاب مقید حمل بر استحباب می‌شود. </w:t>
      </w:r>
    </w:p>
    <w:p w:rsidR="00EA76F0" w:rsidRPr="00D8731C" w:rsidRDefault="00EA76F0" w:rsidP="004C0B32">
      <w:pPr>
        <w:jc w:val="both"/>
        <w:rPr>
          <w:rFonts w:ascii="Traditional Arabic" w:hAnsi="Traditional Arabic" w:cs="Traditional Arabic"/>
          <w:color w:val="000000"/>
          <w:sz w:val="30"/>
          <w:szCs w:val="30"/>
          <w:rtl/>
        </w:rPr>
      </w:pPr>
      <w:r w:rsidRPr="00D8731C">
        <w:rPr>
          <w:rFonts w:hint="cs"/>
          <w:rtl/>
        </w:rPr>
        <w:t xml:space="preserve">و لذا نماز خواندن در لباس‌هایی که از چرم حیوان گرفته شده است و مشکوک التذکیة است ولو از بلاد کفار </w:t>
      </w:r>
      <w:r w:rsidR="009140C7" w:rsidRPr="00D8731C">
        <w:rPr>
          <w:rFonts w:hint="cs"/>
          <w:rtl/>
        </w:rPr>
        <w:t xml:space="preserve">آمده باشد، جایز است چون در صحیحه جعفر بن محمد بن یونس آمده که </w:t>
      </w:r>
      <w:r w:rsidR="004C0B32">
        <w:rPr>
          <w:rFonts w:hint="cs"/>
          <w:rtl/>
        </w:rPr>
        <w:t>او</w:t>
      </w:r>
      <w:r w:rsidR="009140C7" w:rsidRPr="00D8731C">
        <w:rPr>
          <w:rFonts w:hint="cs"/>
          <w:rtl/>
        </w:rPr>
        <w:t xml:space="preserve"> </w:t>
      </w:r>
      <w:r w:rsidR="009140C7" w:rsidRPr="00D8731C">
        <w:rPr>
          <w:rFonts w:ascii="NoorLotus" w:hAnsi="NoorLotus"/>
          <w:rtl/>
        </w:rPr>
        <w:t>با امام علیه السلام راجع به پوستین‌هایی</w:t>
      </w:r>
      <w:r w:rsidR="009140C7" w:rsidRPr="00D8731C">
        <w:rPr>
          <w:rFonts w:hint="cs"/>
          <w:rtl/>
        </w:rPr>
        <w:t xml:space="preserve"> که از بازار می‌خرند و در میت</w:t>
      </w:r>
      <w:r w:rsidR="004C0B32">
        <w:rPr>
          <w:rFonts w:hint="cs"/>
          <w:rtl/>
        </w:rPr>
        <w:t>ه بودن آن شک دارند، مخاطبه کرد</w:t>
      </w:r>
      <w:r w:rsidR="009140C7" w:rsidRPr="00D8731C">
        <w:rPr>
          <w:rFonts w:hint="cs"/>
          <w:rtl/>
        </w:rPr>
        <w:t xml:space="preserve"> و</w:t>
      </w:r>
      <w:r w:rsidRPr="00D8731C">
        <w:rPr>
          <w:rFonts w:hint="cs"/>
          <w:rtl/>
        </w:rPr>
        <w:t xml:space="preserve"> امام علیه السلام</w:t>
      </w:r>
      <w:r w:rsidR="00D8731C" w:rsidRPr="00D8731C">
        <w:rPr>
          <w:rFonts w:hint="cs"/>
          <w:rtl/>
        </w:rPr>
        <w:t xml:space="preserve"> در جواب فرموده‌اند: نماز خواندن در آن اشکال ندارد.</w:t>
      </w:r>
      <w:r w:rsidR="001C0E59">
        <w:rPr>
          <w:rStyle w:val="FootnoteReference"/>
          <w:rtl/>
        </w:rPr>
        <w:footnoteReference w:id="4"/>
      </w:r>
      <w:r w:rsidR="00D8731C" w:rsidRPr="00D8731C">
        <w:rPr>
          <w:rFonts w:hint="cs"/>
          <w:rtl/>
        </w:rPr>
        <w:t xml:space="preserve"> و امام علیه السلام</w:t>
      </w:r>
      <w:r w:rsidRPr="00D8731C">
        <w:rPr>
          <w:rFonts w:hint="cs"/>
          <w:rtl/>
        </w:rPr>
        <w:t xml:space="preserve"> جواب خود را منحصر به فرضی که سوق مسلمین باشد،</w:t>
      </w:r>
      <w:r>
        <w:rPr>
          <w:rFonts w:hint="cs"/>
          <w:rtl/>
        </w:rPr>
        <w:t xml:space="preserve"> نکردند، و تقیید این اطلاق ترخیصی به معتبره اسحاق بن عمار که امام علیه السلام فرموده‌اند: </w:t>
      </w:r>
      <w:r w:rsidRPr="00D8731C">
        <w:rPr>
          <w:rFonts w:hint="cs"/>
          <w:rtl/>
        </w:rPr>
        <w:t>«</w:t>
      </w:r>
      <w:r w:rsidR="00D8731C" w:rsidRPr="00D8731C">
        <w:rPr>
          <w:rFonts w:hint="cs"/>
          <w:rtl/>
        </w:rPr>
        <w:t>إِذَا كَانَ‏ الْغَالِبَ‏ عَلَيْهَا الْمُسْلِمُونَ فَلَا بَأْس</w:t>
      </w:r>
      <w:r w:rsidR="00D8731C">
        <w:rPr>
          <w:rFonts w:ascii="Traditional Arabic" w:hAnsi="Traditional Arabic" w:cs="Traditional Arabic" w:hint="cs"/>
          <w:color w:val="242887"/>
          <w:sz w:val="30"/>
          <w:szCs w:val="30"/>
          <w:rtl/>
        </w:rPr>
        <w:t>‏</w:t>
      </w:r>
      <w:r>
        <w:rPr>
          <w:rFonts w:hint="cs"/>
          <w:rtl/>
        </w:rPr>
        <w:t>»</w:t>
      </w:r>
      <w:r w:rsidR="00D8731C">
        <w:rPr>
          <w:rStyle w:val="FootnoteReference"/>
          <w:rtl/>
        </w:rPr>
        <w:footnoteReference w:id="5"/>
      </w:r>
      <w:r>
        <w:rPr>
          <w:rFonts w:hint="cs"/>
          <w:rtl/>
        </w:rPr>
        <w:t xml:space="preserve"> عرفی نیست بلکه مفهوم معتبره اسحاق که عبارت است از «اذا لم یکن الغالب علیها المسلمون ففیه باس» حمل بر کراهت می‌شود. </w:t>
      </w:r>
    </w:p>
    <w:p w:rsidR="00EA76F0" w:rsidRDefault="00EA76F0" w:rsidP="000A5F03">
      <w:pPr>
        <w:pStyle w:val="Heading3"/>
        <w:jc w:val="both"/>
        <w:rPr>
          <w:rtl/>
        </w:rPr>
      </w:pPr>
      <w:bookmarkStart w:id="77" w:name="_Toc126308564"/>
      <w:r>
        <w:rPr>
          <w:rFonts w:hint="cs"/>
          <w:rtl/>
        </w:rPr>
        <w:t>بررسی کلام آیت الله سیستانی حفظه الله</w:t>
      </w:r>
      <w:bookmarkEnd w:id="77"/>
    </w:p>
    <w:p w:rsidR="00EA76F0" w:rsidRDefault="00EA76F0" w:rsidP="000A5F03">
      <w:pPr>
        <w:jc w:val="both"/>
        <w:rPr>
          <w:rtl/>
        </w:rPr>
      </w:pPr>
      <w:r>
        <w:rPr>
          <w:rFonts w:hint="cs"/>
          <w:rtl/>
        </w:rPr>
        <w:t xml:space="preserve">شما قدر متیقن در مقام تخاطب را مانع از انعقاد اطلاق در روایات در مقام افتاء می‌دانید، و در مقام نیز ممکن است امام علیه السلام می‌دانستند که محل ابتلاء این سائل سوق مسلمین است و لذا به نحو مطلق جواب دادند. </w:t>
      </w:r>
    </w:p>
    <w:p w:rsidR="00EA76F0" w:rsidRDefault="00536D86" w:rsidP="006C54C8">
      <w:pPr>
        <w:jc w:val="both"/>
        <w:rPr>
          <w:rtl/>
        </w:rPr>
      </w:pPr>
      <w:r>
        <w:rPr>
          <w:rFonts w:hint="cs"/>
          <w:rtl/>
        </w:rPr>
        <w:t>قسم دوم:</w:t>
      </w:r>
      <w:r w:rsidR="00EA76F0">
        <w:rPr>
          <w:rFonts w:hint="cs"/>
          <w:rtl/>
        </w:rPr>
        <w:t xml:space="preserve"> خطاب مطلق</w:t>
      </w:r>
      <w:r>
        <w:rPr>
          <w:rFonts w:hint="cs"/>
          <w:rtl/>
        </w:rPr>
        <w:t>، بدلی است</w:t>
      </w:r>
      <w:r w:rsidR="00EA76F0">
        <w:rPr>
          <w:rFonts w:hint="cs"/>
          <w:rtl/>
        </w:rPr>
        <w:t xml:space="preserve">. مثل «ان </w:t>
      </w:r>
      <w:r w:rsidR="006C54C8">
        <w:rPr>
          <w:rFonts w:hint="cs"/>
          <w:rtl/>
        </w:rPr>
        <w:t>ظاهرت</w:t>
      </w:r>
      <w:r w:rsidR="00EA76F0">
        <w:rPr>
          <w:rFonts w:hint="cs"/>
          <w:rtl/>
        </w:rPr>
        <w:t xml:space="preserve"> فاعتق رقبة» و </w:t>
      </w:r>
      <w:r>
        <w:rPr>
          <w:rFonts w:hint="cs"/>
          <w:rtl/>
        </w:rPr>
        <w:t>«لاتعتق رقبة کافرة»</w:t>
      </w:r>
    </w:p>
    <w:p w:rsidR="00DC7CDF" w:rsidRDefault="00DC7CDF" w:rsidP="000A5F03">
      <w:pPr>
        <w:jc w:val="both"/>
        <w:rPr>
          <w:rtl/>
        </w:rPr>
      </w:pPr>
      <w:r>
        <w:rPr>
          <w:rFonts w:hint="cs"/>
          <w:rtl/>
        </w:rPr>
        <w:t xml:space="preserve">در </w:t>
      </w:r>
      <w:r w:rsidR="00536D86">
        <w:rPr>
          <w:rFonts w:hint="cs"/>
          <w:rtl/>
        </w:rPr>
        <w:t>این قسم</w:t>
      </w:r>
      <w:r>
        <w:rPr>
          <w:rFonts w:hint="cs"/>
          <w:rtl/>
        </w:rPr>
        <w:t xml:space="preserve"> در خطاب مقید دو احتمال وجود دارد:</w:t>
      </w:r>
    </w:p>
    <w:p w:rsidR="00EA76F0" w:rsidRDefault="00DC7CDF" w:rsidP="000A5F03">
      <w:pPr>
        <w:jc w:val="both"/>
        <w:rPr>
          <w:rtl/>
        </w:rPr>
      </w:pPr>
      <w:r>
        <w:rPr>
          <w:rFonts w:hint="cs"/>
          <w:rtl/>
        </w:rPr>
        <w:t xml:space="preserve">احتمال اول: ارشاد به مانعیت باشد. در این صورت خطاب مقید حاکم بر خطاب مطلق </w:t>
      </w:r>
      <w:r w:rsidR="00EA76F0">
        <w:rPr>
          <w:rFonts w:hint="cs"/>
          <w:rtl/>
        </w:rPr>
        <w:t>خواهد بود</w:t>
      </w:r>
      <w:r w:rsidR="00F02EB9">
        <w:rPr>
          <w:rFonts w:hint="cs"/>
          <w:rtl/>
        </w:rPr>
        <w:t>.</w:t>
      </w:r>
    </w:p>
    <w:p w:rsidR="00F02EB9" w:rsidRDefault="00DC7CDF" w:rsidP="000A5F03">
      <w:pPr>
        <w:jc w:val="both"/>
        <w:rPr>
          <w:rtl/>
        </w:rPr>
      </w:pPr>
      <w:r>
        <w:rPr>
          <w:rFonts w:hint="cs"/>
          <w:rtl/>
        </w:rPr>
        <w:t>احتمال دوم:</w:t>
      </w:r>
      <w:r w:rsidR="00F02EB9">
        <w:rPr>
          <w:rFonts w:hint="cs"/>
          <w:rtl/>
        </w:rPr>
        <w:t xml:space="preserve"> </w:t>
      </w:r>
      <w:r>
        <w:rPr>
          <w:rFonts w:hint="cs"/>
          <w:rtl/>
        </w:rPr>
        <w:t>خطاب مقید نهی تکلیفی باشد. در این صورت</w:t>
      </w:r>
      <w:r w:rsidR="00F02EB9">
        <w:rPr>
          <w:rFonts w:hint="cs"/>
          <w:rtl/>
        </w:rPr>
        <w:t xml:space="preserve"> داخل در بحث اجتماع امر و نهی به عنوان واحد می‌شود. </w:t>
      </w:r>
      <w:r w:rsidR="00063AF6">
        <w:rPr>
          <w:rFonts w:hint="cs"/>
          <w:rtl/>
        </w:rPr>
        <w:t xml:space="preserve">زیرا </w:t>
      </w:r>
      <w:r w:rsidR="00F02EB9">
        <w:rPr>
          <w:rFonts w:hint="cs"/>
          <w:rtl/>
        </w:rPr>
        <w:t xml:space="preserve">امر به صرف الوجود طبیعت تعلق گرفته است ونهی تکلیفی </w:t>
      </w:r>
      <w:r w:rsidR="00382443">
        <w:rPr>
          <w:rFonts w:hint="cs"/>
          <w:rtl/>
        </w:rPr>
        <w:t>به</w:t>
      </w:r>
      <w:r w:rsidR="00063AF6">
        <w:rPr>
          <w:rFonts w:hint="cs"/>
          <w:rtl/>
        </w:rPr>
        <w:t xml:space="preserve"> حصه‌ای از آن تعلق گرفته است، و</w:t>
      </w:r>
      <w:r w:rsidR="00382443">
        <w:rPr>
          <w:rFonts w:hint="cs"/>
          <w:rtl/>
        </w:rPr>
        <w:t xml:space="preserve"> در جواز و عدم جواز اجتماع </w:t>
      </w:r>
      <w:r w:rsidR="00063AF6">
        <w:rPr>
          <w:rFonts w:hint="cs"/>
          <w:rtl/>
        </w:rPr>
        <w:t>امر و نهی به عنوان واحد</w:t>
      </w:r>
      <w:r w:rsidR="009C7E7A">
        <w:rPr>
          <w:rFonts w:hint="cs"/>
          <w:rtl/>
        </w:rPr>
        <w:t xml:space="preserve"> در این فرض</w:t>
      </w:r>
      <w:r w:rsidR="00063AF6">
        <w:rPr>
          <w:rFonts w:hint="cs"/>
          <w:rtl/>
        </w:rPr>
        <w:t xml:space="preserve"> </w:t>
      </w:r>
      <w:r w:rsidR="00063AF6">
        <w:rPr>
          <w:rFonts w:ascii="Times New Roman" w:hAnsi="Times New Roman" w:cs="Times New Roman" w:hint="cs"/>
          <w:rtl/>
        </w:rPr>
        <w:t>–</w:t>
      </w:r>
      <w:r w:rsidR="00063AF6">
        <w:rPr>
          <w:rFonts w:hint="cs"/>
          <w:rtl/>
        </w:rPr>
        <w:t xml:space="preserve">حتی نزد قائلین به جواز اجتماع- </w:t>
      </w:r>
      <w:r w:rsidR="00382443">
        <w:rPr>
          <w:rFonts w:hint="cs"/>
          <w:rtl/>
        </w:rPr>
        <w:t>اختلاف است:</w:t>
      </w:r>
    </w:p>
    <w:p w:rsidR="00382443" w:rsidRDefault="00382443" w:rsidP="000A5F03">
      <w:pPr>
        <w:jc w:val="both"/>
      </w:pPr>
      <w:r>
        <w:rPr>
          <w:rFonts w:hint="cs"/>
          <w:rtl/>
        </w:rPr>
        <w:t>قول اول: اجتماع امر و نهی در موارد تعدد عنوان جایز است، ولی در موارد وحدت عنوان اجتماع جایز نیست، لذا اجتماع امر و نهی در مقام جایز نیست.</w:t>
      </w:r>
    </w:p>
    <w:p w:rsidR="00382443" w:rsidRDefault="00382443" w:rsidP="000A5F03">
      <w:pPr>
        <w:jc w:val="both"/>
        <w:rPr>
          <w:rtl/>
        </w:rPr>
      </w:pPr>
      <w:r>
        <w:rPr>
          <w:rFonts w:hint="cs"/>
          <w:rtl/>
        </w:rPr>
        <w:t>امام خمینی</w:t>
      </w:r>
      <w:r w:rsidR="00063AF6">
        <w:rPr>
          <w:rStyle w:val="FootnoteReference"/>
          <w:rtl/>
        </w:rPr>
        <w:footnoteReference w:id="6"/>
      </w:r>
      <w:r w:rsidR="00063AF6">
        <w:rPr>
          <w:rFonts w:hint="cs"/>
          <w:rtl/>
        </w:rPr>
        <w:t xml:space="preserve"> </w:t>
      </w:r>
      <w:r>
        <w:rPr>
          <w:rFonts w:hint="cs"/>
          <w:rtl/>
        </w:rPr>
        <w:t xml:space="preserve"> و شهید صدر</w:t>
      </w:r>
      <w:r>
        <w:rPr>
          <w:rStyle w:val="FootnoteReference"/>
          <w:rtl/>
        </w:rPr>
        <w:footnoteReference w:id="7"/>
      </w:r>
      <w:r>
        <w:rPr>
          <w:rFonts w:hint="cs"/>
          <w:rtl/>
        </w:rPr>
        <w:t xml:space="preserve"> رحمهما الله قائل به این قول شدند. </w:t>
      </w:r>
    </w:p>
    <w:p w:rsidR="00382443" w:rsidRDefault="00382443" w:rsidP="009C7E7A">
      <w:pPr>
        <w:jc w:val="both"/>
        <w:rPr>
          <w:rtl/>
        </w:rPr>
      </w:pPr>
      <w:r>
        <w:rPr>
          <w:rFonts w:hint="cs"/>
          <w:rtl/>
        </w:rPr>
        <w:t xml:space="preserve">قول دوم: اجتماع امر و نهی حتی در موارد وحدت عنوان نیز جایز است. لذا اجتماع امر و نهی در مقام نیز جایز است. مثل این که مولی برای این که عبد سنگ کلیه </w:t>
      </w:r>
      <w:r w:rsidR="009C7E7A">
        <w:rPr>
          <w:rFonts w:hint="cs"/>
          <w:rtl/>
        </w:rPr>
        <w:t>نگیرد</w:t>
      </w:r>
      <w:r>
        <w:rPr>
          <w:rFonts w:hint="cs"/>
          <w:rtl/>
        </w:rPr>
        <w:t xml:space="preserve"> به او می‌گوید: «اشرب ماءً» و برای این که گلوی او عفونت نکند به او می‌گوید: «یحرم علیک شرب الماء البارد» در این صورت اگر عبد آب سرد بخورد هم خطاب امر را امتثال کرده است و مصلحت آن نیز حاصل شد</w:t>
      </w:r>
      <w:r w:rsidR="009C7E7A">
        <w:rPr>
          <w:rFonts w:hint="cs"/>
          <w:rtl/>
        </w:rPr>
        <w:t>ه</w:t>
      </w:r>
      <w:r>
        <w:rPr>
          <w:rFonts w:hint="cs"/>
          <w:rtl/>
        </w:rPr>
        <w:t xml:space="preserve"> و هم خطاب نهی را عصیان کرده است و مفسده آن نیز محقق شده است لذا از </w:t>
      </w:r>
      <w:r w:rsidR="009C7E7A">
        <w:rPr>
          <w:rFonts w:hint="cs"/>
          <w:rtl/>
        </w:rPr>
        <w:t>یک</w:t>
      </w:r>
      <w:r>
        <w:rPr>
          <w:rFonts w:hint="cs"/>
          <w:rtl/>
        </w:rPr>
        <w:t xml:space="preserve"> جهت عاصی و از جهت دیگر مطیع است. و این هیچ محذوری ندارد. </w:t>
      </w:r>
    </w:p>
    <w:p w:rsidR="00382443" w:rsidRDefault="00382443" w:rsidP="000A5F03">
      <w:pPr>
        <w:jc w:val="both"/>
        <w:rPr>
          <w:rtl/>
        </w:rPr>
      </w:pPr>
      <w:r>
        <w:rPr>
          <w:rFonts w:hint="cs"/>
          <w:rtl/>
        </w:rPr>
        <w:t>مرحوم شاهرودی</w:t>
      </w:r>
      <w:r w:rsidR="00063AF6">
        <w:rPr>
          <w:rStyle w:val="FootnoteReference"/>
          <w:rtl/>
        </w:rPr>
        <w:footnoteReference w:id="8"/>
      </w:r>
      <w:r>
        <w:rPr>
          <w:rFonts w:hint="cs"/>
          <w:rtl/>
        </w:rPr>
        <w:t xml:space="preserve"> رحمه الله و آیت الله سیستانی حفظه الله قائل به این قول شدند.  </w:t>
      </w:r>
    </w:p>
    <w:p w:rsidR="00F02EB9" w:rsidRDefault="009C7E7A" w:rsidP="000A5F03">
      <w:pPr>
        <w:jc w:val="both"/>
        <w:rPr>
          <w:rtl/>
        </w:rPr>
      </w:pPr>
      <w:r>
        <w:rPr>
          <w:rFonts w:hint="cs"/>
          <w:rtl/>
        </w:rPr>
        <w:t>این قول دوم گرچه (عقلا) متین است</w:t>
      </w:r>
      <w:r w:rsidR="00382443">
        <w:rPr>
          <w:rFonts w:hint="cs"/>
          <w:rtl/>
        </w:rPr>
        <w:t xml:space="preserve"> ولی خلاف ظاهر عرفی است زیرا ظاهر عرفی در مواردی که ملاک را ندانیم این است که این حصه منهی عنه وافی به مصلحت تامه آن واجب نیست. </w:t>
      </w:r>
      <w:r w:rsidR="00B26234">
        <w:rPr>
          <w:rFonts w:hint="cs"/>
          <w:rtl/>
        </w:rPr>
        <w:t>مثلا وقتی مولی در یک خطاب می‌گوید</w:t>
      </w:r>
      <w:r w:rsidR="00382443">
        <w:rPr>
          <w:rFonts w:hint="cs"/>
          <w:rtl/>
        </w:rPr>
        <w:t xml:space="preserve"> «</w:t>
      </w:r>
      <w:r w:rsidR="00B26234">
        <w:rPr>
          <w:rFonts w:hint="cs"/>
          <w:rtl/>
        </w:rPr>
        <w:t>ان افطرت فاعتق رقبة</w:t>
      </w:r>
      <w:r w:rsidR="00382443">
        <w:rPr>
          <w:rFonts w:hint="cs"/>
          <w:rtl/>
        </w:rPr>
        <w:t xml:space="preserve">» و </w:t>
      </w:r>
      <w:r w:rsidR="00B26234">
        <w:rPr>
          <w:rFonts w:hint="cs"/>
          <w:rtl/>
        </w:rPr>
        <w:t xml:space="preserve">در خطاب دیگر می‌گوید: </w:t>
      </w:r>
      <w:r w:rsidR="00382443">
        <w:rPr>
          <w:rFonts w:hint="cs"/>
          <w:rtl/>
        </w:rPr>
        <w:t>«</w:t>
      </w:r>
      <w:r w:rsidR="00B26234">
        <w:rPr>
          <w:rFonts w:hint="cs"/>
          <w:rtl/>
        </w:rPr>
        <w:t>من اعتق رقبة کافرة فعلیه لعنة الله»، که یک عنوان است، عرف در این موارد می‌گوید: عتق رقبة کافرة وافی به مصلحت تامه عتق رقبة نیست و لذا حتی در صورت اکراه بر عتق رقبة نیز عرف آن را مجزی نمی‌داند زیرا آن را وافی به مصلحت تامه عتق رقبة نمی‌داند در حالی که در موارد اجتماع امر و نهی در صورت سقوط نهی بخاطر اضطرار و اکراه و امثال آن نوعا قائل به فعلیت امر و تحقق امتثال آن به اتیان مجمع شد</w:t>
      </w:r>
      <w:r>
        <w:rPr>
          <w:rFonts w:hint="cs"/>
          <w:rtl/>
        </w:rPr>
        <w:t>ه</w:t>
      </w:r>
      <w:r>
        <w:rPr>
          <w:rtl/>
        </w:rPr>
        <w:softHyphen/>
      </w:r>
      <w:r>
        <w:rPr>
          <w:rFonts w:hint="cs"/>
          <w:rtl/>
        </w:rPr>
        <w:t>ا</w:t>
      </w:r>
      <w:r w:rsidR="00B26234">
        <w:rPr>
          <w:rFonts w:hint="cs"/>
          <w:rtl/>
        </w:rPr>
        <w:t xml:space="preserve">ند. </w:t>
      </w:r>
    </w:p>
    <w:p w:rsidR="00B26234" w:rsidRDefault="00B26234" w:rsidP="00CA2575">
      <w:pPr>
        <w:jc w:val="both"/>
        <w:rPr>
          <w:rtl/>
        </w:rPr>
      </w:pPr>
      <w:r>
        <w:rPr>
          <w:rFonts w:hint="cs"/>
          <w:rtl/>
        </w:rPr>
        <w:t xml:space="preserve">البته در مواردی که ملاک مشخص باشد مثل: «اشراب ماءً» و «یحرم شرب الماء البارد» </w:t>
      </w:r>
      <w:r w:rsidR="00CA2575">
        <w:rPr>
          <w:rFonts w:hint="cs"/>
          <w:rtl/>
        </w:rPr>
        <w:t>یا</w:t>
      </w:r>
      <w:r>
        <w:rPr>
          <w:rFonts w:hint="cs"/>
          <w:rtl/>
        </w:rPr>
        <w:t xml:space="preserve"> «یجب علیک غسل </w:t>
      </w:r>
      <w:r w:rsidR="009C7E7A">
        <w:rPr>
          <w:rFonts w:hint="cs"/>
          <w:rtl/>
        </w:rPr>
        <w:t>الثوب</w:t>
      </w:r>
      <w:r>
        <w:rPr>
          <w:rFonts w:hint="cs"/>
          <w:rtl/>
        </w:rPr>
        <w:t xml:space="preserve"> بالماء المباح» و «یحرم الغصب» که ملاک </w:t>
      </w:r>
      <w:r w:rsidR="006F1F03">
        <w:rPr>
          <w:rFonts w:hint="cs"/>
          <w:rtl/>
        </w:rPr>
        <w:t>امر به غسل ث</w:t>
      </w:r>
      <w:r w:rsidR="00CA2575">
        <w:rPr>
          <w:rFonts w:hint="cs"/>
          <w:rtl/>
        </w:rPr>
        <w:t>وب</w:t>
      </w:r>
      <w:r>
        <w:rPr>
          <w:rFonts w:hint="cs"/>
          <w:rtl/>
        </w:rPr>
        <w:t xml:space="preserve"> تنظیف است و عرف می‌گوید: غسل ثوب با ماء مغصوب نیز وافی به این ملاک است</w:t>
      </w:r>
      <w:r w:rsidR="006F1F03">
        <w:rPr>
          <w:rFonts w:hint="cs"/>
          <w:rtl/>
        </w:rPr>
        <w:t xml:space="preserve">، در این صورت اگر با آب غصبی لباس خودش را بشوید هم خطاب امر را امتثال کرده است و هم خطاب نهی را عصیان </w:t>
      </w:r>
      <w:r w:rsidR="00CA2575">
        <w:rPr>
          <w:rFonts w:hint="cs"/>
          <w:rtl/>
        </w:rPr>
        <w:t>نموده</w:t>
      </w:r>
      <w:r w:rsidR="006F1F03">
        <w:rPr>
          <w:rFonts w:hint="cs"/>
          <w:rtl/>
        </w:rPr>
        <w:t xml:space="preserve"> است.</w:t>
      </w:r>
      <w:r>
        <w:rPr>
          <w:rFonts w:hint="cs"/>
          <w:rtl/>
        </w:rPr>
        <w:t xml:space="preserve"> در این موارد کلام آیت الله سیستانی حفظه الله صحیح است. </w:t>
      </w:r>
    </w:p>
    <w:p w:rsidR="00B26234" w:rsidRDefault="00536D86" w:rsidP="000A5F03">
      <w:pPr>
        <w:jc w:val="both"/>
        <w:rPr>
          <w:rtl/>
        </w:rPr>
      </w:pPr>
      <w:r>
        <w:rPr>
          <w:rFonts w:hint="cs"/>
          <w:rtl/>
        </w:rPr>
        <w:t xml:space="preserve">لذا </w:t>
      </w:r>
      <w:r w:rsidR="006F1F03">
        <w:rPr>
          <w:rFonts w:hint="cs"/>
          <w:rtl/>
        </w:rPr>
        <w:t xml:space="preserve">در مواردی که ملاک محرز است کلام ایشان صحیح است ولی در مواردی که ملاک محرز نیست، استظهار عرف این است که حصه‌ی منهی عنه وافی به مصلحت تامه متعلق امر نیست لذا اتیان آن موجب امتثال خطاب امر نمی‌شود. </w:t>
      </w:r>
    </w:p>
    <w:p w:rsidR="006123A1" w:rsidRDefault="00536D86" w:rsidP="00CA2575">
      <w:pPr>
        <w:jc w:val="both"/>
        <w:rPr>
          <w:rtl/>
        </w:rPr>
      </w:pPr>
      <w:r>
        <w:rPr>
          <w:rFonts w:hint="cs"/>
          <w:rtl/>
        </w:rPr>
        <w:t xml:space="preserve">بنابراین </w:t>
      </w:r>
      <w:r w:rsidR="006F1F03">
        <w:rPr>
          <w:rFonts w:hint="cs"/>
          <w:rtl/>
        </w:rPr>
        <w:t xml:space="preserve">در مطلق بدلی مثل «ان افطرت </w:t>
      </w:r>
      <w:r w:rsidR="00CA2575">
        <w:rPr>
          <w:rFonts w:hint="cs"/>
          <w:rtl/>
        </w:rPr>
        <w:t>ف</w:t>
      </w:r>
      <w:r w:rsidR="006F1F03">
        <w:rPr>
          <w:rFonts w:hint="cs"/>
          <w:rtl/>
        </w:rPr>
        <w:t>اعتق رقبة» و «لاتعتق رقبة»، اگر خطاب مقید ارشاد به مانعیت باشد قطعا خطاب مطلق را تقیید</w:t>
      </w:r>
      <w:r w:rsidR="006F1F03" w:rsidRPr="006123A1">
        <w:rPr>
          <w:rFonts w:hint="cs"/>
          <w:rtl/>
        </w:rPr>
        <w:t xml:space="preserve"> می‌زند ولی اگر </w:t>
      </w:r>
      <w:r w:rsidR="006123A1" w:rsidRPr="006123A1">
        <w:rPr>
          <w:rFonts w:hint="cs"/>
          <w:rtl/>
        </w:rPr>
        <w:t xml:space="preserve">خطاب تکلیفی باشد در صورتی که مستلزم تاخیر بیان از وقت حاجت باشد- که آیت الله سیستانی حفظه الله آن را در روایات در مقام افتاء بیان کردند. ولی در روایات تعلیم بعد از مضی مدت متعارفه برای تعلیم نیز می‌آید.- خطاب نهی حمل بر کراهت می‌شود چون حمل آن بر مانعیت و تقیید خطاب مطلق به آن مستلزم القاء در مفسده خلاف واقع است و این غیر عرفی است. </w:t>
      </w:r>
    </w:p>
    <w:p w:rsidR="00E10C91" w:rsidRDefault="006F1F03" w:rsidP="00E10C91">
      <w:pPr>
        <w:pStyle w:val="Heading2"/>
        <w:rPr>
          <w:rtl/>
        </w:rPr>
      </w:pPr>
      <w:r>
        <w:rPr>
          <w:rFonts w:hint="cs"/>
          <w:rtl/>
        </w:rPr>
        <w:t xml:space="preserve">صورت دوم: </w:t>
      </w:r>
      <w:r w:rsidR="00E10C91">
        <w:rPr>
          <w:rFonts w:hint="cs"/>
          <w:rtl/>
        </w:rPr>
        <w:t>توافق مطلق و مقید در سلب و ایجاب</w:t>
      </w:r>
    </w:p>
    <w:p w:rsidR="006F1F03" w:rsidRDefault="006123A1" w:rsidP="000A5F03">
      <w:pPr>
        <w:jc w:val="both"/>
        <w:rPr>
          <w:rtl/>
        </w:rPr>
      </w:pPr>
      <w:r>
        <w:rPr>
          <w:rFonts w:hint="cs"/>
          <w:rtl/>
        </w:rPr>
        <w:t xml:space="preserve">مطلق و مقید در سلب و ایجاب متوافق باشند مثل این که هر دو مثبتین باشند و مفاد هر دو نیز شمولی باشد. مثل «اکرم العالم» و «اکرم الفقیه» </w:t>
      </w:r>
    </w:p>
    <w:p w:rsidR="006123A1" w:rsidRDefault="006123A1" w:rsidP="000A5F03">
      <w:pPr>
        <w:jc w:val="both"/>
        <w:rPr>
          <w:rtl/>
        </w:rPr>
      </w:pPr>
      <w:r>
        <w:rPr>
          <w:rFonts w:hint="cs"/>
          <w:rtl/>
        </w:rPr>
        <w:t xml:space="preserve">در این موارد بین دو خطاب تنافی وجود ندارد و فقط نسبت به «الفقیه» دو خطاب وجود دارد یکی خطاب مطلق و دیگری خطاب مقید. </w:t>
      </w:r>
    </w:p>
    <w:p w:rsidR="006123A1" w:rsidRDefault="006123A1" w:rsidP="000A5F03">
      <w:pPr>
        <w:pStyle w:val="Heading3"/>
        <w:jc w:val="both"/>
        <w:rPr>
          <w:rtl/>
        </w:rPr>
      </w:pPr>
      <w:bookmarkStart w:id="78" w:name="_Toc126308565"/>
      <w:r>
        <w:rPr>
          <w:rFonts w:hint="cs"/>
          <w:rtl/>
        </w:rPr>
        <w:t>کلام شهید صدر رحمه الله</w:t>
      </w:r>
      <w:bookmarkEnd w:id="78"/>
      <w:r>
        <w:rPr>
          <w:rFonts w:hint="cs"/>
          <w:rtl/>
        </w:rPr>
        <w:t xml:space="preserve"> </w:t>
      </w:r>
    </w:p>
    <w:p w:rsidR="006123A1" w:rsidRDefault="006123A1" w:rsidP="00542A47">
      <w:pPr>
        <w:jc w:val="both"/>
        <w:rPr>
          <w:rtl/>
        </w:rPr>
      </w:pPr>
      <w:r>
        <w:rPr>
          <w:rFonts w:hint="cs"/>
          <w:rtl/>
        </w:rPr>
        <w:t>شهید صدر رحمه الله فرموده‌اند: اگر وحدت جعل احراز شود، مثل این که از قرائن استفاده شود که در عالم ثبوت یک جعل و قانون بیشتر وجود ندارد، مقتضای اصالة التطابق این است که عنوان «الفقیه» در قانون و جعل اخذ شده است و فرض نیز این است که جعل واحد است، و لذا باید «اکرم العالم» حمل بر «اکرم العالم الفقیه» شود</w:t>
      </w:r>
      <w:r w:rsidR="009140C7">
        <w:rPr>
          <w:rStyle w:val="FootnoteReference"/>
          <w:rtl/>
        </w:rPr>
        <w:footnoteReference w:id="9"/>
      </w:r>
      <w:r>
        <w:rPr>
          <w:rFonts w:hint="cs"/>
          <w:rtl/>
        </w:rPr>
        <w:t xml:space="preserve">. </w:t>
      </w:r>
    </w:p>
    <w:p w:rsidR="006123A1" w:rsidRDefault="006123A1" w:rsidP="000A5F03">
      <w:pPr>
        <w:pStyle w:val="Heading3"/>
        <w:jc w:val="both"/>
        <w:rPr>
          <w:rtl/>
        </w:rPr>
      </w:pPr>
      <w:bookmarkStart w:id="79" w:name="_Toc126308566"/>
      <w:r>
        <w:rPr>
          <w:rFonts w:hint="cs"/>
          <w:rtl/>
        </w:rPr>
        <w:t>بررسی کلام شهید صدر رحمه الله</w:t>
      </w:r>
      <w:bookmarkEnd w:id="79"/>
    </w:p>
    <w:p w:rsidR="006123A1" w:rsidRDefault="006123A1" w:rsidP="00542A47">
      <w:pPr>
        <w:jc w:val="both"/>
        <w:rPr>
          <w:rtl/>
        </w:rPr>
      </w:pPr>
      <w:r>
        <w:rPr>
          <w:rFonts w:hint="cs"/>
          <w:rtl/>
        </w:rPr>
        <w:t xml:space="preserve">بر فرض احراز وحدت قانون و جعل، ولی </w:t>
      </w:r>
      <w:r w:rsidR="00542A47">
        <w:rPr>
          <w:rFonts w:hint="cs"/>
          <w:rtl/>
        </w:rPr>
        <w:t xml:space="preserve">دلیلی بر </w:t>
      </w:r>
      <w:r>
        <w:rPr>
          <w:rFonts w:hint="cs"/>
          <w:rtl/>
        </w:rPr>
        <w:t xml:space="preserve">اصالة التطابق بین مقام اثبات و خطاب که «الفقیه» در آن به عنوان موضوع اخذ شده است و بین مقام ثبوت که حتما در مقام ثبوت قانون نیز «الفقیه» موضوع </w:t>
      </w:r>
      <w:r w:rsidR="00542A47">
        <w:rPr>
          <w:rFonts w:hint="cs"/>
          <w:rtl/>
        </w:rPr>
        <w:t>برای وجوب اکرام است</w:t>
      </w:r>
      <w:r>
        <w:rPr>
          <w:rFonts w:hint="cs"/>
          <w:rtl/>
        </w:rPr>
        <w:t xml:space="preserve"> وجود ندارد. و مولی می‌تواند یک قانون کلی را جعل کند و یکی از صغریات آن را از باب تاکید بر آن و یا محل ابتلاء بودن آن در خطابش بیان کند. و لذا در مثال مذکور «اکرم الفقیه» ظهور ندارد در این که در مقام ثبوت نیز عنوان «الفقیه» موضوع جعل است بلکه ممکن است </w:t>
      </w:r>
      <w:r w:rsidR="00542A47">
        <w:rPr>
          <w:rFonts w:hint="cs"/>
          <w:rtl/>
        </w:rPr>
        <w:t>فقیه</w:t>
      </w:r>
      <w:r>
        <w:rPr>
          <w:rFonts w:hint="cs"/>
          <w:rtl/>
        </w:rPr>
        <w:t xml:space="preserve"> </w:t>
      </w:r>
      <w:r w:rsidR="00542A47">
        <w:rPr>
          <w:rFonts w:hint="cs"/>
          <w:rtl/>
        </w:rPr>
        <w:t>م</w:t>
      </w:r>
      <w:r>
        <w:rPr>
          <w:rFonts w:hint="cs"/>
          <w:rtl/>
        </w:rPr>
        <w:t xml:space="preserve">صداقی از موضوع جعل باشد و این که آن را بیان کردند از باب اهمیت یا محل ابتلاء بودن آن است. </w:t>
      </w:r>
    </w:p>
    <w:p w:rsidR="006123A1" w:rsidRDefault="006123A1" w:rsidP="000A5F03">
      <w:pPr>
        <w:pStyle w:val="NoSpacing"/>
        <w:jc w:val="both"/>
        <w:rPr>
          <w:rtl/>
        </w:rPr>
      </w:pPr>
      <w:r>
        <w:rPr>
          <w:rFonts w:hint="cs"/>
          <w:rtl/>
        </w:rPr>
        <w:t xml:space="preserve">و این که گفته شود «امام علیه السلام متن قانون را بیان می‌کند لذا وقتی فرموده‌اند: «اکرم الفقیه» معلوم می‌شود خود «الفقیه» در متن قانون است.» صحیح نیست </w:t>
      </w:r>
      <w:r w:rsidR="009558CB">
        <w:rPr>
          <w:rFonts w:hint="cs"/>
          <w:rtl/>
        </w:rPr>
        <w:t>و امام علیه السلام تضمین نکردند که حتما متن قانون را بیان کنند. و خداوند متعال نیز در قرآن متن قانون را بیان  نکرده است مثل آی</w:t>
      </w:r>
      <w:r w:rsidR="009558CB" w:rsidRPr="009558CB">
        <w:rPr>
          <w:rFonts w:hint="cs"/>
          <w:rtl/>
        </w:rPr>
        <w:t>ه «حُرِّمَتْ عَلَيْكُمُ الْمَيْتَةُ وَ الدَّمُ وَ لَحْمُ الْخِنْزيرِ وَ ما أُهِلَّ لِغَيْرِ اللَّهِ بِهِ وَ الْمُنْخَنِقَةُ وَ الْمَوْقُوذَةُ وَ الْمُتَرَدِّيَةُ وَ النَّطيحَةُ وَ ما أَكَلَ السَّبُعُ إِلاَّ ما ذَكَّيْتُم‏»</w:t>
      </w:r>
      <w:r w:rsidR="009558CB">
        <w:rPr>
          <w:rStyle w:val="FootnoteReference"/>
          <w:rtl/>
        </w:rPr>
        <w:footnoteReference w:id="10"/>
      </w:r>
      <w:r w:rsidR="009558CB" w:rsidRPr="009558CB">
        <w:rPr>
          <w:rFonts w:hint="cs"/>
          <w:rtl/>
        </w:rPr>
        <w:t xml:space="preserve"> </w:t>
      </w:r>
      <w:r w:rsidR="009558CB">
        <w:rPr>
          <w:rFonts w:hint="cs"/>
          <w:rtl/>
        </w:rPr>
        <w:t xml:space="preserve">در حالی که متن قانون «حرم علیکم غیر المذکی» است ولی خداوند متعال در این آیه مصادیق غیر مذکی را بیان کرده است. </w:t>
      </w:r>
    </w:p>
    <w:p w:rsidR="009558CB" w:rsidRDefault="009558CB" w:rsidP="000A5F03">
      <w:pPr>
        <w:pStyle w:val="NoSpacing"/>
        <w:jc w:val="both"/>
        <w:rPr>
          <w:rtl/>
        </w:rPr>
      </w:pPr>
      <w:r>
        <w:rPr>
          <w:rFonts w:hint="cs"/>
          <w:rtl/>
        </w:rPr>
        <w:t xml:space="preserve">بنابراین نمی‌توان از خطاب استظهار کرد که همین چیزی که در خطاب بیان شد، در مقام ثبوت </w:t>
      </w:r>
      <w:r w:rsidR="00542A47">
        <w:rPr>
          <w:rFonts w:hint="cs"/>
          <w:rtl/>
        </w:rPr>
        <w:t>نیز متن قانون است بلکه</w:t>
      </w:r>
      <w:r>
        <w:rPr>
          <w:rFonts w:hint="cs"/>
          <w:rtl/>
        </w:rPr>
        <w:t xml:space="preserve"> ممکن است </w:t>
      </w:r>
      <w:r w:rsidR="00542A47">
        <w:rPr>
          <w:rFonts w:hint="cs"/>
          <w:rtl/>
        </w:rPr>
        <w:t>خطاب بیان مصداقی از متن قانون</w:t>
      </w:r>
      <w:r>
        <w:rPr>
          <w:rFonts w:hint="cs"/>
          <w:rtl/>
        </w:rPr>
        <w:t xml:space="preserve"> باشد. </w:t>
      </w:r>
    </w:p>
    <w:p w:rsidR="009558CB" w:rsidRDefault="009558CB" w:rsidP="000A5F03">
      <w:pPr>
        <w:pStyle w:val="Heading2"/>
        <w:jc w:val="both"/>
        <w:rPr>
          <w:rtl/>
        </w:rPr>
      </w:pPr>
      <w:bookmarkStart w:id="80" w:name="_Toc126308567"/>
      <w:r>
        <w:rPr>
          <w:rFonts w:hint="cs"/>
          <w:rtl/>
        </w:rPr>
        <w:t>کلام محقق خویی رحمه الله</w:t>
      </w:r>
      <w:bookmarkEnd w:id="80"/>
    </w:p>
    <w:p w:rsidR="009558CB" w:rsidRDefault="009558CB" w:rsidP="000A5F03">
      <w:pPr>
        <w:jc w:val="both"/>
        <w:rPr>
          <w:rtl/>
        </w:rPr>
      </w:pPr>
      <w:r>
        <w:rPr>
          <w:rFonts w:hint="cs"/>
          <w:rtl/>
        </w:rPr>
        <w:t xml:space="preserve">در مثال «اکرم العالم» و «اکرم الفقیه» چون «الفقیه» لقب است و معتمد بر موصوف نیست، مفهوم ندارد و دو خطاب با هم تنافی ندارند. </w:t>
      </w:r>
    </w:p>
    <w:p w:rsidR="009558CB" w:rsidRDefault="009558CB" w:rsidP="00330E9E">
      <w:pPr>
        <w:jc w:val="both"/>
        <w:rPr>
          <w:rtl/>
        </w:rPr>
      </w:pPr>
      <w:r>
        <w:rPr>
          <w:rFonts w:hint="cs"/>
          <w:rtl/>
        </w:rPr>
        <w:t>ولی اگر خطاب مقید به نحو جمله‌ی وصفیه «اکرم العالم الفقیه» باشد، دارای مفهوم است چون اگر «العالم» تمام الموضوع برای وجوب اکرام باشد ذکر «الفقیه» در کنار آن لغو خواهد بود، و در این صورت خطاب مطلق ب</w:t>
      </w:r>
      <w:r w:rsidR="00330E9E">
        <w:rPr>
          <w:rFonts w:hint="cs"/>
          <w:rtl/>
        </w:rPr>
        <w:t xml:space="preserve">ه </w:t>
      </w:r>
      <w:r>
        <w:rPr>
          <w:rFonts w:hint="cs"/>
          <w:rtl/>
        </w:rPr>
        <w:t>خاطر مفهوم مخالف وصف حمل بر مقید می‌شود</w:t>
      </w:r>
      <w:r>
        <w:rPr>
          <w:rStyle w:val="FootnoteReference"/>
          <w:rtl/>
        </w:rPr>
        <w:footnoteReference w:id="11"/>
      </w:r>
      <w:r>
        <w:rPr>
          <w:rFonts w:hint="cs"/>
          <w:rtl/>
        </w:rPr>
        <w:t>.</w:t>
      </w:r>
    </w:p>
    <w:p w:rsidR="009558CB" w:rsidRDefault="009558CB" w:rsidP="000A5F03">
      <w:pPr>
        <w:pStyle w:val="Heading3"/>
        <w:jc w:val="both"/>
        <w:rPr>
          <w:rtl/>
        </w:rPr>
      </w:pPr>
      <w:bookmarkStart w:id="81" w:name="_Toc126308568"/>
      <w:r>
        <w:rPr>
          <w:rFonts w:hint="cs"/>
          <w:rtl/>
        </w:rPr>
        <w:t>بررسی کلام محقق خویی رحمه الله</w:t>
      </w:r>
      <w:bookmarkEnd w:id="81"/>
      <w:r>
        <w:rPr>
          <w:rFonts w:hint="cs"/>
          <w:rtl/>
        </w:rPr>
        <w:t xml:space="preserve"> </w:t>
      </w:r>
    </w:p>
    <w:p w:rsidR="009558CB" w:rsidRDefault="009558CB" w:rsidP="00330E9E">
      <w:pPr>
        <w:jc w:val="both"/>
        <w:rPr>
          <w:rtl/>
        </w:rPr>
      </w:pPr>
      <w:r>
        <w:rPr>
          <w:rFonts w:hint="cs"/>
          <w:rtl/>
        </w:rPr>
        <w:t>وصف مفهوم فی الجمله دارد و مفهوم بالجمله ندارد، یعنی «اکرم العالم الفقیه» دلالت می‌کند بر این که «العالم» تمام الموضوع نیست ولی ممکن است عالم هاشمی ولو فقیه نباشد</w:t>
      </w:r>
      <w:r w:rsidR="00330E9E">
        <w:rPr>
          <w:rFonts w:hint="cs"/>
          <w:rtl/>
        </w:rPr>
        <w:t xml:space="preserve"> نیز</w:t>
      </w:r>
      <w:r>
        <w:rPr>
          <w:rFonts w:hint="cs"/>
          <w:rtl/>
        </w:rPr>
        <w:t xml:space="preserve"> واجب الاکرام باشد. پس مفاد «اکرم العالم الفقیه» این است که عالمی که فقیه نیست و امتیاز دیگری که </w:t>
      </w:r>
      <w:r w:rsidR="00330E9E">
        <w:rPr>
          <w:rFonts w:hint="cs"/>
          <w:rtl/>
        </w:rPr>
        <w:t xml:space="preserve">محتمل است جانشین فقیه بودن شود ندارد </w:t>
      </w:r>
      <w:r>
        <w:rPr>
          <w:rFonts w:hint="cs"/>
          <w:rtl/>
        </w:rPr>
        <w:t xml:space="preserve">واجب الاکرام نیست ولی وجوب اکرام عالمی که فقیه نیست ولی امتیاز دیگری دارد که محتمل است جانشین فقیه بودن شود مثل عالم هاشمی را نفی نمی‌کند. </w:t>
      </w:r>
      <w:r w:rsidR="00294F41">
        <w:rPr>
          <w:rFonts w:hint="cs"/>
          <w:rtl/>
        </w:rPr>
        <w:t>لذا وجهی برای خروج «عالم هاشمی» از «اکرم العالم» وجود ندارد.</w:t>
      </w:r>
    </w:p>
    <w:p w:rsidR="00294F41" w:rsidRDefault="00294F41" w:rsidP="000A5F03">
      <w:pPr>
        <w:jc w:val="both"/>
        <w:rPr>
          <w:rtl/>
        </w:rPr>
      </w:pPr>
      <w:r>
        <w:rPr>
          <w:rFonts w:hint="cs"/>
          <w:rtl/>
        </w:rPr>
        <w:t xml:space="preserve">البته در صورتی که احراز شود که در علماء غیر فقیه بین هاشمی و غیر هاشمی فرق وجود ندارد و حکم آن دو واحد است، آن خارج از بحث است و تبدیل به مفهوم بالجملة می‌شود. </w:t>
      </w:r>
    </w:p>
    <w:p w:rsidR="00294F41" w:rsidRDefault="00294F41" w:rsidP="00387743">
      <w:pPr>
        <w:jc w:val="both"/>
        <w:rPr>
          <w:rtl/>
        </w:rPr>
      </w:pPr>
      <w:r>
        <w:rPr>
          <w:rFonts w:hint="cs"/>
          <w:rtl/>
        </w:rPr>
        <w:t>و اگر علم به تساوی بین آن دو نداشتیم ولی عالم غیر فقیه قدر متیقن نیز نداشته باشد- ب</w:t>
      </w:r>
      <w:r w:rsidR="001E4CC4">
        <w:rPr>
          <w:rFonts w:hint="cs"/>
          <w:rtl/>
        </w:rPr>
        <w:t>ر</w:t>
      </w:r>
      <w:r w:rsidR="00387743">
        <w:rPr>
          <w:rFonts w:hint="cs"/>
          <w:rtl/>
        </w:rPr>
        <w:t xml:space="preserve"> </w:t>
      </w:r>
      <w:r>
        <w:rPr>
          <w:rFonts w:hint="cs"/>
          <w:rtl/>
        </w:rPr>
        <w:t xml:space="preserve">خلاف مثال مذکور که قدر متیقن از آن عدم وجوب اکرام عالم غیر فقیه و غیر هاشمی بود.- مثل این که بین عالم غیر فقیه هاشمی و عالم غیر فقیه غیر هاشمی فرق وجود نداشته باشد و قدر متیقن بین آن‌ دو وجود نداشته باشد و ممکن است شارع هاشمی را خارج کرده باشد و ممکن است غیر هاشمی را خارج کرده باشد، در این صورت نمی‌توان گفت هر دو فرد از تحت خطاب مطلق خارج شدند، بلکه اصالة الاطلاق دلالت می‌کند بر این که قدر متیقن خروج یکی از آن دو فرد است، </w:t>
      </w:r>
      <w:r w:rsidR="00EE5B97">
        <w:rPr>
          <w:rFonts w:hint="cs"/>
          <w:rtl/>
        </w:rPr>
        <w:t xml:space="preserve">و علم اجمالی به وجوب اکرام عالم غیر فقیه هاشمی و وجوب اکرام عالم غیر فقیه غیر هاشمی پیدا می‌شود و باید احتیاط کرد. </w:t>
      </w:r>
    </w:p>
    <w:p w:rsidR="00EE5B97" w:rsidRPr="009558CB" w:rsidRDefault="00EE5B97" w:rsidP="000A5F03">
      <w:pPr>
        <w:jc w:val="both"/>
      </w:pPr>
    </w:p>
    <w:sectPr w:rsidR="00EE5B97" w:rsidRPr="009558CB" w:rsidSect="00732245">
      <w:headerReference w:type="default" r:id="rId8"/>
      <w:footerReference w:type="default" r:id="rId9"/>
      <w:footnotePr>
        <w:numRestart w:val="eachPage"/>
      </w:footnotePr>
      <w:pgSz w:w="12240" w:h="15840"/>
      <w:pgMar w:top="189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73" w:rsidRDefault="00932E73" w:rsidP="00732245">
      <w:pPr>
        <w:spacing w:after="0"/>
      </w:pPr>
      <w:r>
        <w:separator/>
      </w:r>
    </w:p>
  </w:endnote>
  <w:endnote w:type="continuationSeparator" w:id="0">
    <w:p w:rsidR="00932E73" w:rsidRDefault="00932E73" w:rsidP="00732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511C94" w:rsidRDefault="004707E2">
        <w:pPr>
          <w:pStyle w:val="Footer"/>
          <w:jc w:val="center"/>
        </w:pPr>
        <w:r>
          <w:fldChar w:fldCharType="begin"/>
        </w:r>
        <w:r>
          <w:instrText xml:space="preserve"> PAGE   \* MERGEFORMAT </w:instrText>
        </w:r>
        <w:r>
          <w:fldChar w:fldCharType="separate"/>
        </w:r>
        <w:r w:rsidR="00A44DBA">
          <w:rPr>
            <w:noProof/>
            <w:rtl/>
          </w:rPr>
          <w:t>1</w:t>
        </w:r>
        <w:r>
          <w:rPr>
            <w:noProof/>
          </w:rPr>
          <w:fldChar w:fldCharType="end"/>
        </w:r>
      </w:p>
    </w:sdtContent>
  </w:sdt>
  <w:p w:rsidR="00511C94" w:rsidRDefault="00513857">
    <w:pPr>
      <w:pStyle w:val="Footer"/>
    </w:pPr>
  </w:p>
  <w:p w:rsidR="00511C94" w:rsidRDefault="00513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73" w:rsidRDefault="00932E73" w:rsidP="00732245">
      <w:pPr>
        <w:spacing w:after="0"/>
      </w:pPr>
      <w:r>
        <w:separator/>
      </w:r>
    </w:p>
  </w:footnote>
  <w:footnote w:type="continuationSeparator" w:id="0">
    <w:p w:rsidR="00932E73" w:rsidRDefault="00932E73" w:rsidP="00732245">
      <w:pPr>
        <w:spacing w:after="0"/>
      </w:pPr>
      <w:r>
        <w:continuationSeparator/>
      </w:r>
    </w:p>
  </w:footnote>
  <w:footnote w:id="1">
    <w:p w:rsidR="00732245" w:rsidRDefault="00732245">
      <w:pPr>
        <w:pStyle w:val="FootnoteText"/>
        <w:rPr>
          <w:rtl/>
        </w:rPr>
      </w:pPr>
      <w:r>
        <w:rPr>
          <w:rStyle w:val="FootnoteReference"/>
        </w:rPr>
        <w:footnoteRef/>
      </w:r>
      <w:r>
        <w:rPr>
          <w:rtl/>
        </w:rPr>
        <w:t xml:space="preserve"> </w:t>
      </w:r>
      <w:r>
        <w:rPr>
          <w:rFonts w:hint="cs"/>
          <w:rtl/>
        </w:rPr>
        <w:t>دروس فی علم الاصول(طبع انتشارات اسلامی)، صدر، محمد باقر، ج2، ص565.</w:t>
      </w:r>
    </w:p>
  </w:footnote>
  <w:footnote w:id="2">
    <w:p w:rsidR="002649C7" w:rsidRDefault="002649C7">
      <w:pPr>
        <w:pStyle w:val="FootnoteText"/>
        <w:rPr>
          <w:rtl/>
        </w:rPr>
      </w:pPr>
      <w:r>
        <w:rPr>
          <w:rStyle w:val="FootnoteReference"/>
        </w:rPr>
        <w:footnoteRef/>
      </w:r>
      <w:r>
        <w:rPr>
          <w:rtl/>
        </w:rPr>
        <w:t xml:space="preserve"> </w:t>
      </w:r>
      <w:r w:rsidR="000F77D7">
        <w:rPr>
          <w:rFonts w:hint="cs"/>
          <w:rtl/>
        </w:rPr>
        <w:t>بحوث فی علم الاصول(تقریرات عبدالساتر، حسن)، صدر، محمدباقر، ج7، ص509.</w:t>
      </w:r>
    </w:p>
  </w:footnote>
  <w:footnote w:id="3">
    <w:p w:rsidR="002649C7" w:rsidRDefault="002649C7">
      <w:pPr>
        <w:pStyle w:val="FootnoteText"/>
      </w:pPr>
      <w:r>
        <w:rPr>
          <w:rStyle w:val="FootnoteReference"/>
        </w:rPr>
        <w:footnoteRef/>
      </w:r>
      <w:r w:rsidR="000F77D7">
        <w:rPr>
          <w:rFonts w:hint="cs"/>
          <w:rtl/>
        </w:rPr>
        <w:t xml:space="preserve"> بحوث فی علم الاصول(تقریرات هاشمی شاهرودی، محمود)، صدر، محمدباقر،</w:t>
      </w:r>
      <w:r>
        <w:rPr>
          <w:rtl/>
        </w:rPr>
        <w:t xml:space="preserve"> </w:t>
      </w:r>
      <w:r w:rsidR="000F77D7">
        <w:rPr>
          <w:rFonts w:hint="cs"/>
          <w:rtl/>
        </w:rPr>
        <w:t>ج3، 421/</w:t>
      </w:r>
    </w:p>
  </w:footnote>
  <w:footnote w:id="4">
    <w:p w:rsidR="001C0E59" w:rsidRPr="00DB6DD2" w:rsidRDefault="001C0E59" w:rsidP="00DB6DD2">
      <w:pPr>
        <w:pStyle w:val="NormalWeb"/>
        <w:bidi/>
        <w:jc w:val="both"/>
        <w:rPr>
          <w:rFonts w:ascii="NoorLotus" w:hAnsi="NoorLotus" w:cs="NoorLotus"/>
          <w:b/>
          <w:bCs/>
        </w:rPr>
      </w:pPr>
      <w:r w:rsidRPr="00DB6DD2">
        <w:rPr>
          <w:rStyle w:val="FootnoteReference"/>
          <w:rFonts w:ascii="NoorLotus" w:hAnsi="NoorLotus" w:cs="NoorLotus"/>
          <w:b/>
          <w:bCs/>
        </w:rPr>
        <w:footnoteRef/>
      </w:r>
      <w:r w:rsidRPr="00DB6DD2">
        <w:rPr>
          <w:rFonts w:ascii="NoorLotus" w:hAnsi="NoorLotus" w:cs="NoorLotus"/>
          <w:b/>
          <w:bCs/>
          <w:rtl/>
        </w:rPr>
        <w:t xml:space="preserve"> </w:t>
      </w:r>
      <w:r w:rsidRPr="00DB6DD2">
        <w:rPr>
          <w:rFonts w:ascii="NoorLotus" w:hAnsi="NoorLotus" w:cs="NoorLotus"/>
          <w:b/>
          <w:bCs/>
          <w:rtl/>
          <w:lang w:bidi="fa-IR"/>
        </w:rPr>
        <w:t xml:space="preserve">وَ رُوِيَ عَنْ جَعْفَرِ بْنِ مُحَمَّدِ بْنِ يُونُسَ 5 أَنَّ أَبَاهُ كَتَبَ إِلَى أَبِي الْحَسَنِ ع- يَسْأَلُهُ عَنِ الْفَرْوِ وَ الْخُفِّ أَلْبَسُهُ وَ أُصَلِّي فِيهِ وَ لَا أَعْلَمُ أَنَّهُ ذَكِيٌّ فَكَتَبَ لَا بَأْسَ بِهِ: </w:t>
      </w:r>
      <w:r w:rsidRPr="00DB6DD2">
        <w:rPr>
          <w:rFonts w:ascii="NoorLotus" w:hAnsi="NoorLotus" w:cs="NoorLotus"/>
          <w:rtl/>
          <w:lang w:bidi="fa-IR"/>
        </w:rPr>
        <w:t>من لا يحضره الفقيه، ج‌1، ص: 258‌</w:t>
      </w:r>
    </w:p>
  </w:footnote>
  <w:footnote w:id="5">
    <w:p w:rsidR="00D8731C" w:rsidRDefault="00D8731C">
      <w:pPr>
        <w:pStyle w:val="FootnoteText"/>
      </w:pPr>
      <w:r>
        <w:rPr>
          <w:rStyle w:val="FootnoteReference"/>
        </w:rPr>
        <w:footnoteRef/>
      </w:r>
      <w:r>
        <w:rPr>
          <w:rtl/>
        </w:rPr>
        <w:t xml:space="preserve"> </w:t>
      </w:r>
      <w:r>
        <w:rPr>
          <w:rFonts w:hint="cs"/>
          <w:rtl/>
        </w:rPr>
        <w:t>تهذیب الاحکام(تحقیق خراسان)، طوسی، محمد بن الحسن، ج2، ص369، ح64.</w:t>
      </w:r>
    </w:p>
  </w:footnote>
  <w:footnote w:id="6">
    <w:p w:rsidR="00063AF6" w:rsidRPr="009140C7" w:rsidRDefault="000F77D7" w:rsidP="00063AF6">
      <w:pPr>
        <w:pStyle w:val="FootnoteText"/>
      </w:pPr>
      <w:r w:rsidRPr="009140C7">
        <w:rPr>
          <w:rFonts w:hint="cs"/>
          <w:rtl/>
        </w:rPr>
        <w:t xml:space="preserve"> </w:t>
      </w:r>
      <w:r w:rsidR="00063AF6" w:rsidRPr="009140C7">
        <w:rPr>
          <w:rStyle w:val="FootnoteReference"/>
        </w:rPr>
        <w:footnoteRef/>
      </w:r>
      <w:r w:rsidR="00063AF6" w:rsidRPr="009140C7">
        <w:rPr>
          <w:rtl/>
        </w:rPr>
        <w:t xml:space="preserve"> </w:t>
      </w:r>
      <w:r w:rsidR="00063AF6" w:rsidRPr="009140C7">
        <w:rPr>
          <w:rFonts w:hint="cs"/>
          <w:rtl/>
        </w:rPr>
        <w:t>تهیذیب الاصول</w:t>
      </w:r>
      <w:r w:rsidRPr="009140C7">
        <w:rPr>
          <w:rFonts w:hint="cs"/>
          <w:rtl/>
        </w:rPr>
        <w:t>، امام خمینی، سید روح الله،  ج</w:t>
      </w:r>
      <w:r w:rsidRPr="009140C7">
        <w:t>1</w:t>
      </w:r>
      <w:r w:rsidRPr="009140C7">
        <w:rPr>
          <w:rFonts w:hint="cs"/>
          <w:rtl/>
        </w:rPr>
        <w:t>، ص313.</w:t>
      </w:r>
    </w:p>
  </w:footnote>
  <w:footnote w:id="7">
    <w:p w:rsidR="00382443" w:rsidRPr="00063AF6" w:rsidRDefault="00382443">
      <w:pPr>
        <w:pStyle w:val="FootnoteText"/>
        <w:rPr>
          <w:highlight w:val="yellow"/>
          <w:rtl/>
        </w:rPr>
      </w:pPr>
      <w:r w:rsidRPr="009140C7">
        <w:rPr>
          <w:rStyle w:val="FootnoteReference"/>
        </w:rPr>
        <w:footnoteRef/>
      </w:r>
      <w:r w:rsidRPr="009140C7">
        <w:rPr>
          <w:rtl/>
        </w:rPr>
        <w:t xml:space="preserve"> </w:t>
      </w:r>
      <w:r w:rsidR="00063AF6" w:rsidRPr="009140C7">
        <w:rPr>
          <w:rFonts w:hint="cs"/>
          <w:rtl/>
        </w:rPr>
        <w:t>بحوث فی علم الاصول، صدر، محمد باقر، ج3، ص39.</w:t>
      </w:r>
    </w:p>
  </w:footnote>
  <w:footnote w:id="8">
    <w:p w:rsidR="00063AF6" w:rsidRDefault="00063AF6" w:rsidP="00063AF6">
      <w:pPr>
        <w:pStyle w:val="FootnoteText"/>
        <w:rPr>
          <w:rtl/>
        </w:rPr>
      </w:pPr>
      <w:r w:rsidRPr="00F36C39">
        <w:rPr>
          <w:rStyle w:val="FootnoteReference"/>
        </w:rPr>
        <w:footnoteRef/>
      </w:r>
      <w:r w:rsidRPr="00F36C39">
        <w:rPr>
          <w:rtl/>
        </w:rPr>
        <w:t xml:space="preserve"> </w:t>
      </w:r>
      <w:r w:rsidR="00F36C39" w:rsidRPr="00F36C39">
        <w:rPr>
          <w:rFonts w:hint="cs"/>
          <w:rtl/>
        </w:rPr>
        <w:t>درس</w:t>
      </w:r>
      <w:r w:rsidR="000D43E3" w:rsidRPr="00F36C39">
        <w:rPr>
          <w:rFonts w:hint="cs"/>
          <w:rtl/>
        </w:rPr>
        <w:t>نامه</w:t>
      </w:r>
      <w:r w:rsidR="00F36C39">
        <w:rPr>
          <w:rFonts w:hint="cs"/>
          <w:rtl/>
        </w:rPr>
        <w:t xml:space="preserve"> اصول فقه</w:t>
      </w:r>
      <w:r w:rsidR="000D43E3">
        <w:rPr>
          <w:rFonts w:hint="cs"/>
          <w:rtl/>
        </w:rPr>
        <w:t>،</w:t>
      </w:r>
      <w:r w:rsidR="00F36C39">
        <w:rPr>
          <w:rFonts w:hint="cs"/>
          <w:rtl/>
        </w:rPr>
        <w:t xml:space="preserve"> هاشمی شاهرودی، سید محمود، ج..ص387.</w:t>
      </w:r>
    </w:p>
  </w:footnote>
  <w:footnote w:id="9">
    <w:p w:rsidR="009140C7" w:rsidRDefault="009140C7">
      <w:pPr>
        <w:pStyle w:val="FootnoteText"/>
        <w:rPr>
          <w:rtl/>
        </w:rPr>
      </w:pPr>
      <w:r>
        <w:rPr>
          <w:rStyle w:val="FootnoteReference"/>
        </w:rPr>
        <w:footnoteRef/>
      </w:r>
      <w:r>
        <w:rPr>
          <w:rtl/>
        </w:rPr>
        <w:t xml:space="preserve"> </w:t>
      </w:r>
      <w:r>
        <w:rPr>
          <w:rFonts w:hint="cs"/>
          <w:rtl/>
        </w:rPr>
        <w:t>بحوث فی علم الاصول، صدر، محمد باقر، ج3، ص</w:t>
      </w:r>
      <w:r>
        <w:t>442</w:t>
      </w:r>
      <w:r>
        <w:rPr>
          <w:rFonts w:hint="cs"/>
          <w:rtl/>
        </w:rPr>
        <w:t>.</w:t>
      </w:r>
    </w:p>
  </w:footnote>
  <w:footnote w:id="10">
    <w:p w:rsidR="009558CB" w:rsidRDefault="009558CB">
      <w:pPr>
        <w:pStyle w:val="FootnoteText"/>
      </w:pPr>
      <w:r>
        <w:rPr>
          <w:rStyle w:val="FootnoteReference"/>
        </w:rPr>
        <w:footnoteRef/>
      </w:r>
      <w:r>
        <w:rPr>
          <w:rtl/>
        </w:rPr>
        <w:t xml:space="preserve"> </w:t>
      </w:r>
      <w:r>
        <w:rPr>
          <w:rFonts w:hint="cs"/>
          <w:rtl/>
        </w:rPr>
        <w:t>المائدة:3.</w:t>
      </w:r>
    </w:p>
  </w:footnote>
  <w:footnote w:id="11">
    <w:p w:rsidR="009558CB" w:rsidRDefault="009558CB">
      <w:pPr>
        <w:pStyle w:val="FootnoteText"/>
        <w:rPr>
          <w:rtl/>
        </w:rPr>
      </w:pPr>
      <w:r>
        <w:rPr>
          <w:rStyle w:val="FootnoteReference"/>
        </w:rPr>
        <w:footnoteRef/>
      </w:r>
      <w:r>
        <w:rPr>
          <w:rtl/>
        </w:rPr>
        <w:t xml:space="preserve"> </w:t>
      </w:r>
      <w:r w:rsidR="00EE5B97">
        <w:rPr>
          <w:rFonts w:hint="cs"/>
          <w:rtl/>
        </w:rPr>
        <w:t xml:space="preserve">محاضرات فی اصول </w:t>
      </w:r>
      <w:r w:rsidR="009140C7">
        <w:rPr>
          <w:rFonts w:hint="cs"/>
          <w:rtl/>
        </w:rPr>
        <w:t>الفقه(طبع دارالهدی)، خویی، ابوالقاسم، ج5، ص380-381.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94" w:rsidRDefault="004707E2" w:rsidP="00511C9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732245" w:rsidRDefault="004707E2" w:rsidP="00732245">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732245">
      <w:rPr>
        <w:rFonts w:ascii="NoorLotus" w:hAnsi="NoorLotus" w:hint="cs"/>
        <w:sz w:val="18"/>
        <w:szCs w:val="18"/>
        <w:rtl/>
      </w:rPr>
      <w:t>89</w:t>
    </w:r>
    <w:r>
      <w:rPr>
        <w:rFonts w:ascii="NoorLotus" w:hAnsi="NoorLotus"/>
        <w:sz w:val="18"/>
        <w:szCs w:val="18"/>
        <w:rtl/>
      </w:rPr>
      <w:t>(تاریخ</w:t>
    </w:r>
    <w:r>
      <w:rPr>
        <w:rFonts w:ascii="NoorLotus" w:hAnsi="NoorLotus" w:hint="cs"/>
        <w:sz w:val="18"/>
        <w:szCs w:val="18"/>
        <w:rtl/>
      </w:rPr>
      <w:t>:1</w:t>
    </w:r>
    <w:r w:rsidR="00732245">
      <w:rPr>
        <w:rFonts w:ascii="NoorLotus" w:hAnsi="NoorLotus" w:hint="cs"/>
        <w:sz w:val="18"/>
        <w:szCs w:val="18"/>
        <w:rtl/>
      </w:rPr>
      <w:t>2</w:t>
    </w:r>
    <w:r>
      <w:rPr>
        <w:rFonts w:ascii="NoorLotus" w:hAnsi="NoorLotus" w:hint="cs"/>
        <w:sz w:val="18"/>
        <w:szCs w:val="18"/>
        <w:rtl/>
      </w:rPr>
      <w:t>/11</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5"/>
    <w:rsid w:val="0005199F"/>
    <w:rsid w:val="00063AF6"/>
    <w:rsid w:val="000A5F03"/>
    <w:rsid w:val="000B6732"/>
    <w:rsid w:val="000D43E3"/>
    <w:rsid w:val="000F77D7"/>
    <w:rsid w:val="001C0E59"/>
    <w:rsid w:val="001E4CC4"/>
    <w:rsid w:val="002649C7"/>
    <w:rsid w:val="00294F41"/>
    <w:rsid w:val="00330E9E"/>
    <w:rsid w:val="00382443"/>
    <w:rsid w:val="00387743"/>
    <w:rsid w:val="004707E2"/>
    <w:rsid w:val="004C0B32"/>
    <w:rsid w:val="00513857"/>
    <w:rsid w:val="00536D86"/>
    <w:rsid w:val="00542A47"/>
    <w:rsid w:val="006035A0"/>
    <w:rsid w:val="006123A1"/>
    <w:rsid w:val="00675080"/>
    <w:rsid w:val="006C54C8"/>
    <w:rsid w:val="006F1F03"/>
    <w:rsid w:val="00732245"/>
    <w:rsid w:val="009140C7"/>
    <w:rsid w:val="00932E73"/>
    <w:rsid w:val="009558CB"/>
    <w:rsid w:val="009A2A2B"/>
    <w:rsid w:val="009C7E7A"/>
    <w:rsid w:val="00A44DBA"/>
    <w:rsid w:val="00A6167E"/>
    <w:rsid w:val="00B26234"/>
    <w:rsid w:val="00CA2575"/>
    <w:rsid w:val="00CF486A"/>
    <w:rsid w:val="00D8731C"/>
    <w:rsid w:val="00DB6DD2"/>
    <w:rsid w:val="00DC7CDF"/>
    <w:rsid w:val="00DE63B3"/>
    <w:rsid w:val="00DF18E1"/>
    <w:rsid w:val="00E10C91"/>
    <w:rsid w:val="00EA76F0"/>
    <w:rsid w:val="00ED6C3D"/>
    <w:rsid w:val="00EE5B97"/>
    <w:rsid w:val="00F02EB9"/>
    <w:rsid w:val="00F131DA"/>
    <w:rsid w:val="00F3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4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3224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32245"/>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3224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32245"/>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qFormat/>
    <w:rsid w:val="00732245"/>
    <w:pPr>
      <w:spacing w:after="0"/>
    </w:pPr>
    <w:rPr>
      <w:sz w:val="20"/>
      <w:szCs w:val="20"/>
    </w:rPr>
  </w:style>
  <w:style w:type="character" w:customStyle="1" w:styleId="FootnoteTextChar">
    <w:name w:val="Footnote Text Char"/>
    <w:basedOn w:val="DefaultParagraphFont"/>
    <w:link w:val="FootnoteText"/>
    <w:rsid w:val="00732245"/>
    <w:rPr>
      <w:rFonts w:ascii="Calibri" w:eastAsia="Calibri" w:hAnsi="Calibri" w:cs="NoorLotus"/>
      <w:sz w:val="20"/>
      <w:szCs w:val="20"/>
      <w:lang w:bidi="fa-IR"/>
    </w:rPr>
  </w:style>
  <w:style w:type="character" w:styleId="FootnoteReference">
    <w:name w:val="footnote reference"/>
    <w:basedOn w:val="DefaultParagraphFont"/>
    <w:unhideWhenUsed/>
    <w:qFormat/>
    <w:rsid w:val="00732245"/>
    <w:rPr>
      <w:vertAlign w:val="superscript"/>
    </w:rPr>
  </w:style>
  <w:style w:type="paragraph" w:styleId="Header">
    <w:name w:val="header"/>
    <w:basedOn w:val="Normal"/>
    <w:link w:val="HeaderChar"/>
    <w:uiPriority w:val="99"/>
    <w:unhideWhenUsed/>
    <w:rsid w:val="00732245"/>
    <w:pPr>
      <w:tabs>
        <w:tab w:val="center" w:pos="4680"/>
        <w:tab w:val="right" w:pos="9360"/>
      </w:tabs>
      <w:spacing w:after="0"/>
    </w:pPr>
  </w:style>
  <w:style w:type="character" w:customStyle="1" w:styleId="HeaderChar">
    <w:name w:val="Header Char"/>
    <w:basedOn w:val="DefaultParagraphFont"/>
    <w:link w:val="Header"/>
    <w:uiPriority w:val="99"/>
    <w:rsid w:val="00732245"/>
    <w:rPr>
      <w:rFonts w:ascii="Calibri" w:eastAsia="Calibri" w:hAnsi="Calibri" w:cs="NoorLotus"/>
      <w:szCs w:val="28"/>
      <w:lang w:bidi="fa-IR"/>
    </w:rPr>
  </w:style>
  <w:style w:type="paragraph" w:styleId="Footer">
    <w:name w:val="footer"/>
    <w:basedOn w:val="Normal"/>
    <w:link w:val="FooterChar"/>
    <w:uiPriority w:val="99"/>
    <w:unhideWhenUsed/>
    <w:rsid w:val="00732245"/>
    <w:pPr>
      <w:tabs>
        <w:tab w:val="center" w:pos="4680"/>
        <w:tab w:val="right" w:pos="9360"/>
      </w:tabs>
      <w:spacing w:after="0"/>
    </w:pPr>
  </w:style>
  <w:style w:type="character" w:customStyle="1" w:styleId="FooterChar">
    <w:name w:val="Footer Char"/>
    <w:basedOn w:val="DefaultParagraphFont"/>
    <w:link w:val="Footer"/>
    <w:uiPriority w:val="99"/>
    <w:rsid w:val="00732245"/>
    <w:rPr>
      <w:rFonts w:ascii="Calibri" w:eastAsia="Calibri" w:hAnsi="Calibri" w:cs="NoorLotus"/>
      <w:szCs w:val="28"/>
      <w:lang w:bidi="fa-IR"/>
    </w:rPr>
  </w:style>
  <w:style w:type="paragraph" w:styleId="NoSpacing">
    <w:name w:val="No Spacing"/>
    <w:uiPriority w:val="1"/>
    <w:qFormat/>
    <w:rsid w:val="00732245"/>
    <w:pPr>
      <w:bidi/>
      <w:spacing w:after="0" w:line="240" w:lineRule="auto"/>
    </w:pPr>
    <w:rPr>
      <w:rFonts w:ascii="Calibri" w:eastAsia="Calibri" w:hAnsi="Calibri" w:cs="NoorLotus"/>
      <w:sz w:val="28"/>
      <w:szCs w:val="28"/>
      <w:lang w:bidi="fa-IR"/>
    </w:rPr>
  </w:style>
  <w:style w:type="paragraph" w:styleId="TOCHeading">
    <w:name w:val="TOC Heading"/>
    <w:basedOn w:val="Heading1"/>
    <w:next w:val="Normal"/>
    <w:uiPriority w:val="39"/>
    <w:unhideWhenUsed/>
    <w:qFormat/>
    <w:rsid w:val="00732245"/>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32245"/>
    <w:pPr>
      <w:spacing w:after="100"/>
    </w:pPr>
  </w:style>
  <w:style w:type="paragraph" w:styleId="TOC2">
    <w:name w:val="toc 2"/>
    <w:basedOn w:val="Normal"/>
    <w:next w:val="Normal"/>
    <w:autoRedefine/>
    <w:uiPriority w:val="39"/>
    <w:unhideWhenUsed/>
    <w:rsid w:val="00732245"/>
    <w:pPr>
      <w:spacing w:after="100"/>
      <w:ind w:left="220"/>
    </w:pPr>
  </w:style>
  <w:style w:type="paragraph" w:styleId="TOC3">
    <w:name w:val="toc 3"/>
    <w:basedOn w:val="Normal"/>
    <w:next w:val="Normal"/>
    <w:autoRedefine/>
    <w:uiPriority w:val="39"/>
    <w:unhideWhenUsed/>
    <w:rsid w:val="00732245"/>
    <w:pPr>
      <w:spacing w:after="100"/>
      <w:ind w:left="440"/>
    </w:pPr>
  </w:style>
  <w:style w:type="character" w:styleId="Hyperlink">
    <w:name w:val="Hyperlink"/>
    <w:basedOn w:val="DefaultParagraphFont"/>
    <w:uiPriority w:val="99"/>
    <w:unhideWhenUsed/>
    <w:rsid w:val="00732245"/>
    <w:rPr>
      <w:color w:val="0000FF" w:themeColor="hyperlink"/>
      <w:u w:val="single"/>
    </w:rPr>
  </w:style>
  <w:style w:type="paragraph" w:styleId="BalloonText">
    <w:name w:val="Balloon Text"/>
    <w:basedOn w:val="Normal"/>
    <w:link w:val="BalloonTextChar"/>
    <w:uiPriority w:val="99"/>
    <w:semiHidden/>
    <w:unhideWhenUsed/>
    <w:rsid w:val="007322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45"/>
    <w:rPr>
      <w:rFonts w:ascii="Tahoma" w:eastAsia="Calibri" w:hAnsi="Tahoma" w:cs="Tahoma"/>
      <w:sz w:val="16"/>
      <w:szCs w:val="16"/>
      <w:lang w:bidi="fa-IR"/>
    </w:rPr>
  </w:style>
  <w:style w:type="paragraph" w:styleId="NormalWeb">
    <w:name w:val="Normal (Web)"/>
    <w:basedOn w:val="Normal"/>
    <w:uiPriority w:val="99"/>
    <w:unhideWhenUsed/>
    <w:rsid w:val="00732245"/>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4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3224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32245"/>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3224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32245"/>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qFormat/>
    <w:rsid w:val="00732245"/>
    <w:pPr>
      <w:spacing w:after="0"/>
    </w:pPr>
    <w:rPr>
      <w:sz w:val="20"/>
      <w:szCs w:val="20"/>
    </w:rPr>
  </w:style>
  <w:style w:type="character" w:customStyle="1" w:styleId="FootnoteTextChar">
    <w:name w:val="Footnote Text Char"/>
    <w:basedOn w:val="DefaultParagraphFont"/>
    <w:link w:val="FootnoteText"/>
    <w:rsid w:val="00732245"/>
    <w:rPr>
      <w:rFonts w:ascii="Calibri" w:eastAsia="Calibri" w:hAnsi="Calibri" w:cs="NoorLotus"/>
      <w:sz w:val="20"/>
      <w:szCs w:val="20"/>
      <w:lang w:bidi="fa-IR"/>
    </w:rPr>
  </w:style>
  <w:style w:type="character" w:styleId="FootnoteReference">
    <w:name w:val="footnote reference"/>
    <w:basedOn w:val="DefaultParagraphFont"/>
    <w:unhideWhenUsed/>
    <w:qFormat/>
    <w:rsid w:val="00732245"/>
    <w:rPr>
      <w:vertAlign w:val="superscript"/>
    </w:rPr>
  </w:style>
  <w:style w:type="paragraph" w:styleId="Header">
    <w:name w:val="header"/>
    <w:basedOn w:val="Normal"/>
    <w:link w:val="HeaderChar"/>
    <w:uiPriority w:val="99"/>
    <w:unhideWhenUsed/>
    <w:rsid w:val="00732245"/>
    <w:pPr>
      <w:tabs>
        <w:tab w:val="center" w:pos="4680"/>
        <w:tab w:val="right" w:pos="9360"/>
      </w:tabs>
      <w:spacing w:after="0"/>
    </w:pPr>
  </w:style>
  <w:style w:type="character" w:customStyle="1" w:styleId="HeaderChar">
    <w:name w:val="Header Char"/>
    <w:basedOn w:val="DefaultParagraphFont"/>
    <w:link w:val="Header"/>
    <w:uiPriority w:val="99"/>
    <w:rsid w:val="00732245"/>
    <w:rPr>
      <w:rFonts w:ascii="Calibri" w:eastAsia="Calibri" w:hAnsi="Calibri" w:cs="NoorLotus"/>
      <w:szCs w:val="28"/>
      <w:lang w:bidi="fa-IR"/>
    </w:rPr>
  </w:style>
  <w:style w:type="paragraph" w:styleId="Footer">
    <w:name w:val="footer"/>
    <w:basedOn w:val="Normal"/>
    <w:link w:val="FooterChar"/>
    <w:uiPriority w:val="99"/>
    <w:unhideWhenUsed/>
    <w:rsid w:val="00732245"/>
    <w:pPr>
      <w:tabs>
        <w:tab w:val="center" w:pos="4680"/>
        <w:tab w:val="right" w:pos="9360"/>
      </w:tabs>
      <w:spacing w:after="0"/>
    </w:pPr>
  </w:style>
  <w:style w:type="character" w:customStyle="1" w:styleId="FooterChar">
    <w:name w:val="Footer Char"/>
    <w:basedOn w:val="DefaultParagraphFont"/>
    <w:link w:val="Footer"/>
    <w:uiPriority w:val="99"/>
    <w:rsid w:val="00732245"/>
    <w:rPr>
      <w:rFonts w:ascii="Calibri" w:eastAsia="Calibri" w:hAnsi="Calibri" w:cs="NoorLotus"/>
      <w:szCs w:val="28"/>
      <w:lang w:bidi="fa-IR"/>
    </w:rPr>
  </w:style>
  <w:style w:type="paragraph" w:styleId="NoSpacing">
    <w:name w:val="No Spacing"/>
    <w:uiPriority w:val="1"/>
    <w:qFormat/>
    <w:rsid w:val="00732245"/>
    <w:pPr>
      <w:bidi/>
      <w:spacing w:after="0" w:line="240" w:lineRule="auto"/>
    </w:pPr>
    <w:rPr>
      <w:rFonts w:ascii="Calibri" w:eastAsia="Calibri" w:hAnsi="Calibri" w:cs="NoorLotus"/>
      <w:sz w:val="28"/>
      <w:szCs w:val="28"/>
      <w:lang w:bidi="fa-IR"/>
    </w:rPr>
  </w:style>
  <w:style w:type="paragraph" w:styleId="TOCHeading">
    <w:name w:val="TOC Heading"/>
    <w:basedOn w:val="Heading1"/>
    <w:next w:val="Normal"/>
    <w:uiPriority w:val="39"/>
    <w:unhideWhenUsed/>
    <w:qFormat/>
    <w:rsid w:val="00732245"/>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32245"/>
    <w:pPr>
      <w:spacing w:after="100"/>
    </w:pPr>
  </w:style>
  <w:style w:type="paragraph" w:styleId="TOC2">
    <w:name w:val="toc 2"/>
    <w:basedOn w:val="Normal"/>
    <w:next w:val="Normal"/>
    <w:autoRedefine/>
    <w:uiPriority w:val="39"/>
    <w:unhideWhenUsed/>
    <w:rsid w:val="00732245"/>
    <w:pPr>
      <w:spacing w:after="100"/>
      <w:ind w:left="220"/>
    </w:pPr>
  </w:style>
  <w:style w:type="paragraph" w:styleId="TOC3">
    <w:name w:val="toc 3"/>
    <w:basedOn w:val="Normal"/>
    <w:next w:val="Normal"/>
    <w:autoRedefine/>
    <w:uiPriority w:val="39"/>
    <w:unhideWhenUsed/>
    <w:rsid w:val="00732245"/>
    <w:pPr>
      <w:spacing w:after="100"/>
      <w:ind w:left="440"/>
    </w:pPr>
  </w:style>
  <w:style w:type="character" w:styleId="Hyperlink">
    <w:name w:val="Hyperlink"/>
    <w:basedOn w:val="DefaultParagraphFont"/>
    <w:uiPriority w:val="99"/>
    <w:unhideWhenUsed/>
    <w:rsid w:val="00732245"/>
    <w:rPr>
      <w:color w:val="0000FF" w:themeColor="hyperlink"/>
      <w:u w:val="single"/>
    </w:rPr>
  </w:style>
  <w:style w:type="paragraph" w:styleId="BalloonText">
    <w:name w:val="Balloon Text"/>
    <w:basedOn w:val="Normal"/>
    <w:link w:val="BalloonTextChar"/>
    <w:uiPriority w:val="99"/>
    <w:semiHidden/>
    <w:unhideWhenUsed/>
    <w:rsid w:val="007322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45"/>
    <w:rPr>
      <w:rFonts w:ascii="Tahoma" w:eastAsia="Calibri" w:hAnsi="Tahoma" w:cs="Tahoma"/>
      <w:sz w:val="16"/>
      <w:szCs w:val="16"/>
      <w:lang w:bidi="fa-IR"/>
    </w:rPr>
  </w:style>
  <w:style w:type="paragraph" w:styleId="NormalWeb">
    <w:name w:val="Normal (Web)"/>
    <w:basedOn w:val="Normal"/>
    <w:uiPriority w:val="99"/>
    <w:unhideWhenUsed/>
    <w:rsid w:val="00732245"/>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223">
      <w:bodyDiv w:val="1"/>
      <w:marLeft w:val="0"/>
      <w:marRight w:val="0"/>
      <w:marTop w:val="0"/>
      <w:marBottom w:val="0"/>
      <w:divBdr>
        <w:top w:val="none" w:sz="0" w:space="0" w:color="auto"/>
        <w:left w:val="none" w:sz="0" w:space="0" w:color="auto"/>
        <w:bottom w:val="none" w:sz="0" w:space="0" w:color="auto"/>
        <w:right w:val="none" w:sz="0" w:space="0" w:color="auto"/>
      </w:divBdr>
    </w:div>
    <w:div w:id="76173930">
      <w:bodyDiv w:val="1"/>
      <w:marLeft w:val="0"/>
      <w:marRight w:val="0"/>
      <w:marTop w:val="0"/>
      <w:marBottom w:val="0"/>
      <w:divBdr>
        <w:top w:val="none" w:sz="0" w:space="0" w:color="auto"/>
        <w:left w:val="none" w:sz="0" w:space="0" w:color="auto"/>
        <w:bottom w:val="none" w:sz="0" w:space="0" w:color="auto"/>
        <w:right w:val="none" w:sz="0" w:space="0" w:color="auto"/>
      </w:divBdr>
    </w:div>
    <w:div w:id="828710102">
      <w:bodyDiv w:val="1"/>
      <w:marLeft w:val="0"/>
      <w:marRight w:val="0"/>
      <w:marTop w:val="0"/>
      <w:marBottom w:val="0"/>
      <w:divBdr>
        <w:top w:val="none" w:sz="0" w:space="0" w:color="auto"/>
        <w:left w:val="none" w:sz="0" w:space="0" w:color="auto"/>
        <w:bottom w:val="none" w:sz="0" w:space="0" w:color="auto"/>
        <w:right w:val="none" w:sz="0" w:space="0" w:color="auto"/>
      </w:divBdr>
    </w:div>
    <w:div w:id="1603411376">
      <w:bodyDiv w:val="1"/>
      <w:marLeft w:val="0"/>
      <w:marRight w:val="0"/>
      <w:marTop w:val="0"/>
      <w:marBottom w:val="0"/>
      <w:divBdr>
        <w:top w:val="none" w:sz="0" w:space="0" w:color="auto"/>
        <w:left w:val="none" w:sz="0" w:space="0" w:color="auto"/>
        <w:bottom w:val="none" w:sz="0" w:space="0" w:color="auto"/>
        <w:right w:val="none" w:sz="0" w:space="0" w:color="auto"/>
      </w:divBdr>
    </w:div>
    <w:div w:id="1770076996">
      <w:bodyDiv w:val="1"/>
      <w:marLeft w:val="0"/>
      <w:marRight w:val="0"/>
      <w:marTop w:val="0"/>
      <w:marBottom w:val="0"/>
      <w:divBdr>
        <w:top w:val="none" w:sz="0" w:space="0" w:color="auto"/>
        <w:left w:val="none" w:sz="0" w:space="0" w:color="auto"/>
        <w:bottom w:val="none" w:sz="0" w:space="0" w:color="auto"/>
        <w:right w:val="none" w:sz="0" w:space="0" w:color="auto"/>
      </w:divBdr>
    </w:div>
    <w:div w:id="1800419301">
      <w:bodyDiv w:val="1"/>
      <w:marLeft w:val="0"/>
      <w:marRight w:val="0"/>
      <w:marTop w:val="0"/>
      <w:marBottom w:val="0"/>
      <w:divBdr>
        <w:top w:val="none" w:sz="0" w:space="0" w:color="auto"/>
        <w:left w:val="none" w:sz="0" w:space="0" w:color="auto"/>
        <w:bottom w:val="none" w:sz="0" w:space="0" w:color="auto"/>
        <w:right w:val="none" w:sz="0" w:space="0" w:color="auto"/>
      </w:divBdr>
    </w:div>
    <w:div w:id="1878156665">
      <w:bodyDiv w:val="1"/>
      <w:marLeft w:val="0"/>
      <w:marRight w:val="0"/>
      <w:marTop w:val="0"/>
      <w:marBottom w:val="0"/>
      <w:divBdr>
        <w:top w:val="none" w:sz="0" w:space="0" w:color="auto"/>
        <w:left w:val="none" w:sz="0" w:space="0" w:color="auto"/>
        <w:bottom w:val="none" w:sz="0" w:space="0" w:color="auto"/>
        <w:right w:val="none" w:sz="0" w:space="0" w:color="auto"/>
      </w:divBdr>
    </w:div>
    <w:div w:id="2026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F179-A6CB-4471-B3B6-30D8C21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2023-02-03T06:16:00Z</cp:lastPrinted>
  <dcterms:created xsi:type="dcterms:W3CDTF">2023-02-03T10:08:00Z</dcterms:created>
  <dcterms:modified xsi:type="dcterms:W3CDTF">2023-02-06T14:06:00Z</dcterms:modified>
</cp:coreProperties>
</file>