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88F" w:rsidRDefault="0072588F" w:rsidP="0072588F">
      <w:pPr>
        <w:spacing w:before="240" w:line="276" w:lineRule="auto"/>
        <w:jc w:val="center"/>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بسم الله الرحمن الرحيم</w:t>
      </w:r>
    </w:p>
    <w:p w:rsidR="0072588F" w:rsidRDefault="0072588F" w:rsidP="0072588F">
      <w:pPr>
        <w:spacing w:before="240" w:line="276" w:lineRule="auto"/>
        <w:jc w:val="center"/>
        <w:rPr>
          <w:rFonts w:ascii="Arabic Typesetting" w:hAnsi="Arabic Typesetting" w:cs="Arabic Typesetting"/>
          <w:sz w:val="28"/>
          <w:szCs w:val="28"/>
          <w:lang w:bidi="ar-LB"/>
        </w:rPr>
      </w:pPr>
    </w:p>
    <w:p w:rsidR="0072588F" w:rsidRDefault="00E65E5A" w:rsidP="0072588F">
      <w:pPr>
        <w:spacing w:before="24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الدر</w:t>
      </w:r>
      <w:r>
        <w:rPr>
          <w:rFonts w:ascii="Arabic Typesetting" w:hAnsi="Arabic Typesetting" w:cs="Arabic Typesetting" w:hint="cs"/>
          <w:b/>
          <w:bCs/>
          <w:sz w:val="28"/>
          <w:szCs w:val="28"/>
          <w:rtl/>
          <w:lang w:bidi="ar-LB"/>
        </w:rPr>
        <w:t>س</w:t>
      </w:r>
      <w:r>
        <w:rPr>
          <w:rFonts w:ascii="Arabic Typesetting" w:hAnsi="Arabic Typesetting" w:cs="Arabic Typesetting"/>
          <w:b/>
          <w:bCs/>
          <w:sz w:val="28"/>
          <w:szCs w:val="28"/>
          <w:rtl/>
          <w:lang w:bidi="ar-LB"/>
        </w:rPr>
        <w:t>:</w:t>
      </w:r>
      <w:r>
        <w:rPr>
          <w:rFonts w:ascii="Arabic Typesetting" w:hAnsi="Arabic Typesetting" w:cs="Arabic Typesetting" w:hint="cs"/>
          <w:b/>
          <w:bCs/>
          <w:color w:val="FF0000"/>
          <w:sz w:val="28"/>
          <w:szCs w:val="28"/>
          <w:rtl/>
          <w:lang w:bidi="ar-LB"/>
        </w:rPr>
        <w:t xml:space="preserve"> </w:t>
      </w:r>
      <w:bookmarkStart w:id="0" w:name="_GoBack"/>
      <w:bookmarkEnd w:id="0"/>
      <w:r>
        <w:rPr>
          <w:rFonts w:ascii="Arabic Typesetting" w:hAnsi="Arabic Typesetting" w:cs="Arabic Typesetting" w:hint="cs"/>
          <w:b/>
          <w:bCs/>
          <w:color w:val="FF0000"/>
          <w:sz w:val="28"/>
          <w:szCs w:val="28"/>
          <w:rtl/>
          <w:lang w:bidi="ar-LB"/>
        </w:rPr>
        <w:t>9</w:t>
      </w:r>
      <w:r w:rsidR="0072588F">
        <w:rPr>
          <w:rFonts w:ascii="Arabic Typesetting" w:hAnsi="Arabic Typesetting" w:cs="Arabic Typesetting"/>
          <w:b/>
          <w:bCs/>
          <w:color w:val="FF0000"/>
          <w:sz w:val="28"/>
          <w:szCs w:val="28"/>
          <w:rtl/>
          <w:lang w:bidi="ar-LB"/>
        </w:rPr>
        <w:t xml:space="preserve">     </w:t>
      </w:r>
      <w:r w:rsidR="0072588F">
        <w:rPr>
          <w:rFonts w:ascii="Arabic Typesetting" w:hAnsi="Arabic Typesetting" w:cs="Arabic Typesetting"/>
          <w:b/>
          <w:bCs/>
          <w:sz w:val="28"/>
          <w:szCs w:val="28"/>
          <w:rtl/>
          <w:lang w:bidi="ar-LB"/>
        </w:rPr>
        <w:t xml:space="preserve">                                                                                                  الأستاذ</w:t>
      </w:r>
      <w:r w:rsidR="0072588F">
        <w:rPr>
          <w:rFonts w:ascii="Arabic Typesetting" w:hAnsi="Arabic Typesetting" w:cs="Arabic Typesetting"/>
          <w:sz w:val="28"/>
          <w:szCs w:val="28"/>
          <w:rtl/>
          <w:lang w:bidi="ar-LB"/>
        </w:rPr>
        <w:t xml:space="preserve">: الشيخ محمد تقي الشهيدي </w:t>
      </w:r>
      <w:r w:rsidR="0072588F">
        <w:rPr>
          <w:rFonts w:ascii="Arabic Typesetting" w:hAnsi="Arabic Typesetting" w:cs="TAHER" w:hint="cs"/>
          <w:sz w:val="24"/>
          <w:szCs w:val="24"/>
          <w:rtl/>
          <w:lang w:bidi="ar-LB"/>
        </w:rPr>
        <w:t>=</w:t>
      </w:r>
      <w:r w:rsidR="0072588F">
        <w:rPr>
          <w:rFonts w:ascii="Arabic Typesetting" w:hAnsi="Arabic Typesetting" w:cs="Arabic Typesetting"/>
          <w:b/>
          <w:bCs/>
          <w:sz w:val="28"/>
          <w:szCs w:val="28"/>
          <w:rtl/>
          <w:lang w:bidi="ar-LB"/>
        </w:rPr>
        <w:t xml:space="preserve">                                                                                          </w:t>
      </w:r>
    </w:p>
    <w:p w:rsidR="0072588F" w:rsidRDefault="0072588F" w:rsidP="0072588F">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المبحث:</w:t>
      </w:r>
      <w:r>
        <w:rPr>
          <w:rFonts w:ascii="Arabic Typesetting" w:hAnsi="Arabic Typesetting" w:cs="Arabic Typesetting"/>
          <w:sz w:val="28"/>
          <w:szCs w:val="28"/>
          <w:rtl/>
          <w:lang w:bidi="ar-LB"/>
        </w:rPr>
        <w:t xml:space="preserve"> النواهي (</w:t>
      </w:r>
      <w:r>
        <w:rPr>
          <w:rFonts w:ascii="Arabic Typesetting" w:hAnsi="Arabic Typesetting" w:cs="Arabic Typesetting"/>
          <w:b/>
          <w:bCs/>
          <w:color w:val="FF0000"/>
          <w:sz w:val="28"/>
          <w:szCs w:val="28"/>
          <w:rtl/>
        </w:rPr>
        <w:t>في وجه اقتضاء النهي عن الطبيعة لترك جميع الأفراد</w:t>
      </w:r>
      <w:r>
        <w:rPr>
          <w:rFonts w:ascii="Arabic Typesetting" w:hAnsi="Arabic Typesetting" w:cs="Arabic Typesetting"/>
          <w:sz w:val="28"/>
          <w:szCs w:val="28"/>
          <w:rtl/>
          <w:lang w:bidi="ar-LB"/>
        </w:rPr>
        <w:t xml:space="preserve">)                                       </w:t>
      </w:r>
      <w:r>
        <w:rPr>
          <w:rFonts w:ascii="Arabic Typesetting" w:hAnsi="Arabic Typesetting" w:cs="Arabic Typesetting"/>
          <w:b/>
          <w:bCs/>
          <w:sz w:val="28"/>
          <w:szCs w:val="28"/>
          <w:rtl/>
          <w:lang w:bidi="ar-LB"/>
        </w:rPr>
        <w:t xml:space="preserve"> الدرس</w:t>
      </w:r>
      <w:r>
        <w:rPr>
          <w:rFonts w:ascii="Arabic Typesetting" w:hAnsi="Arabic Typesetting" w:cs="Arabic Typesetting"/>
          <w:sz w:val="28"/>
          <w:szCs w:val="28"/>
          <w:rtl/>
          <w:lang w:bidi="ar-LB"/>
        </w:rPr>
        <w:t>: الأصول (الدورة الرابعة)</w:t>
      </w:r>
    </w:p>
    <w:p w:rsidR="0072588F" w:rsidRDefault="0072588F" w:rsidP="0072588F">
      <w:pPr>
        <w:spacing w:before="24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 xml:space="preserve">التاريخ: </w:t>
      </w:r>
      <w:r>
        <w:rPr>
          <w:rFonts w:ascii="Arabic Typesetting" w:hAnsi="Arabic Typesetting" w:cs="Arabic Typesetting"/>
          <w:sz w:val="28"/>
          <w:szCs w:val="28"/>
          <w:rtl/>
          <w:lang w:bidi="ar-LB"/>
        </w:rPr>
        <w:t>ا</w:t>
      </w:r>
      <w:r>
        <w:rPr>
          <w:rFonts w:ascii="Arabic Typesetting" w:hAnsi="Arabic Typesetting" w:cs="Arabic Typesetting" w:hint="cs"/>
          <w:sz w:val="28"/>
          <w:szCs w:val="28"/>
          <w:rtl/>
          <w:lang w:bidi="ar-LB"/>
        </w:rPr>
        <w:t>لثلاثاء</w:t>
      </w:r>
      <w:r>
        <w:rPr>
          <w:rFonts w:ascii="Arabic Typesetting" w:hAnsi="Arabic Typesetting" w:cs="Arabic Typesetting"/>
          <w:sz w:val="28"/>
          <w:szCs w:val="28"/>
          <w:rtl/>
          <w:lang w:bidi="ar-LB"/>
        </w:rPr>
        <w:t>:</w:t>
      </w:r>
      <w:r>
        <w:rPr>
          <w:rFonts w:ascii="Arabic Typesetting" w:hAnsi="Arabic Typesetting" w:cs="Arabic Typesetting" w:hint="cs"/>
          <w:sz w:val="28"/>
          <w:szCs w:val="28"/>
          <w:rtl/>
          <w:lang w:bidi="ar-LB"/>
        </w:rPr>
        <w:t xml:space="preserve"> 11</w:t>
      </w:r>
      <w:r>
        <w:rPr>
          <w:rFonts w:ascii="Arabic Typesetting" w:hAnsi="Arabic Typesetting" w:cs="Arabic Typesetting"/>
          <w:sz w:val="28"/>
          <w:szCs w:val="28"/>
          <w:rtl/>
          <w:lang w:bidi="ar-LB"/>
        </w:rPr>
        <w:t xml:space="preserve">/1/2022 </w:t>
      </w:r>
      <w:r>
        <w:rPr>
          <w:rFonts w:ascii="Arabic Typesetting" w:hAnsi="Arabic Typesetting" w:cs="Arabic Typesetting"/>
          <w:b/>
          <w:bCs/>
          <w:sz w:val="28"/>
          <w:szCs w:val="28"/>
          <w:rtl/>
          <w:lang w:bidi="ar-LB"/>
        </w:rPr>
        <w:t>(</w:t>
      </w:r>
      <w:r>
        <w:rPr>
          <w:rFonts w:ascii="Arabic Typesetting" w:hAnsi="Arabic Typesetting" w:cs="Arabic Typesetting" w:hint="cs"/>
          <w:sz w:val="28"/>
          <w:szCs w:val="28"/>
          <w:rtl/>
          <w:lang w:bidi="ar-LB"/>
        </w:rPr>
        <w:t>8</w:t>
      </w:r>
      <w:r>
        <w:rPr>
          <w:rFonts w:ascii="Arabic Typesetting" w:hAnsi="Arabic Typesetting" w:cs="Arabic Typesetting"/>
          <w:sz w:val="28"/>
          <w:szCs w:val="28"/>
          <w:rtl/>
          <w:lang w:bidi="ar-LB"/>
        </w:rPr>
        <w:t>/جمادي الثانية/ 1443</w:t>
      </w:r>
      <w:r>
        <w:rPr>
          <w:rFonts w:ascii="Arabic Typesetting" w:hAnsi="Arabic Typesetting" w:cs="Arabic Typesetting"/>
          <w:b/>
          <w:bCs/>
          <w:sz w:val="28"/>
          <w:szCs w:val="28"/>
          <w:rtl/>
          <w:lang w:bidi="ar-LB"/>
        </w:rPr>
        <w:t>)</w:t>
      </w:r>
    </w:p>
    <w:p w:rsidR="0072588F" w:rsidRDefault="0072588F" w:rsidP="0072588F">
      <w:pPr>
        <w:jc w:val="both"/>
        <w:rPr>
          <w:rFonts w:ascii="Lotus Linotype" w:hAnsi="Lotus Linotype" w:cs="Lotus Linotype"/>
          <w:sz w:val="28"/>
          <w:szCs w:val="28"/>
          <w:rtl/>
        </w:rPr>
      </w:pPr>
    </w:p>
    <w:p w:rsidR="0072588F" w:rsidRDefault="0072588F" w:rsidP="0072588F">
      <w:pPr>
        <w:spacing w:before="240"/>
        <w:jc w:val="center"/>
        <w:rPr>
          <w:rFonts w:ascii="Arabic Typesetting" w:hAnsi="Arabic Typesetting" w:cs="Arabic Typesetting"/>
          <w:b/>
          <w:bCs/>
          <w:sz w:val="32"/>
          <w:szCs w:val="32"/>
          <w:rtl/>
          <w:lang w:bidi="ar-LB"/>
        </w:rPr>
      </w:pPr>
      <w:r>
        <w:rPr>
          <w:rFonts w:ascii="Arabic Typesetting" w:hAnsi="Arabic Typesetting" w:cs="Arabic Typesetting"/>
          <w:b/>
          <w:bCs/>
          <w:sz w:val="32"/>
          <w:szCs w:val="32"/>
          <w:rtl/>
          <w:lang w:bidi="ar-LB"/>
        </w:rPr>
        <w:t>أعوذ بالله من الشيطان الرجيم بسم الله الرحمن الرحيم الحمد لله ربّ العالمين والصلاة والسلام علي سيّدنا محمّد وآله الطاهرين ولعنة الله على أعدائهم أجمعين</w:t>
      </w:r>
    </w:p>
    <w:p w:rsidR="00EA7D9C" w:rsidRPr="001F771C" w:rsidRDefault="00EA7D9C" w:rsidP="0072588F">
      <w:pPr>
        <w:jc w:val="both"/>
        <w:rPr>
          <w:rFonts w:ascii="Lotus Linotype" w:hAnsi="Lotus Linotype" w:cs="Lotus Linotype"/>
          <w:sz w:val="28"/>
          <w:szCs w:val="28"/>
          <w:rtl/>
          <w:lang w:bidi="ar-LB"/>
        </w:rPr>
      </w:pPr>
    </w:p>
    <w:p w:rsidR="001E5D25" w:rsidRDefault="001F771C" w:rsidP="001E5D25">
      <w:pPr>
        <w:jc w:val="both"/>
        <w:rPr>
          <w:rFonts w:ascii="Lotus Linotype" w:hAnsi="Lotus Linotype" w:cs="Lotus Linotype"/>
          <w:sz w:val="28"/>
          <w:szCs w:val="28"/>
          <w:rtl/>
          <w:lang w:bidi="ar-LB"/>
        </w:rPr>
      </w:pPr>
      <w:r w:rsidRPr="001F771C">
        <w:rPr>
          <w:rFonts w:ascii="Lotus Linotype" w:hAnsi="Lotus Linotype" w:cs="Lotus Linotype"/>
          <w:sz w:val="28"/>
          <w:szCs w:val="28"/>
          <w:rtl/>
          <w:lang w:bidi="ar-LB"/>
        </w:rPr>
        <w:t xml:space="preserve">كان الكلام في </w:t>
      </w:r>
      <w:r w:rsidRPr="000043FF">
        <w:rPr>
          <w:rFonts w:ascii="Lotus Linotype" w:hAnsi="Lotus Linotype" w:cs="Lotus Linotype"/>
          <w:b/>
          <w:bCs/>
          <w:sz w:val="28"/>
          <w:szCs w:val="28"/>
          <w:rtl/>
          <w:lang w:bidi="ar-LB"/>
        </w:rPr>
        <w:t>النواهي الضمنيّة</w:t>
      </w:r>
      <w:r w:rsidRPr="001F771C">
        <w:rPr>
          <w:rFonts w:ascii="Lotus Linotype" w:hAnsi="Lotus Linotype" w:cs="Lotus Linotype"/>
          <w:sz w:val="28"/>
          <w:szCs w:val="28"/>
          <w:rtl/>
          <w:lang w:bidi="ar-LB"/>
        </w:rPr>
        <w:t xml:space="preserve">، كالنهي عن </w:t>
      </w:r>
      <w:r>
        <w:rPr>
          <w:rFonts w:ascii="Lotus Linotype" w:hAnsi="Lotus Linotype" w:cs="Lotus Linotype" w:hint="cs"/>
          <w:sz w:val="28"/>
          <w:szCs w:val="28"/>
          <w:rtl/>
          <w:lang w:bidi="ar-LB"/>
        </w:rPr>
        <w:t>لبس أجزاء ما لا يؤكل لحمه في الصلاة، حيث ذكر المشهور ومنهم السيّد الخوئي</w:t>
      </w:r>
      <w:r w:rsidR="000043FF">
        <w:rPr>
          <w:rFonts w:ascii="Lotus Linotype" w:hAnsi="Lotus Linotype" w:cs="Lotus Linotype" w:hint="cs"/>
          <w:sz w:val="28"/>
          <w:szCs w:val="28"/>
          <w:rtl/>
          <w:lang w:bidi="ar-LB"/>
        </w:rPr>
        <w:t xml:space="preserve"> </w:t>
      </w:r>
      <w:r w:rsidR="000043FF">
        <w:rPr>
          <w:rFonts w:ascii="Lotus Linotype" w:hAnsi="Lotus Linotype" w:cs="TAHER" w:hint="cs"/>
          <w:sz w:val="28"/>
          <w:szCs w:val="28"/>
          <w:rtl/>
          <w:lang w:bidi="ar-LB"/>
        </w:rPr>
        <w:t>&amp;</w:t>
      </w:r>
      <w:r>
        <w:rPr>
          <w:rFonts w:ascii="Lotus Linotype" w:hAnsi="Lotus Linotype" w:cs="Lotus Linotype" w:hint="cs"/>
          <w:sz w:val="28"/>
          <w:szCs w:val="28"/>
          <w:rtl/>
          <w:lang w:bidi="ar-LB"/>
        </w:rPr>
        <w:t xml:space="preserve"> أنّه كما يكون ظاهرُ خطاب النهي الاستقلاليّ </w:t>
      </w:r>
      <w:r>
        <w:rPr>
          <w:rFonts w:ascii="Times New Roman" w:hAnsi="Times New Roman" w:cs="Times New Roman" w:hint="cs"/>
          <w:sz w:val="28"/>
          <w:szCs w:val="28"/>
          <w:rtl/>
          <w:lang w:bidi="ar-LB"/>
        </w:rPr>
        <w:t>–</w:t>
      </w:r>
      <w:r>
        <w:rPr>
          <w:rFonts w:ascii="Lotus Linotype" w:hAnsi="Lotus Linotype" w:cs="Lotus Linotype" w:hint="cs"/>
          <w:sz w:val="28"/>
          <w:szCs w:val="28"/>
          <w:rtl/>
          <w:lang w:bidi="ar-LB"/>
        </w:rPr>
        <w:t>كالنهي عن الكذب- هو الانحلال فيكون كلّ فردٍ من أفراد الكذب محرّماً</w:t>
      </w:r>
      <w:r w:rsidR="000043FF">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فكذلك أفراد النهي الضمنيّ عن شيء في الصلاة مثلاً هو أنّ كلّ فردٍ من أفراد ذلك الشيء يكون مانعاً عن الصلاة بنفسه.</w:t>
      </w:r>
      <w:r w:rsidR="001E5D25">
        <w:rPr>
          <w:rFonts w:ascii="Lotus Linotype" w:hAnsi="Lotus Linotype" w:cs="Lotus Linotype" w:hint="cs"/>
          <w:sz w:val="28"/>
          <w:szCs w:val="28"/>
          <w:rtl/>
          <w:lang w:bidi="ar-LB"/>
        </w:rPr>
        <w:t xml:space="preserve"> يعني ظاهر النهي الضمني أنّ كلّ فردٍ من أفراد الطبيعة المنهيّ عنها مشتملٌ على المفسدة والمانعيّة عن الصلاة.</w:t>
      </w:r>
    </w:p>
    <w:p w:rsidR="001E5D25" w:rsidRPr="000043FF" w:rsidRDefault="001E5D25" w:rsidP="001E5D25">
      <w:pPr>
        <w:jc w:val="both"/>
        <w:rPr>
          <w:rFonts w:ascii="Lotus Linotype" w:hAnsi="Lotus Linotype" w:cs="Lotus Linotype"/>
          <w:b/>
          <w:bCs/>
          <w:color w:val="FF0000"/>
          <w:sz w:val="28"/>
          <w:szCs w:val="28"/>
          <w:rtl/>
          <w:lang w:bidi="ar-LB"/>
        </w:rPr>
      </w:pPr>
      <w:r w:rsidRPr="000043FF">
        <w:rPr>
          <w:rFonts w:ascii="Lotus Linotype" w:hAnsi="Lotus Linotype" w:cs="Lotus Linotype" w:hint="cs"/>
          <w:b/>
          <w:bCs/>
          <w:color w:val="FF0000"/>
          <w:sz w:val="28"/>
          <w:szCs w:val="28"/>
          <w:rtl/>
          <w:lang w:bidi="ar-LB"/>
        </w:rPr>
        <w:t>ويُورد على هذا القول ثلاث إيرادات لا بدّ من الإجابة عنها</w:t>
      </w:r>
      <w:r w:rsidR="000043FF" w:rsidRPr="000043FF">
        <w:rPr>
          <w:rFonts w:ascii="Lotus Linotype" w:hAnsi="Lotus Linotype" w:cs="Lotus Linotype" w:hint="cs"/>
          <w:b/>
          <w:bCs/>
          <w:color w:val="FF0000"/>
          <w:sz w:val="28"/>
          <w:szCs w:val="28"/>
          <w:rtl/>
          <w:lang w:bidi="ar-LB"/>
        </w:rPr>
        <w:t>:</w:t>
      </w:r>
    </w:p>
    <w:p w:rsidR="001E5D25" w:rsidRDefault="001E5D25" w:rsidP="000043FF">
      <w:pPr>
        <w:pStyle w:val="ListParagraph"/>
        <w:numPr>
          <w:ilvl w:val="0"/>
          <w:numId w:val="1"/>
        </w:numPr>
        <w:jc w:val="both"/>
        <w:rPr>
          <w:rFonts w:ascii="Lotus Linotype" w:hAnsi="Lotus Linotype" w:cs="Lotus Linotype"/>
          <w:sz w:val="28"/>
          <w:szCs w:val="28"/>
          <w:lang w:bidi="ar-LB"/>
        </w:rPr>
      </w:pPr>
      <w:r w:rsidRPr="000043FF">
        <w:rPr>
          <w:rFonts w:ascii="Lotus Linotype" w:hAnsi="Lotus Linotype" w:cs="Lotus Linotype" w:hint="cs"/>
          <w:b/>
          <w:bCs/>
          <w:color w:val="FF0000"/>
          <w:sz w:val="28"/>
          <w:szCs w:val="28"/>
          <w:rtl/>
          <w:lang w:bidi="ar-LB"/>
        </w:rPr>
        <w:t>الإيراد الأول</w:t>
      </w:r>
      <w:r>
        <w:rPr>
          <w:rFonts w:ascii="Lotus Linotype" w:hAnsi="Lotus Linotype" w:cs="Lotus Linotype" w:hint="cs"/>
          <w:sz w:val="28"/>
          <w:szCs w:val="28"/>
          <w:rtl/>
          <w:lang w:bidi="ar-LB"/>
        </w:rPr>
        <w:t xml:space="preserve">: ما ذكره السيد الخميني </w:t>
      </w:r>
      <w:r w:rsidR="000043FF">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من أنّ خطاب النهي الاستقلالي وإن كان ظاهراً في الانحلال، فالنهي الاستقلالي ينحلّ إلى نواهيَ متعددة بعدد أفراد الطبيعة المنهيّ عنها لكن لا يُقاس به النهي الضمنيّ؛ فإنّ النهي الضمنيّ كالنهي عن لبس أجزاء ما لا يؤكل لحمه في الصلاة ظاهرٌ في الإرشاد إلى المانعية، والمتصّف بالمانعيّة هو أول وجود الطبيعة، فلو أنّ شخصاً لبس وبر ما لا يؤكل لحمه في الصلاة</w:t>
      </w:r>
      <w:r w:rsidR="007F2A17">
        <w:rPr>
          <w:rFonts w:ascii="Lotus Linotype" w:hAnsi="Lotus Linotype" w:cs="Lotus Linotype" w:hint="cs"/>
          <w:sz w:val="28"/>
          <w:szCs w:val="28"/>
          <w:rtl/>
          <w:lang w:bidi="ar-LB"/>
        </w:rPr>
        <w:t xml:space="preserve"> وبدأ بالصلاة ثمّ لبس وبراً ثانياً مما يؤكل لحمه، فما يتصف بالمانع هو الأول والالتزام بكون الثاني كونه مانعاً شرعياً وتقديرياً أي بحيث لو وجد أولاً كان هو المانع هذا خلاف ظاهر الأدلّة</w:t>
      </w:r>
      <w:r w:rsidR="000043FF">
        <w:rPr>
          <w:rFonts w:ascii="Lotus Linotype" w:hAnsi="Lotus Linotype" w:cs="Lotus Linotype" w:hint="cs"/>
          <w:sz w:val="28"/>
          <w:szCs w:val="28"/>
          <w:rtl/>
          <w:lang w:bidi="ar-LB"/>
        </w:rPr>
        <w:t>،</w:t>
      </w:r>
      <w:r w:rsidR="007F2A17">
        <w:rPr>
          <w:rFonts w:ascii="Lotus Linotype" w:hAnsi="Lotus Linotype" w:cs="Lotus Linotype" w:hint="cs"/>
          <w:sz w:val="28"/>
          <w:szCs w:val="28"/>
          <w:rtl/>
          <w:lang w:bidi="ar-LB"/>
        </w:rPr>
        <w:t xml:space="preserve"> فيكون النهيّ الضمنيّ ظاهراً في النهي عن صرف الوجود، أي ليس ظاهراً في الانحلال إلى مطلق الوجود.</w:t>
      </w:r>
    </w:p>
    <w:p w:rsidR="000043FF" w:rsidRDefault="000043FF" w:rsidP="007F2A17">
      <w:pPr>
        <w:pStyle w:val="ListParagraph"/>
        <w:jc w:val="both"/>
        <w:rPr>
          <w:rFonts w:ascii="Lotus Linotype" w:hAnsi="Lotus Linotype" w:cs="Lotus Linotype"/>
          <w:b/>
          <w:bCs/>
          <w:sz w:val="28"/>
          <w:szCs w:val="28"/>
          <w:rtl/>
          <w:lang w:bidi="ar-LB"/>
        </w:rPr>
      </w:pPr>
    </w:p>
    <w:p w:rsidR="000043FF" w:rsidRPr="000043FF" w:rsidRDefault="007F2A17" w:rsidP="007F2A17">
      <w:pPr>
        <w:pStyle w:val="ListParagraph"/>
        <w:jc w:val="both"/>
        <w:rPr>
          <w:rFonts w:ascii="Lotus Linotype" w:hAnsi="Lotus Linotype" w:cs="Lotus Linotype"/>
          <w:color w:val="FF0000"/>
          <w:sz w:val="28"/>
          <w:szCs w:val="28"/>
          <w:rtl/>
          <w:lang w:bidi="ar-LB"/>
        </w:rPr>
      </w:pPr>
      <w:r w:rsidRPr="000043FF">
        <w:rPr>
          <w:rFonts w:ascii="Lotus Linotype" w:hAnsi="Lotus Linotype" w:cs="Lotus Linotype" w:hint="cs"/>
          <w:b/>
          <w:bCs/>
          <w:color w:val="FF0000"/>
          <w:sz w:val="28"/>
          <w:szCs w:val="28"/>
          <w:rtl/>
          <w:lang w:bidi="ar-LB"/>
        </w:rPr>
        <w:lastRenderedPageBreak/>
        <w:t>ولكن، الجواب عن هذا الإيراد</w:t>
      </w:r>
      <w:r w:rsidRPr="000043FF">
        <w:rPr>
          <w:rFonts w:ascii="Lotus Linotype" w:hAnsi="Lotus Linotype" w:cs="Lotus Linotype" w:hint="cs"/>
          <w:color w:val="FF0000"/>
          <w:sz w:val="28"/>
          <w:szCs w:val="28"/>
          <w:rtl/>
          <w:lang w:bidi="ar-LB"/>
        </w:rPr>
        <w:t>:</w:t>
      </w:r>
    </w:p>
    <w:p w:rsidR="007F2A17" w:rsidRDefault="007F2A17" w:rsidP="007F2A17">
      <w:pPr>
        <w:pStyle w:val="ListParagraph"/>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0043FF">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 xml:space="preserve">أنّ المراد من انحلاليّة المانعيّة هو ظهور خطاب النهي عن لُبس ما لايؤكل لحمه في الصلاة مثلاً هو كون الصلاة مشروطة بعدم لبس هذا الفرد ممّا لا يؤكل لحمه، ومشروطة بعدم لُبس ذلك الفرد ممّا لا يؤكل لحمه وهكذا. </w:t>
      </w:r>
    </w:p>
    <w:p w:rsidR="00B033E3" w:rsidRDefault="000043FF" w:rsidP="007F2A17">
      <w:pPr>
        <w:pStyle w:val="ListParagraph"/>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7F2A17">
        <w:rPr>
          <w:rFonts w:ascii="Lotus Linotype" w:hAnsi="Lotus Linotype" w:cs="Lotus Linotype" w:hint="cs"/>
          <w:sz w:val="28"/>
          <w:szCs w:val="28"/>
          <w:rtl/>
          <w:lang w:bidi="ar-LB"/>
        </w:rPr>
        <w:t>بل ولو ورد في الخطاب مثلاً: أنّ لُبس ما لا يؤكل لحكمه مانع عن الصلاة، فظاهره أنّ كلّ فرد من أفراد لبس ما لا يؤكل لحمه مانعٌ عن الصلاة في حدّ ذاته، أي لو تمّ المقتضي لصحّت الصلاة فهذا يكون مانعاً عنه، كما يُقال: الدرعُ مانعٌ عن القتل، أي إن تمّ المقتضي للقتل بأن</w:t>
      </w:r>
      <w:r w:rsidR="002122BF">
        <w:rPr>
          <w:rFonts w:ascii="Lotus Linotype" w:hAnsi="Lotus Linotype" w:cs="Lotus Linotype" w:hint="cs"/>
          <w:sz w:val="28"/>
          <w:szCs w:val="28"/>
          <w:rtl/>
          <w:lang w:bidi="ar-LB"/>
        </w:rPr>
        <w:t xml:space="preserve"> رمى شخصٌ الرصاص على أحدٍ فلبسه للدرع مانع عن أن يُقتل</w:t>
      </w:r>
      <w:r w:rsidR="00B033E3">
        <w:rPr>
          <w:rFonts w:ascii="Lotus Linotype" w:hAnsi="Lotus Linotype" w:cs="Lotus Linotype" w:hint="cs"/>
          <w:sz w:val="28"/>
          <w:szCs w:val="28"/>
          <w:rtl/>
          <w:lang w:bidi="ar-LB"/>
        </w:rPr>
        <w:t xml:space="preserve">. </w:t>
      </w:r>
    </w:p>
    <w:p w:rsidR="007F2A17" w:rsidRDefault="000043FF" w:rsidP="007F2A17">
      <w:pPr>
        <w:pStyle w:val="ListParagraph"/>
        <w:jc w:val="both"/>
        <w:rPr>
          <w:rFonts w:ascii="Lotus Linotype" w:hAnsi="Lotus Linotype" w:cs="Lotus Linotype"/>
          <w:sz w:val="28"/>
          <w:szCs w:val="28"/>
          <w:rtl/>
          <w:lang w:bidi="ar-LB"/>
        </w:rPr>
      </w:pPr>
      <w:r>
        <w:rPr>
          <w:rFonts w:ascii="Lotus Linotype" w:hAnsi="Lotus Linotype" w:cs="Lotus Linotype" w:hint="cs"/>
          <w:b/>
          <w:bCs/>
          <w:sz w:val="28"/>
          <w:szCs w:val="28"/>
          <w:rtl/>
          <w:lang w:bidi="ar-LB"/>
        </w:rPr>
        <w:t xml:space="preserve">     </w:t>
      </w:r>
      <w:r w:rsidR="00B033E3" w:rsidRPr="000043FF">
        <w:rPr>
          <w:rFonts w:ascii="Lotus Linotype" w:hAnsi="Lotus Linotype" w:cs="Lotus Linotype" w:hint="cs"/>
          <w:b/>
          <w:bCs/>
          <w:sz w:val="28"/>
          <w:szCs w:val="28"/>
          <w:rtl/>
          <w:lang w:bidi="ar-LB"/>
        </w:rPr>
        <w:t>ونتيجة ذلك في المقام</w:t>
      </w:r>
      <w:r w:rsidR="00B033E3">
        <w:rPr>
          <w:rFonts w:ascii="Lotus Linotype" w:hAnsi="Lotus Linotype" w:cs="Lotus Linotype" w:hint="cs"/>
          <w:sz w:val="28"/>
          <w:szCs w:val="28"/>
          <w:rtl/>
          <w:lang w:bidi="ar-LB"/>
        </w:rPr>
        <w:t>: أنّ من اضطر إلى فردٍ من أفراد لبس ما لا يؤكل لحمه لم يجز له أن لا يلبس سائر أفراده. ونكتة ظهور النهي الضمنيّ في الانحلال نفس نكتة ظهور النهي الاستقلاليّ في الانحلال، وهو أنّ ظاهر النهي هو قيام المفسدة بكل فردٍ من أفراد الطبيعة المنهيّ عنها.</w:t>
      </w:r>
      <w:r w:rsidR="00800473">
        <w:rPr>
          <w:rFonts w:ascii="Lotus Linotype" w:hAnsi="Lotus Linotype" w:cs="Lotus Linotype" w:hint="cs"/>
          <w:sz w:val="28"/>
          <w:szCs w:val="28"/>
          <w:rtl/>
          <w:lang w:bidi="ar-LB"/>
        </w:rPr>
        <w:t xml:space="preserve"> وهذا هو مقتضى المرتكز المتشرعيّ، فلو أنّ أحداً كانت يده نجسةً ولم يتمكن من تطهيرها فخلاف المرتكز المتشرعيّ أن يجوز تنجيس جسده كلّه.</w:t>
      </w:r>
    </w:p>
    <w:p w:rsidR="000043FF" w:rsidRDefault="00B04FEF" w:rsidP="000043FF">
      <w:pPr>
        <w:pStyle w:val="ListParagraph"/>
        <w:numPr>
          <w:ilvl w:val="0"/>
          <w:numId w:val="1"/>
        </w:numPr>
        <w:jc w:val="both"/>
        <w:rPr>
          <w:rFonts w:ascii="Lotus Linotype" w:hAnsi="Lotus Linotype" w:cs="Lotus Linotype"/>
          <w:sz w:val="28"/>
          <w:szCs w:val="28"/>
          <w:lang w:bidi="ar-LB"/>
        </w:rPr>
      </w:pPr>
      <w:r w:rsidRPr="000043FF">
        <w:rPr>
          <w:rFonts w:ascii="Lotus Linotype" w:hAnsi="Lotus Linotype" w:cs="Lotus Linotype" w:hint="cs"/>
          <w:b/>
          <w:bCs/>
          <w:color w:val="FF0000"/>
          <w:sz w:val="28"/>
          <w:szCs w:val="28"/>
          <w:rtl/>
          <w:lang w:bidi="ar-LB"/>
        </w:rPr>
        <w:t>الإيراد الثاني:</w:t>
      </w:r>
      <w:r w:rsidRPr="000043FF">
        <w:rPr>
          <w:rFonts w:ascii="Lotus Linotype" w:hAnsi="Lotus Linotype" w:cs="Lotus Linotype" w:hint="cs"/>
          <w:color w:val="FF0000"/>
          <w:sz w:val="28"/>
          <w:szCs w:val="28"/>
          <w:rtl/>
          <w:lang w:bidi="ar-LB"/>
        </w:rPr>
        <w:t xml:space="preserve"> </w:t>
      </w:r>
      <w:r w:rsidRPr="000043FF">
        <w:rPr>
          <w:rFonts w:ascii="Lotus Linotype" w:hAnsi="Lotus Linotype" w:cs="Lotus Linotype" w:hint="cs"/>
          <w:sz w:val="28"/>
          <w:szCs w:val="28"/>
          <w:rtl/>
          <w:lang w:bidi="ar-LB"/>
        </w:rPr>
        <w:t>للسيّد الخميني</w:t>
      </w:r>
      <w:r w:rsidR="000043FF">
        <w:rPr>
          <w:rFonts w:ascii="Lotus Linotype" w:hAnsi="Lotus Linotype" w:cs="Lotus Linotype" w:hint="cs"/>
          <w:sz w:val="28"/>
          <w:szCs w:val="28"/>
          <w:rtl/>
          <w:lang w:bidi="ar-LB"/>
        </w:rPr>
        <w:t xml:space="preserve"> </w:t>
      </w:r>
      <w:r w:rsidR="000043FF">
        <w:rPr>
          <w:rFonts w:ascii="Lotus Linotype" w:hAnsi="Lotus Linotype" w:cs="TAHER" w:hint="cs"/>
          <w:sz w:val="28"/>
          <w:szCs w:val="28"/>
          <w:rtl/>
          <w:lang w:bidi="ar-LB"/>
        </w:rPr>
        <w:t>+</w:t>
      </w:r>
      <w:r w:rsidRPr="000043FF">
        <w:rPr>
          <w:rFonts w:ascii="Lotus Linotype" w:hAnsi="Lotus Linotype" w:cs="Lotus Linotype" w:hint="cs"/>
          <w:sz w:val="28"/>
          <w:szCs w:val="28"/>
          <w:rtl/>
          <w:lang w:bidi="ar-LB"/>
        </w:rPr>
        <w:t xml:space="preserve"> أيضاً</w:t>
      </w:r>
      <w:r w:rsidR="000043FF">
        <w:rPr>
          <w:rFonts w:ascii="Lotus Linotype" w:hAnsi="Lotus Linotype" w:cs="Lotus Linotype" w:hint="cs"/>
          <w:sz w:val="28"/>
          <w:szCs w:val="28"/>
          <w:rtl/>
          <w:lang w:bidi="ar-LB"/>
        </w:rPr>
        <w:t>،</w:t>
      </w:r>
      <w:r w:rsidRPr="000043FF">
        <w:rPr>
          <w:rFonts w:ascii="Lotus Linotype" w:hAnsi="Lotus Linotype" w:cs="Lotus Linotype" w:hint="cs"/>
          <w:sz w:val="28"/>
          <w:szCs w:val="28"/>
          <w:rtl/>
          <w:lang w:bidi="ar-LB"/>
        </w:rPr>
        <w:t xml:space="preserve">يقول: لو قبلنا الانحلال فلا بدّ أن نلحظ متعلّق النهي، لو كان النهي متعلّقاً بلبس ما لا يؤكل لحمه "لا تلبس ما لا يؤكل لحمه في الصلاة" لكنا نلتزم بانحلال النهيّ إلى أقسام ما لا يؤكل لحمه، ولكن الوارد في الأدلّة النهي عن الصلاة في ما لا يؤكل لحمه، فيكون الانحلال بلحاظ أفراد الصلاة، فكلّ صلاةٍ تكون متعلّقةً للنهي </w:t>
      </w:r>
      <w:r w:rsidR="00CD628C" w:rsidRPr="000043FF">
        <w:rPr>
          <w:rFonts w:ascii="Lotus Linotype" w:hAnsi="Lotus Linotype" w:cs="Lotus Linotype" w:hint="cs"/>
          <w:sz w:val="28"/>
          <w:szCs w:val="28"/>
          <w:rtl/>
          <w:lang w:bidi="ar-LB"/>
        </w:rPr>
        <w:t>الضمني عن وقوعها في ما لا يؤكل لحمه.</w:t>
      </w:r>
    </w:p>
    <w:p w:rsidR="000043FF" w:rsidRDefault="00136C2B" w:rsidP="000043FF">
      <w:pPr>
        <w:pStyle w:val="ListParagraph"/>
        <w:ind w:left="360"/>
        <w:jc w:val="both"/>
        <w:rPr>
          <w:rFonts w:ascii="Lotus Linotype" w:hAnsi="Lotus Linotype" w:cs="Lotus Linotype"/>
          <w:b/>
          <w:bCs/>
          <w:color w:val="FF0000"/>
          <w:sz w:val="28"/>
          <w:szCs w:val="28"/>
          <w:rtl/>
          <w:lang w:bidi="ar-LB"/>
        </w:rPr>
      </w:pPr>
      <w:r w:rsidRPr="000043FF">
        <w:rPr>
          <w:rFonts w:ascii="Lotus Linotype" w:hAnsi="Lotus Linotype" w:cs="Lotus Linotype" w:hint="cs"/>
          <w:b/>
          <w:bCs/>
          <w:color w:val="FF0000"/>
          <w:sz w:val="28"/>
          <w:szCs w:val="28"/>
          <w:rtl/>
          <w:lang w:bidi="ar-LB"/>
        </w:rPr>
        <w:t xml:space="preserve">الجواب عن هذا الإيراد الثاني: </w:t>
      </w:r>
    </w:p>
    <w:p w:rsidR="00136C2B" w:rsidRPr="000043FF" w:rsidRDefault="000043FF" w:rsidP="000043FF">
      <w:pPr>
        <w:pStyle w:val="ListParagraph"/>
        <w:ind w:left="360"/>
        <w:jc w:val="both"/>
        <w:rPr>
          <w:rFonts w:ascii="Lotus Linotype" w:hAnsi="Lotus Linotype" w:cs="Lotus Linotype"/>
          <w:b/>
          <w:bCs/>
          <w:color w:val="FF0000"/>
          <w:sz w:val="28"/>
          <w:szCs w:val="28"/>
          <w:rtl/>
          <w:lang w:bidi="ar-LB"/>
        </w:rPr>
      </w:pPr>
      <w:r>
        <w:rPr>
          <w:rFonts w:ascii="Lotus Linotype" w:hAnsi="Lotus Linotype" w:cs="Lotus Linotype" w:hint="cs"/>
          <w:b/>
          <w:bCs/>
          <w:color w:val="FF0000"/>
          <w:sz w:val="28"/>
          <w:szCs w:val="28"/>
          <w:rtl/>
          <w:lang w:bidi="ar-LB"/>
        </w:rPr>
        <w:t xml:space="preserve">     </w:t>
      </w:r>
      <w:r w:rsidRPr="000043FF">
        <w:rPr>
          <w:rFonts w:ascii="Lotus Linotype" w:hAnsi="Lotus Linotype" w:cs="Lotus Linotype" w:hint="cs"/>
          <w:sz w:val="28"/>
          <w:szCs w:val="28"/>
          <w:rtl/>
          <w:lang w:bidi="ar-LB"/>
        </w:rPr>
        <w:t>إنّ</w:t>
      </w:r>
      <w:r w:rsidR="00136C2B" w:rsidRPr="000043FF">
        <w:rPr>
          <w:rFonts w:ascii="Lotus Linotype" w:hAnsi="Lotus Linotype" w:cs="Lotus Linotype" w:hint="cs"/>
          <w:sz w:val="28"/>
          <w:szCs w:val="28"/>
          <w:rtl/>
          <w:lang w:bidi="ar-LB"/>
        </w:rPr>
        <w:t xml:space="preserve"> ظاهر ما ورد من أنّ كلُّ ما حرم أكله فالصلاة فيه فاسد، هو الانحلال بلحاظ ما حرم أكله. </w:t>
      </w:r>
      <w:r w:rsidR="00E52E78" w:rsidRPr="000043FF">
        <w:rPr>
          <w:rFonts w:ascii="Lotus Linotype" w:hAnsi="Lotus Linotype" w:cs="Lotus Linotype" w:hint="cs"/>
          <w:sz w:val="28"/>
          <w:szCs w:val="28"/>
          <w:rtl/>
          <w:lang w:bidi="ar-LB"/>
        </w:rPr>
        <w:t xml:space="preserve"> كلُّ ما حرم أكله فالصلاة في وبره فاسد. ظاهر هذا الخطاب أنّ كل ما كان وبراً لما يحرم أكله فلا تجوز الصلاة فيه. هذا وبرُ ما يحرم أكله فالصلاة فيه فاسدة، ذاك وبر ما يحرم أكله فالصلاة فيها فاسدة أيضاً، وهكذا. هذا هو الخطاب، فكلّ جزء يكون من أجزاء ما لا يؤكل لحمه موضوع عرفيّ لخطاب لا تصلِّ فيه، وهذا هو المقصود من الانحلال.</w:t>
      </w:r>
    </w:p>
    <w:p w:rsidR="000043FF" w:rsidRDefault="00336CC8" w:rsidP="000043FF">
      <w:pPr>
        <w:pStyle w:val="ListParagraph"/>
        <w:numPr>
          <w:ilvl w:val="0"/>
          <w:numId w:val="1"/>
        </w:numPr>
        <w:jc w:val="both"/>
        <w:rPr>
          <w:rFonts w:ascii="Lotus Linotype" w:hAnsi="Lotus Linotype" w:cs="Lotus Linotype"/>
          <w:sz w:val="28"/>
          <w:szCs w:val="28"/>
          <w:lang w:bidi="ar-LB"/>
        </w:rPr>
      </w:pPr>
      <w:r w:rsidRPr="000043FF">
        <w:rPr>
          <w:rFonts w:ascii="Lotus Linotype" w:hAnsi="Lotus Linotype" w:cs="Lotus Linotype" w:hint="cs"/>
          <w:b/>
          <w:bCs/>
          <w:sz w:val="28"/>
          <w:szCs w:val="28"/>
          <w:rtl/>
          <w:lang w:bidi="ar-LB"/>
        </w:rPr>
        <w:lastRenderedPageBreak/>
        <w:t xml:space="preserve"> الإيراد الثالث:</w:t>
      </w:r>
      <w:r w:rsidRPr="000043FF">
        <w:rPr>
          <w:rFonts w:ascii="Lotus Linotype" w:hAnsi="Lotus Linotype" w:cs="Lotus Linotype" w:hint="cs"/>
          <w:sz w:val="28"/>
          <w:szCs w:val="28"/>
          <w:rtl/>
          <w:lang w:bidi="ar-LB"/>
        </w:rPr>
        <w:t xml:space="preserve"> </w:t>
      </w:r>
      <w:r w:rsidR="000043FF">
        <w:rPr>
          <w:rFonts w:ascii="Lotus Linotype" w:hAnsi="Lotus Linotype" w:cs="Lotus Linotype" w:hint="cs"/>
          <w:sz w:val="28"/>
          <w:szCs w:val="28"/>
          <w:rtl/>
          <w:lang w:bidi="ar-LB"/>
        </w:rPr>
        <w:t>-</w:t>
      </w:r>
      <w:r w:rsidRPr="000043FF">
        <w:rPr>
          <w:rFonts w:ascii="Lotus Linotype" w:hAnsi="Lotus Linotype" w:cs="Lotus Linotype" w:hint="cs"/>
          <w:sz w:val="28"/>
          <w:szCs w:val="28"/>
          <w:rtl/>
          <w:lang w:bidi="ar-LB"/>
        </w:rPr>
        <w:t>ما يخطر بالبال</w:t>
      </w:r>
      <w:r w:rsidR="000043FF">
        <w:rPr>
          <w:rFonts w:ascii="Lotus Linotype" w:hAnsi="Lotus Linotype" w:cs="Cambria" w:hint="cs"/>
          <w:sz w:val="28"/>
          <w:szCs w:val="28"/>
          <w:rtl/>
          <w:lang w:bidi="ar-LB"/>
        </w:rPr>
        <w:t>-</w:t>
      </w:r>
      <w:r w:rsidR="000043FF">
        <w:rPr>
          <w:rFonts w:ascii="Lotus Linotype" w:hAnsi="Lotus Linotype" w:cs="Lotus Linotype" w:hint="cs"/>
          <w:sz w:val="28"/>
          <w:szCs w:val="28"/>
          <w:rtl/>
          <w:lang w:bidi="ar-LB"/>
        </w:rPr>
        <w:t xml:space="preserve"> </w:t>
      </w:r>
      <w:r w:rsidRPr="000043FF">
        <w:rPr>
          <w:rFonts w:ascii="Lotus Linotype" w:hAnsi="Lotus Linotype" w:cs="Lotus Linotype" w:hint="cs"/>
          <w:sz w:val="28"/>
          <w:szCs w:val="28"/>
          <w:rtl/>
          <w:lang w:bidi="ar-LB"/>
        </w:rPr>
        <w:t xml:space="preserve">من أنّه </w:t>
      </w:r>
      <w:r w:rsidR="00D50572" w:rsidRPr="000043FF">
        <w:rPr>
          <w:rFonts w:ascii="Lotus Linotype" w:hAnsi="Lotus Linotype" w:cs="Lotus Linotype" w:hint="cs"/>
          <w:sz w:val="28"/>
          <w:szCs w:val="28"/>
          <w:rtl/>
          <w:lang w:bidi="ar-LB"/>
        </w:rPr>
        <w:t xml:space="preserve">إنّما تجري البراءة في مورد الشك في التكليف لا في مورد الشك في الامتثال، فإذا قال المولى"جئني بماءٍ ليس بمالحٍ" وشككنا أنّ هذا الماء الذي نُريد أن نأخذه للمولى هل هو ماء مالح أم لا؟ فتارةً يجري الاستصحاب الموضوعي أنّ هذا الماء لم يكن مالحاً في زمان والآن كما كان، فذاك بحثٌ آخر. ولكن إذا لم يجرِ الاستصحاب الموضوعي، وأردنا أن نُجري البراءة فكيف نُجري البراءة؟ نحن نعلم بأنّ المولى طلب منّا الإتيان بماءٍ ليس بمالح، لو كان هذا الماء مالحاً لم يتحقق الامتثال للتكليف المعلوم بحدّه. وإذا لم يكن بمالح تحقق الامتثال، فيكون الشكّ في الامتثال، والشك في الامتثال مجرى لقاعدة الاشتغال، فيلزم الاحتياط.  وأين هذا من موارد جريان البراءة عن الشك في التكليف؟ </w:t>
      </w:r>
    </w:p>
    <w:p w:rsidR="000043FF" w:rsidRDefault="00D50572" w:rsidP="000043FF">
      <w:pPr>
        <w:pStyle w:val="ListParagraph"/>
        <w:ind w:left="360"/>
        <w:jc w:val="both"/>
        <w:rPr>
          <w:rFonts w:ascii="Lotus Linotype" w:hAnsi="Lotus Linotype" w:cs="Lotus Linotype"/>
          <w:sz w:val="28"/>
          <w:szCs w:val="28"/>
          <w:rtl/>
          <w:lang w:bidi="ar-LB"/>
        </w:rPr>
      </w:pPr>
      <w:r w:rsidRPr="000043FF">
        <w:rPr>
          <w:rFonts w:ascii="Lotus Linotype" w:hAnsi="Lotus Linotype" w:cs="Lotus Linotype" w:hint="cs"/>
          <w:b/>
          <w:bCs/>
          <w:color w:val="FF0000"/>
          <w:sz w:val="28"/>
          <w:szCs w:val="28"/>
          <w:rtl/>
          <w:lang w:bidi="ar-LB"/>
        </w:rPr>
        <w:t>هذا الإيراد أيضاً قابل للجواب</w:t>
      </w:r>
      <w:r w:rsidRPr="000043FF">
        <w:rPr>
          <w:rFonts w:ascii="Lotus Linotype" w:hAnsi="Lotus Linotype" w:cs="Lotus Linotype" w:hint="cs"/>
          <w:sz w:val="28"/>
          <w:szCs w:val="28"/>
          <w:rtl/>
          <w:lang w:bidi="ar-LB"/>
        </w:rPr>
        <w:t xml:space="preserve">: </w:t>
      </w:r>
    </w:p>
    <w:p w:rsidR="000043FF" w:rsidRDefault="000043FF" w:rsidP="000043FF">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D50572" w:rsidRPr="000043FF">
        <w:rPr>
          <w:rFonts w:ascii="Lotus Linotype" w:hAnsi="Lotus Linotype" w:cs="Lotus Linotype" w:hint="cs"/>
          <w:sz w:val="28"/>
          <w:szCs w:val="28"/>
          <w:rtl/>
          <w:lang w:bidi="ar-LB"/>
        </w:rPr>
        <w:t xml:space="preserve">فإنّه تارةً يقول الشارع "صلّ مع عدم لُبس ما لا يؤكل لحمه"، فهنا يتمُّ الإشكال؛ لأننا لا نشكّ في المانعيّة بل </w:t>
      </w:r>
      <w:r>
        <w:rPr>
          <w:rFonts w:ascii="Lotus Linotype" w:hAnsi="Lotus Linotype" w:cs="Lotus Linotype" w:hint="cs"/>
          <w:sz w:val="28"/>
          <w:szCs w:val="28"/>
          <w:rtl/>
          <w:lang w:bidi="ar-LB"/>
        </w:rPr>
        <w:t xml:space="preserve"> </w:t>
      </w:r>
      <w:r w:rsidR="00D50572" w:rsidRPr="000043FF">
        <w:rPr>
          <w:rFonts w:ascii="Lotus Linotype" w:hAnsi="Lotus Linotype" w:cs="Lotus Linotype" w:hint="cs"/>
          <w:sz w:val="28"/>
          <w:szCs w:val="28"/>
          <w:rtl/>
          <w:lang w:bidi="ar-LB"/>
        </w:rPr>
        <w:t xml:space="preserve">نشكّ في وجود المانع. إذا لبسنا الفرو أو صوفاً لا ندري أنّه هل هو صوف صناعي أم صوف متخّذ من حيوان محرّم الأكل، فنشكّ في أنّه هل تحقق المانع؟ المانع هو لُبس ما لا يؤكل لحمه، هل تحقق المانع أم لا؟ </w:t>
      </w:r>
    </w:p>
    <w:p w:rsidR="000043FF" w:rsidRDefault="000043FF" w:rsidP="000043FF">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D50572" w:rsidRPr="000043FF">
        <w:rPr>
          <w:rFonts w:ascii="Lotus Linotype" w:hAnsi="Lotus Linotype" w:cs="Lotus Linotype" w:hint="cs"/>
          <w:sz w:val="28"/>
          <w:szCs w:val="28"/>
          <w:rtl/>
          <w:lang w:bidi="ar-LB"/>
        </w:rPr>
        <w:t>فإذا جرى استصحاب عدم تحقق المانع فهو، وإلّا فلا نشكّ في مانعيّة شيء شرعاً حتى نجري البراءة عن مانعيته، وهكذا في مثال النجاسة. فلو قال الشارع: "صلّ مع عدم نجاسة الثوب" نعلم بمانعيّة نجاسة الثوب وإنّما نشكّ في تحقق المانع، هل تحققت نجاسة الثوب لتكون مانعةً؟ فالشكّ في وجود المانع وليس الشكّ في مانعيّة الموجود حتى تجري البراءة عن مانعيته. ومثال قوله جئني بماءٍ ليس بمالح من هذا القبيل؛ نعلم بأنّ مالحيّة الماء مانعةٌ وإنّما نشكّ في وجود المانع، وه</w:t>
      </w:r>
      <w:r w:rsidR="00851533" w:rsidRPr="000043FF">
        <w:rPr>
          <w:rFonts w:ascii="Lotus Linotype" w:hAnsi="Lotus Linotype" w:cs="Lotus Linotype" w:hint="cs"/>
          <w:sz w:val="28"/>
          <w:szCs w:val="28"/>
          <w:rtl/>
          <w:lang w:bidi="ar-LB"/>
        </w:rPr>
        <w:t>ذا يختلف عمّا لو قال الشارع "صلّ ولا يكن ثوبك ممّا يؤكل لحمه"</w:t>
      </w:r>
      <w:r w:rsidR="000F742C" w:rsidRPr="000043FF">
        <w:rPr>
          <w:rFonts w:ascii="Lotus Linotype" w:hAnsi="Lotus Linotype" w:cs="Lotus Linotype" w:hint="cs"/>
          <w:sz w:val="28"/>
          <w:szCs w:val="28"/>
          <w:rtl/>
          <w:lang w:bidi="ar-LB"/>
        </w:rPr>
        <w:t xml:space="preserve"> "صلّ ولا يكن ثوبك نجسا"؛ فإنّ كون الثوب ممّا يؤكل لحمه عرفاً حيثيّة تعليليّة لعروض المانعيّة على هذا الثوب. </w:t>
      </w:r>
      <w:r w:rsidR="000F742C" w:rsidRPr="000043FF">
        <w:rPr>
          <w:rFonts w:ascii="Lotus Linotype" w:hAnsi="Lotus Linotype" w:cs="Lotus Linotype"/>
          <w:sz w:val="28"/>
          <w:szCs w:val="28"/>
          <w:rtl/>
          <w:lang w:bidi="ar-LB"/>
        </w:rPr>
        <w:t>"صلّ ولا يكن ثوبك ممّا يؤكل لحمه" يعني إن كان ثوبك مما لا يؤكل لحمه فلا تصلِّ في هذا الثوب</w:t>
      </w:r>
      <w:r w:rsidR="000F742C" w:rsidRPr="000043FF">
        <w:rPr>
          <w:rFonts w:ascii="Lotus Linotype" w:hAnsi="Lotus Linotype" w:cs="Lotus Linotype" w:hint="cs"/>
          <w:sz w:val="28"/>
          <w:szCs w:val="28"/>
          <w:rtl/>
          <w:lang w:bidi="ar-LB"/>
        </w:rPr>
        <w:t>، ثوبي هذا لا أدري هل هو ثوب متخذ من صوف حيواني محرّم الأكل أم من صوف صناعي أو صوف حيواني محرّم الأكل؟</w:t>
      </w:r>
    </w:p>
    <w:p w:rsidR="00CF7D0D" w:rsidRPr="000043FF" w:rsidRDefault="00CF7D0D" w:rsidP="000043FF">
      <w:pPr>
        <w:pStyle w:val="ListParagraph"/>
        <w:ind w:left="360"/>
        <w:jc w:val="both"/>
        <w:rPr>
          <w:rFonts w:ascii="Lotus Linotype" w:hAnsi="Lotus Linotype" w:cs="Lotus Linotype"/>
          <w:sz w:val="28"/>
          <w:szCs w:val="28"/>
          <w:rtl/>
          <w:lang w:bidi="ar-LB"/>
        </w:rPr>
      </w:pPr>
      <w:r w:rsidRPr="000043FF">
        <w:rPr>
          <w:rFonts w:ascii="Lotus Linotype" w:hAnsi="Lotus Linotype" w:cs="Lotus Linotype" w:hint="cs"/>
          <w:sz w:val="28"/>
          <w:szCs w:val="28"/>
          <w:rtl/>
          <w:lang w:bidi="ar-LB"/>
        </w:rPr>
        <w:t xml:space="preserve">     فإذا كان ثوبي متخذاً من صوف حيواني محرّم الأكل، فيكون اتّخاذه من محرّم الأكل حيثيّة تعليليّة أي واسطة في الثبوت، واسطة في ثبوت المانعيّة لهذا الثوب، هذا الثوب مانع من الصلاة إذا كان متخذاً ممّا لا يؤكل لحمه. فإذا شككت في أنّ هذا الثوب متخذ من ماذا؟ فأشك ف مانعيّة هذا الثوب. </w:t>
      </w:r>
    </w:p>
    <w:p w:rsidR="00CF7D0D" w:rsidRDefault="00CF7D0D" w:rsidP="00D50572">
      <w:pPr>
        <w:pStyle w:val="ListParagraph"/>
        <w:jc w:val="both"/>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 xml:space="preserve">      إذا كان هذا الثوب متّخذاً ممّا لا يؤكل لحمه فانبسط إليه </w:t>
      </w:r>
      <w:r w:rsidRPr="00CF7D0D">
        <w:rPr>
          <w:rFonts w:ascii="Lotus Linotype" w:hAnsi="Lotus Linotype" w:cs="Lotus Linotype"/>
          <w:sz w:val="28"/>
          <w:szCs w:val="28"/>
          <w:rtl/>
          <w:lang w:bidi="ar-LB"/>
        </w:rPr>
        <w:t xml:space="preserve">النهي عن الصلاة في الثوب إذا كان ممّا لا يؤكل لحمه. "كلّ ثوب يكون متّخذا ممّا لا يؤكل لحمه فتحرم الصلاة فيه" أشك في انبساط هذا النهي بالنسبة إلى هذا الثوب، أشكّ في مانعيّة هذا الثوب، أي أشكّ في تعلّق النهي الضمنيّ في لبس هذ الثوب. هنا لماذا لا تجري البراءة عن المانعيّة، أشك في مانعيّة الموجود. إذا كان الثوب متخذاً ممّا لا يؤكل لحمه فيشمله النهي عن الصلاة في الثوب إذا كان متخذاً ممّا لا يؤكل لحمه. وهكذا </w:t>
      </w:r>
      <w:r>
        <w:rPr>
          <w:rFonts w:ascii="Lotus Linotype" w:hAnsi="Lotus Linotype" w:cs="Lotus Linotype"/>
          <w:sz w:val="28"/>
          <w:szCs w:val="28"/>
          <w:rtl/>
          <w:lang w:bidi="ar-LB"/>
        </w:rPr>
        <w:t>في مثال: صلّ</w:t>
      </w:r>
      <w:r>
        <w:rPr>
          <w:rFonts w:ascii="Lotus Linotype" w:hAnsi="Lotus Linotype" w:cs="Lotus Linotype" w:hint="cs"/>
          <w:sz w:val="28"/>
          <w:szCs w:val="28"/>
          <w:rtl/>
          <w:lang w:bidi="ar-LB"/>
        </w:rPr>
        <w:t>ِ ولا يكن ثوبك نجساً؛ أي إذا كان ثوبك نجساً فنجاسة الثوب ليست مانعةً وإنّما تكون واسطة في ثبوت المانعيّة لذات الثوب. فإذا شككت في نجاسة هذا الثوب فأشكّ في تعلّق المانعيّة والنهي الضمني بهذا الثوب، فتجري البراءة عن مانعيته، وبهذا يتمّ إجراء البراء عن المانعيّة في اللباس المشكوك</w:t>
      </w:r>
      <w:r w:rsidR="00253AC6">
        <w:rPr>
          <w:rFonts w:ascii="Lotus Linotype" w:hAnsi="Lotus Linotype" w:cs="Lotus Linotype" w:hint="cs"/>
          <w:sz w:val="28"/>
          <w:szCs w:val="28"/>
          <w:rtl/>
          <w:lang w:bidi="ar-LB"/>
        </w:rPr>
        <w:t xml:space="preserve">. </w:t>
      </w:r>
    </w:p>
    <w:p w:rsidR="00253AC6" w:rsidRDefault="00211457" w:rsidP="00D50572">
      <w:pPr>
        <w:pStyle w:val="ListParagraph"/>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اختاره </w:t>
      </w:r>
      <w:r w:rsidR="00253AC6">
        <w:rPr>
          <w:rFonts w:ascii="Lotus Linotype" w:hAnsi="Lotus Linotype" w:cs="Lotus Linotype" w:hint="cs"/>
          <w:sz w:val="28"/>
          <w:szCs w:val="28"/>
          <w:rtl/>
          <w:lang w:bidi="ar-LB"/>
        </w:rPr>
        <w:t>جمعٌ كبير من الأعلام ما عدا الميرزا الشيرازي الكبير</w:t>
      </w:r>
      <w:r>
        <w:rPr>
          <w:rFonts w:ascii="Lotus Linotype" w:hAnsi="Lotus Linotype" w:cs="TAHER" w:hint="cs"/>
          <w:sz w:val="28"/>
          <w:szCs w:val="28"/>
          <w:rtl/>
          <w:lang w:bidi="ar-LB"/>
        </w:rPr>
        <w:t>&amp;</w:t>
      </w:r>
      <w:r w:rsidR="00253AC6">
        <w:rPr>
          <w:rFonts w:ascii="Lotus Linotype" w:hAnsi="Lotus Linotype" w:cs="Lotus Linotype" w:hint="cs"/>
          <w:sz w:val="28"/>
          <w:szCs w:val="28"/>
          <w:rtl/>
          <w:lang w:bidi="ar-LB"/>
        </w:rPr>
        <w:t>، ومن الأعلام الذين قبلوا هذا الرأي السيّد الخوئي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253AC6">
        <w:rPr>
          <w:rFonts w:ascii="Lotus Linotype" w:hAnsi="Lotus Linotype" w:cs="Lotus Linotype" w:hint="cs"/>
          <w:sz w:val="28"/>
          <w:szCs w:val="28"/>
          <w:rtl/>
          <w:lang w:bidi="ar-LB"/>
        </w:rPr>
        <w:t xml:space="preserve"> والسيّد السيستاني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w:t>
      </w:r>
      <w:r w:rsidR="00253AC6">
        <w:rPr>
          <w:rFonts w:ascii="Lotus Linotype" w:hAnsi="Lotus Linotype" w:cs="Lotus Linotype" w:hint="cs"/>
          <w:sz w:val="28"/>
          <w:szCs w:val="28"/>
          <w:rtl/>
          <w:lang w:bidi="ar-LB"/>
        </w:rPr>
        <w:t>.</w:t>
      </w:r>
    </w:p>
    <w:p w:rsidR="00211457" w:rsidRDefault="00211457" w:rsidP="00D50572">
      <w:pPr>
        <w:jc w:val="both"/>
        <w:rPr>
          <w:rFonts w:ascii="Lotus Linotype" w:hAnsi="Lotus Linotype" w:cs="Lotus Linotype"/>
          <w:sz w:val="28"/>
          <w:szCs w:val="28"/>
          <w:rtl/>
          <w:lang w:bidi="ar-LB"/>
        </w:rPr>
      </w:pPr>
    </w:p>
    <w:p w:rsidR="00211457" w:rsidRDefault="00211457" w:rsidP="00211457">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253AC6" w:rsidRPr="00211457">
        <w:rPr>
          <w:rFonts w:ascii="Lotus Linotype" w:hAnsi="Lotus Linotype" w:cs="Lotus Linotype" w:hint="cs"/>
          <w:sz w:val="28"/>
          <w:szCs w:val="28"/>
          <w:rtl/>
          <w:lang w:bidi="ar-LB"/>
        </w:rPr>
        <w:t xml:space="preserve">هذا تمام الكلام في الجهات التي وقع البحث عنها في النواهي. يقع الكلام في بحث اجتماع الأمر والنهي، وهو أنّه هل يجوز اجتماع الأمر والنهي في أمرٍ واحد إذا انطبق عنوانان؛ </w:t>
      </w:r>
      <w:r w:rsidR="0037668C" w:rsidRPr="00211457">
        <w:rPr>
          <w:rFonts w:ascii="Lotus Linotype" w:hAnsi="Lotus Linotype" w:cs="Lotus Linotype" w:hint="cs"/>
          <w:sz w:val="28"/>
          <w:szCs w:val="28"/>
          <w:rtl/>
          <w:lang w:bidi="ar-LB"/>
        </w:rPr>
        <w:t>كالوضوء بماء مغصوب ينطبق عليه عنوان الوضوء وهو واجب وينطبق عليه عنوان الغصب وهو حرام.</w:t>
      </w:r>
    </w:p>
    <w:p w:rsidR="00211457" w:rsidRDefault="00A63B48" w:rsidP="00211457">
      <w:pPr>
        <w:jc w:val="both"/>
        <w:rPr>
          <w:rFonts w:ascii="Lotus Linotype" w:hAnsi="Lotus Linotype" w:cs="Lotus Linotype"/>
          <w:sz w:val="28"/>
          <w:szCs w:val="28"/>
          <w:rtl/>
          <w:lang w:bidi="ar-LB"/>
        </w:rPr>
      </w:pPr>
      <w:r w:rsidRPr="00211457">
        <w:rPr>
          <w:rFonts w:ascii="Lotus Linotype" w:hAnsi="Lotus Linotype" w:cs="Lotus Linotype" w:hint="cs"/>
          <w:sz w:val="28"/>
          <w:szCs w:val="28"/>
          <w:rtl/>
          <w:lang w:bidi="ar-LB"/>
        </w:rPr>
        <w:t xml:space="preserve">    هل نقول بأنّ هذا الوضوء بالماء المغصوب حرام بعنوان الغصب وواجب أو فقل مصداق الواجب بعنوان الوضوء بالماء؟ أم يمتنع اجتماع الأمر والنهي كما هو المنسوب إلى المشهور ومنهم السيّد الخوئي </w:t>
      </w:r>
      <w:r w:rsidR="00211457">
        <w:rPr>
          <w:rFonts w:ascii="Lotus Linotype" w:hAnsi="Lotus Linotype" w:cs="TAHER" w:hint="cs"/>
          <w:sz w:val="28"/>
          <w:szCs w:val="28"/>
          <w:rtl/>
          <w:lang w:bidi="ar-LB"/>
        </w:rPr>
        <w:t>+</w:t>
      </w:r>
      <w:r w:rsidRPr="00211457">
        <w:rPr>
          <w:rFonts w:ascii="Lotus Linotype" w:hAnsi="Lotus Linotype" w:cs="Lotus Linotype" w:hint="cs"/>
          <w:sz w:val="28"/>
          <w:szCs w:val="28"/>
          <w:rtl/>
          <w:lang w:bidi="ar-LB"/>
        </w:rPr>
        <w:t>؟</w:t>
      </w:r>
    </w:p>
    <w:p w:rsidR="00A63B48" w:rsidRPr="00211457" w:rsidRDefault="00211457" w:rsidP="00211457">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A63B48" w:rsidRPr="00211457">
        <w:rPr>
          <w:rFonts w:ascii="Lotus Linotype" w:hAnsi="Lotus Linotype" w:cs="Lotus Linotype" w:hint="cs"/>
          <w:sz w:val="28"/>
          <w:szCs w:val="28"/>
          <w:rtl/>
          <w:lang w:bidi="ar-LB"/>
        </w:rPr>
        <w:t xml:space="preserve">فهذا بحث أصوليّ مهم يترتب عليه ثمرات فقهيّة كثيرة، فبين قائل بالامتناع كالسيّد الخوئي وبين قائل بالجواز كالسيّد السيستاني، بل السيّد السيستاني عبر هذا الجسر وقال حتى لو كان النهي متعلّقاً بعنوانٍ يكون نفس عنوان الواجب إلّا أنّ الأمر تعلّق بصرف وجود العنوان والنهي تعلّق بحصة من ذلك العنوان. لا مانع من اجتماع الأمر والنهي فيه، كما لو قال المولى لعبده اشرب ماءً والملاك فيه رفع العطش وقال لا تشرب الماء البارد والملاك فيه أن لا تلتهب رئته مثلاً، فإذا شرب ماءاً بارداً فقط أطاع ذلك الأمر وعصى هذا النهي. </w:t>
      </w:r>
    </w:p>
    <w:p w:rsidR="00A63B48" w:rsidRPr="00211457" w:rsidRDefault="00A63B48" w:rsidP="00D50572">
      <w:pPr>
        <w:jc w:val="both"/>
        <w:rPr>
          <w:rFonts w:ascii="Lotus Linotype" w:hAnsi="Lotus Linotype" w:cs="Lotus Linotype"/>
          <w:sz w:val="28"/>
          <w:szCs w:val="28"/>
          <w:rtl/>
          <w:lang w:bidi="ar-LB"/>
        </w:rPr>
      </w:pPr>
      <w:r w:rsidRPr="00211457">
        <w:rPr>
          <w:rFonts w:ascii="Lotus Linotype" w:hAnsi="Lotus Linotype" w:cs="Lotus Linotype" w:hint="cs"/>
          <w:sz w:val="28"/>
          <w:szCs w:val="28"/>
          <w:rtl/>
          <w:lang w:bidi="ar-LB"/>
        </w:rPr>
        <w:t>تأملوا في هذه المسألة المهمّة إلى ليلة الأحد إن شاء الله.</w:t>
      </w:r>
    </w:p>
    <w:p w:rsidR="00A63B48" w:rsidRPr="00CF7D0D" w:rsidRDefault="00211457" w:rsidP="00D50572">
      <w:pPr>
        <w:pStyle w:val="ListParagraph"/>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                                                                                                                                          </w:t>
      </w:r>
      <w:r w:rsidR="00A63B48">
        <w:rPr>
          <w:rFonts w:ascii="Lotus Linotype" w:hAnsi="Lotus Linotype" w:cs="Lotus Linotype" w:hint="cs"/>
          <w:sz w:val="28"/>
          <w:szCs w:val="28"/>
          <w:rtl/>
          <w:lang w:bidi="ar-LB"/>
        </w:rPr>
        <w:t>والحمد لله ربّ العالمين.</w:t>
      </w:r>
    </w:p>
    <w:sectPr w:rsidR="00A63B48" w:rsidRPr="00CF7D0D" w:rsidSect="00625DDA">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D44" w:rsidRDefault="00462D44" w:rsidP="0063332A">
      <w:pPr>
        <w:spacing w:after="0" w:line="240" w:lineRule="auto"/>
      </w:pPr>
      <w:r>
        <w:separator/>
      </w:r>
    </w:p>
  </w:endnote>
  <w:endnote w:type="continuationSeparator" w:id="0">
    <w:p w:rsidR="00462D44" w:rsidRDefault="00462D44" w:rsidP="0063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charset w:val="00"/>
    <w:family w:val="script"/>
    <w:pitch w:val="variable"/>
    <w:sig w:usb0="A000206F" w:usb1="C0000000" w:usb2="00000008" w:usb3="00000000" w:csb0="000000D3" w:csb1="00000000"/>
  </w:font>
  <w:font w:name="TAHER">
    <w:charset w:val="B2"/>
    <w:family w:val="auto"/>
    <w:pitch w:val="variable"/>
    <w:sig w:usb0="00002001" w:usb1="00000000" w:usb2="00000000" w:usb3="00000000" w:csb0="00000040" w:csb1="00000000"/>
  </w:font>
  <w:font w:name="Lotus Linotype">
    <w:charset w:val="00"/>
    <w:family w:val="auto"/>
    <w:pitch w:val="variable"/>
    <w:sig w:usb0="00002007" w:usb1="80000000" w:usb2="00000008" w:usb3="00000000" w:csb0="00000043"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82865939"/>
      <w:docPartObj>
        <w:docPartGallery w:val="Page Numbers (Bottom of Page)"/>
        <w:docPartUnique/>
      </w:docPartObj>
    </w:sdtPr>
    <w:sdtEndPr/>
    <w:sdtContent>
      <w:p w:rsidR="0063332A" w:rsidRDefault="0063332A">
        <w:pPr>
          <w:pStyle w:val="Footer"/>
          <w:jc w:val="center"/>
        </w:pPr>
        <w:r>
          <w:rPr>
            <w:noProof/>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93E815C"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63332A" w:rsidRDefault="0063332A">
        <w:pPr>
          <w:pStyle w:val="Footer"/>
          <w:jc w:val="center"/>
        </w:pPr>
        <w:r>
          <w:fldChar w:fldCharType="begin"/>
        </w:r>
        <w:r>
          <w:instrText xml:space="preserve"> PAGE    \* MERGEFORMAT </w:instrText>
        </w:r>
        <w:r>
          <w:fldChar w:fldCharType="separate"/>
        </w:r>
        <w:r w:rsidR="00E65E5A">
          <w:rPr>
            <w:noProof/>
            <w:rtl/>
          </w:rPr>
          <w:t>1</w:t>
        </w:r>
        <w:r>
          <w:rPr>
            <w:noProof/>
          </w:rPr>
          <w:fldChar w:fldCharType="end"/>
        </w:r>
      </w:p>
    </w:sdtContent>
  </w:sdt>
  <w:p w:rsidR="0063332A" w:rsidRDefault="006333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D44" w:rsidRDefault="00462D44" w:rsidP="0063332A">
      <w:pPr>
        <w:spacing w:after="0" w:line="240" w:lineRule="auto"/>
      </w:pPr>
      <w:r>
        <w:separator/>
      </w:r>
    </w:p>
  </w:footnote>
  <w:footnote w:type="continuationSeparator" w:id="0">
    <w:p w:rsidR="00462D44" w:rsidRDefault="00462D44" w:rsidP="00633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74F"/>
    <w:multiLevelType w:val="hybridMultilevel"/>
    <w:tmpl w:val="C2D60C0C"/>
    <w:lvl w:ilvl="0" w:tplc="84C648E8">
      <w:start w:val="1"/>
      <w:numFmt w:val="decimal"/>
      <w:lvlText w:val="%1)"/>
      <w:lvlJc w:val="left"/>
      <w:pPr>
        <w:ind w:left="360" w:hanging="360"/>
      </w:pPr>
      <w:rPr>
        <w:rFonts w:hint="default"/>
        <w:color w:val="FF0000"/>
        <w:lang w:bidi="ar-L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E40D97"/>
    <w:multiLevelType w:val="hybridMultilevel"/>
    <w:tmpl w:val="B6AC95EE"/>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49A"/>
    <w:rsid w:val="000043FF"/>
    <w:rsid w:val="000F742C"/>
    <w:rsid w:val="00136C2B"/>
    <w:rsid w:val="001E5D25"/>
    <w:rsid w:val="001F771C"/>
    <w:rsid w:val="00211457"/>
    <w:rsid w:val="002122BF"/>
    <w:rsid w:val="00253AC6"/>
    <w:rsid w:val="00336CC8"/>
    <w:rsid w:val="0037668C"/>
    <w:rsid w:val="00462D44"/>
    <w:rsid w:val="0054049A"/>
    <w:rsid w:val="00625DDA"/>
    <w:rsid w:val="0063332A"/>
    <w:rsid w:val="0072588F"/>
    <w:rsid w:val="007F2A17"/>
    <w:rsid w:val="00800473"/>
    <w:rsid w:val="00851533"/>
    <w:rsid w:val="00A62102"/>
    <w:rsid w:val="00A63B48"/>
    <w:rsid w:val="00B033E3"/>
    <w:rsid w:val="00B04FEF"/>
    <w:rsid w:val="00CD628C"/>
    <w:rsid w:val="00CF7D0D"/>
    <w:rsid w:val="00D50572"/>
    <w:rsid w:val="00E52E78"/>
    <w:rsid w:val="00E65E5A"/>
    <w:rsid w:val="00EA7D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FFC1A"/>
  <w15:chartTrackingRefBased/>
  <w15:docId w15:val="{DBD8844E-0EDD-44EF-9140-B7E6098A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88F"/>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3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32A"/>
  </w:style>
  <w:style w:type="paragraph" w:styleId="Footer">
    <w:name w:val="footer"/>
    <w:basedOn w:val="Normal"/>
    <w:link w:val="FooterChar"/>
    <w:uiPriority w:val="99"/>
    <w:unhideWhenUsed/>
    <w:rsid w:val="006333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32A"/>
  </w:style>
  <w:style w:type="paragraph" w:styleId="ListParagraph">
    <w:name w:val="List Paragraph"/>
    <w:basedOn w:val="Normal"/>
    <w:uiPriority w:val="34"/>
    <w:qFormat/>
    <w:rsid w:val="001E5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8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abohaidar14313@gmail.com</cp:lastModifiedBy>
  <cp:revision>21</cp:revision>
  <dcterms:created xsi:type="dcterms:W3CDTF">2022-01-16T11:20:00Z</dcterms:created>
  <dcterms:modified xsi:type="dcterms:W3CDTF">2022-01-16T13:32:00Z</dcterms:modified>
</cp:coreProperties>
</file>