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B12" w:rsidRDefault="00F81B12" w:rsidP="00F81B12">
      <w:pPr>
        <w:spacing w:before="240" w:line="276" w:lineRule="auto"/>
        <w:jc w:val="center"/>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بسم الله الرحمن الرحيم</w:t>
      </w:r>
    </w:p>
    <w:p w:rsidR="00F81B12" w:rsidRDefault="00F81B12" w:rsidP="00F81B12">
      <w:pPr>
        <w:spacing w:before="240" w:line="276" w:lineRule="auto"/>
        <w:jc w:val="center"/>
        <w:rPr>
          <w:rFonts w:ascii="Arabic Typesetting" w:hAnsi="Arabic Typesetting" w:cs="Arabic Typesetting"/>
          <w:sz w:val="28"/>
          <w:szCs w:val="28"/>
          <w:lang w:bidi="ar-LB"/>
        </w:rPr>
      </w:pPr>
    </w:p>
    <w:p w:rsidR="00F81B12" w:rsidRDefault="00F81B12" w:rsidP="00F81B12">
      <w:pPr>
        <w:spacing w:before="24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 xml:space="preserve">الدرس: </w:t>
      </w:r>
      <w:r>
        <w:rPr>
          <w:rFonts w:ascii="Arabic Typesetting" w:hAnsi="Arabic Typesetting" w:cs="Arabic Typesetting" w:hint="cs"/>
          <w:b/>
          <w:bCs/>
          <w:color w:val="FF0000"/>
          <w:sz w:val="28"/>
          <w:szCs w:val="28"/>
          <w:rtl/>
          <w:lang w:bidi="ar-LB"/>
        </w:rPr>
        <w:t xml:space="preserve">10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F81B12" w:rsidRDefault="00F81B12" w:rsidP="00F81B12">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sidR="00F813D9" w:rsidRPr="00F813D9">
        <w:rPr>
          <w:rFonts w:ascii="Arabic Typesetting" w:hAnsi="Arabic Typesetting" w:cs="Arabic Typesetting" w:hint="cs"/>
          <w:color w:val="FF0000"/>
          <w:sz w:val="28"/>
          <w:szCs w:val="28"/>
          <w:rtl/>
          <w:lang w:bidi="ar-LB"/>
        </w:rPr>
        <w:t>في اجتماع الأمر والنهي</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w:t>
      </w:r>
      <w:r w:rsidR="00F813D9">
        <w:rPr>
          <w:rFonts w:ascii="Arabic Typesetting" w:hAnsi="Arabic Typesetting" w:cs="Arabic Typesetting" w:hint="cs"/>
          <w:b/>
          <w:bCs/>
          <w:sz w:val="28"/>
          <w:szCs w:val="28"/>
          <w:rtl/>
          <w:lang w:bidi="ar-LB"/>
        </w:rPr>
        <w:t xml:space="preserve">                             </w:t>
      </w:r>
      <w:r>
        <w:rPr>
          <w:rFonts w:ascii="Arabic Typesetting" w:hAnsi="Arabic Typesetting" w:cs="Arabic Typesetting"/>
          <w:b/>
          <w:bCs/>
          <w:sz w:val="28"/>
          <w:szCs w:val="28"/>
          <w:rtl/>
          <w:lang w:bidi="ar-LB"/>
        </w:rPr>
        <w:t>الدرس</w:t>
      </w:r>
      <w:r>
        <w:rPr>
          <w:rFonts w:ascii="Arabic Typesetting" w:hAnsi="Arabic Typesetting" w:cs="Arabic Typesetting"/>
          <w:sz w:val="28"/>
          <w:szCs w:val="28"/>
          <w:rtl/>
          <w:lang w:bidi="ar-LB"/>
        </w:rPr>
        <w:t>: الأصول (الدورة الرابعة)</w:t>
      </w:r>
    </w:p>
    <w:p w:rsidR="00F813D9" w:rsidRDefault="00F813D9" w:rsidP="00F813D9">
      <w:pPr>
        <w:spacing w:before="24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sz w:val="28"/>
          <w:szCs w:val="28"/>
          <w:rtl/>
          <w:lang w:bidi="ar-LB"/>
        </w:rPr>
        <w:t>ا</w:t>
      </w:r>
      <w:r>
        <w:rPr>
          <w:rFonts w:ascii="Arabic Typesetting" w:hAnsi="Arabic Typesetting" w:cs="Arabic Typesetting" w:hint="cs"/>
          <w:sz w:val="28"/>
          <w:szCs w:val="28"/>
          <w:rtl/>
          <w:lang w:bidi="ar-LB"/>
        </w:rPr>
        <w:t>لسبت</w:t>
      </w:r>
      <w:r>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 xml:space="preserve"> </w:t>
      </w:r>
      <w:r>
        <w:rPr>
          <w:rFonts w:ascii="Arabic Typesetting" w:hAnsi="Arabic Typesetting" w:cs="Arabic Typesetting" w:hint="cs"/>
          <w:sz w:val="28"/>
          <w:szCs w:val="28"/>
          <w:rtl/>
          <w:lang w:bidi="ar-LB"/>
        </w:rPr>
        <w:t>15</w:t>
      </w:r>
      <w:r>
        <w:rPr>
          <w:rFonts w:ascii="Arabic Typesetting" w:hAnsi="Arabic Typesetting" w:cs="Arabic Typesetting"/>
          <w:sz w:val="28"/>
          <w:szCs w:val="28"/>
          <w:rtl/>
          <w:lang w:bidi="ar-LB"/>
        </w:rPr>
        <w:t xml:space="preserve">/1/2022 </w:t>
      </w:r>
      <w:r>
        <w:rPr>
          <w:rFonts w:ascii="Arabic Typesetting" w:hAnsi="Arabic Typesetting" w:cs="Arabic Typesetting"/>
          <w:b/>
          <w:bCs/>
          <w:sz w:val="28"/>
          <w:szCs w:val="28"/>
          <w:rtl/>
          <w:lang w:bidi="ar-LB"/>
        </w:rPr>
        <w:t>(</w:t>
      </w:r>
      <w:r>
        <w:rPr>
          <w:rFonts w:ascii="Arabic Typesetting" w:hAnsi="Arabic Typesetting" w:cs="Arabic Typesetting" w:hint="cs"/>
          <w:sz w:val="28"/>
          <w:szCs w:val="28"/>
          <w:rtl/>
          <w:lang w:bidi="ar-LB"/>
        </w:rPr>
        <w:t>12</w:t>
      </w:r>
      <w:r>
        <w:rPr>
          <w:rFonts w:ascii="Arabic Typesetting" w:hAnsi="Arabic Typesetting" w:cs="Arabic Typesetting"/>
          <w:sz w:val="28"/>
          <w:szCs w:val="28"/>
          <w:rtl/>
          <w:lang w:bidi="ar-LB"/>
        </w:rPr>
        <w:t>/جمادي الثانية/ 1443</w:t>
      </w:r>
      <w:r>
        <w:rPr>
          <w:rFonts w:ascii="Arabic Typesetting" w:hAnsi="Arabic Typesetting" w:cs="Arabic Typesetting"/>
          <w:b/>
          <w:bCs/>
          <w:sz w:val="28"/>
          <w:szCs w:val="28"/>
          <w:rtl/>
          <w:lang w:bidi="ar-LB"/>
        </w:rPr>
        <w:t>)</w:t>
      </w:r>
    </w:p>
    <w:p w:rsidR="00BF09D6" w:rsidRPr="00F81B12" w:rsidRDefault="00BF09D6" w:rsidP="00F81B12">
      <w:pPr>
        <w:jc w:val="both"/>
        <w:rPr>
          <w:rFonts w:ascii="Lotus Linotype" w:hAnsi="Lotus Linotype" w:cs="Lotus Linotype"/>
          <w:sz w:val="28"/>
          <w:szCs w:val="28"/>
          <w:rtl/>
          <w:lang w:bidi="ar-LB"/>
        </w:rPr>
      </w:pPr>
    </w:p>
    <w:p w:rsidR="00F81B12" w:rsidRDefault="00F81B12" w:rsidP="00F81B12">
      <w:pPr>
        <w:jc w:val="both"/>
        <w:rPr>
          <w:rFonts w:ascii="Lotus Linotype" w:hAnsi="Lotus Linotype" w:cs="Lotus Linotype"/>
          <w:sz w:val="28"/>
          <w:szCs w:val="28"/>
          <w:rtl/>
          <w:lang w:bidi="ar-LB"/>
        </w:rPr>
      </w:pPr>
    </w:p>
    <w:p w:rsidR="00F81B12" w:rsidRDefault="00F81B12" w:rsidP="00F81B12">
      <w:pPr>
        <w:spacing w:before="240"/>
        <w:jc w:val="center"/>
        <w:rPr>
          <w:rFonts w:ascii="Arabic Typesetting" w:hAnsi="Arabic Typesetting" w:cs="Arabic Typesetting"/>
          <w:b/>
          <w:bCs/>
          <w:sz w:val="32"/>
          <w:szCs w:val="32"/>
          <w:rtl/>
          <w:lang w:bidi="ar-LB"/>
        </w:rPr>
      </w:pPr>
      <w:r>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F81B12" w:rsidRDefault="00F81B12" w:rsidP="00F81B12">
      <w:pPr>
        <w:jc w:val="both"/>
        <w:rPr>
          <w:rFonts w:ascii="Lotus Linotype" w:hAnsi="Lotus Linotype" w:cs="Lotus Linotype"/>
          <w:sz w:val="28"/>
          <w:szCs w:val="28"/>
          <w:rtl/>
          <w:lang w:bidi="ar-LB"/>
        </w:rPr>
      </w:pPr>
    </w:p>
    <w:p w:rsidR="00F81B12" w:rsidRDefault="00F81B12" w:rsidP="00F81B12">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كان الكلام في اجتماع الأمر والنهي، حيث وقع البحث في أنّه هل يجوز اجتماع الأمر والنهي في موردٍ واحد مع تعدد العنوان أم لا يجوز؟</w:t>
      </w:r>
    </w:p>
    <w:p w:rsidR="00F813D9" w:rsidRDefault="00F813D9" w:rsidP="00F81B12">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w:t>
      </w:r>
      <w:r w:rsidRPr="00F813D9">
        <w:rPr>
          <w:rFonts w:ascii="Lotus Linotype" w:hAnsi="Lotus Linotype" w:cs="Lotus Linotype" w:hint="cs"/>
          <w:b/>
          <w:bCs/>
          <w:color w:val="FF0000"/>
          <w:sz w:val="28"/>
          <w:szCs w:val="28"/>
          <w:rtl/>
          <w:lang w:bidi="ar-LB"/>
        </w:rPr>
        <w:t>تحرير محل النزاع</w:t>
      </w:r>
      <w:r>
        <w:rPr>
          <w:rFonts w:ascii="Lotus Linotype" w:hAnsi="Lotus Linotype" w:cs="Lotus Linotype" w:hint="cs"/>
          <w:sz w:val="28"/>
          <w:szCs w:val="28"/>
          <w:rtl/>
          <w:lang w:bidi="ar-LB"/>
        </w:rPr>
        <w:t>]</w:t>
      </w:r>
    </w:p>
    <w:p w:rsidR="00F813D9" w:rsidRDefault="00F81B12" w:rsidP="00F813D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ولا يخفى أنّ مورد النزاع حسبما هو الظاهر </w:t>
      </w:r>
      <w:r w:rsidR="00BC2579">
        <w:rPr>
          <w:rFonts w:ascii="Lotus Linotype" w:hAnsi="Lotus Linotype" w:cs="Lotus Linotype" w:hint="cs"/>
          <w:sz w:val="28"/>
          <w:szCs w:val="28"/>
          <w:rtl/>
          <w:lang w:bidi="ar-LB"/>
        </w:rPr>
        <w:t>ما إذا كان الأمرُ متعلّقاً بصِرف الوجود؛ كما أكدّ عليه السيّد الخوئي</w:t>
      </w:r>
      <w:r w:rsidR="00F813D9">
        <w:rPr>
          <w:rFonts w:ascii="Lotus Linotype" w:hAnsi="Lotus Linotype" w:cs="Lotus Linotype" w:hint="cs"/>
          <w:sz w:val="28"/>
          <w:szCs w:val="28"/>
          <w:rtl/>
          <w:lang w:bidi="ar-LB"/>
        </w:rPr>
        <w:t xml:space="preserve"> </w:t>
      </w:r>
      <w:r w:rsidR="00F813D9">
        <w:rPr>
          <w:rFonts w:ascii="Lotus Linotype" w:hAnsi="Lotus Linotype" w:cs="TAHER" w:hint="cs"/>
          <w:sz w:val="28"/>
          <w:szCs w:val="28"/>
          <w:rtl/>
          <w:lang w:bidi="ar-LB"/>
        </w:rPr>
        <w:t>&amp;</w:t>
      </w:r>
      <w:r w:rsidR="00BC2579">
        <w:rPr>
          <w:rFonts w:ascii="Lotus Linotype" w:hAnsi="Lotus Linotype" w:cs="Lotus Linotype" w:hint="cs"/>
          <w:sz w:val="28"/>
          <w:szCs w:val="28"/>
          <w:rtl/>
          <w:lang w:bidi="ar-LB"/>
        </w:rPr>
        <w:t xml:space="preserve"> في بعض كلماته، وأمّا إذا كان الأمرُ متعلّقاً بالطبيعة على نحو مطلق الوجود أي كان الأمر انحلاليّاً فلا مجال هنا لتوهم اجتماع الأمر والنهي</w:t>
      </w:r>
      <w:r w:rsidR="00F813D9">
        <w:rPr>
          <w:rFonts w:ascii="Lotus Linotype" w:hAnsi="Lotus Linotype" w:cs="Lotus Linotype" w:hint="cs"/>
          <w:sz w:val="28"/>
          <w:szCs w:val="28"/>
          <w:rtl/>
          <w:lang w:bidi="ar-LB"/>
        </w:rPr>
        <w:t>.</w:t>
      </w:r>
    </w:p>
    <w:p w:rsidR="00BC2579" w:rsidRDefault="00F813D9" w:rsidP="00F813D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BC2579">
        <w:rPr>
          <w:rFonts w:ascii="Lotus Linotype" w:hAnsi="Lotus Linotype" w:cs="Lotus Linotype" w:hint="cs"/>
          <w:sz w:val="28"/>
          <w:szCs w:val="28"/>
          <w:rtl/>
          <w:lang w:bidi="ar-LB"/>
        </w:rPr>
        <w:t xml:space="preserve"> مثل ما لو أمر المولى بالوضوء من كلّ ماءٍ موجودٍ في الدار وكان في الدار 10 مياه 5 منها مغصوبة، فإنّ الأمر الانحلالي بالوضوء من كلّ واحدٍ من هذه المياه لا يجتمع مع النهي عن الغصب، وهكذا في المستحبات الانحلاليّة، كاستحباب ذكر الله تعالى والنبي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BC2579">
        <w:rPr>
          <w:rFonts w:ascii="Lotus Linotype" w:hAnsi="Lotus Linotype" w:cs="Lotus Linotype" w:hint="cs"/>
          <w:sz w:val="28"/>
          <w:szCs w:val="28"/>
          <w:rtl/>
          <w:lang w:bidi="ar-LB"/>
        </w:rPr>
        <w:t xml:space="preserve"> والأئمة</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BC2579">
        <w:rPr>
          <w:rFonts w:ascii="Lotus Linotype" w:hAnsi="Lotus Linotype" w:cs="Lotus Linotype" w:hint="cs"/>
          <w:sz w:val="28"/>
          <w:szCs w:val="28"/>
          <w:rtl/>
          <w:lang w:bidi="ar-LB"/>
        </w:rPr>
        <w:t xml:space="preserve"> فإنه استحباب انحلاليٌّ، فلو كان ذكر الله</w:t>
      </w:r>
      <w:r>
        <w:rPr>
          <w:rFonts w:ascii="Lotus Linotype" w:hAnsi="Lotus Linotype" w:cs="Lotus Linotype" w:hint="cs"/>
          <w:sz w:val="28"/>
          <w:szCs w:val="28"/>
          <w:rtl/>
          <w:lang w:bidi="ar-LB"/>
        </w:rPr>
        <w:t xml:space="preserve"> تعالى</w:t>
      </w:r>
      <w:r w:rsidR="00BC2579">
        <w:rPr>
          <w:rFonts w:ascii="Lotus Linotype" w:hAnsi="Lotus Linotype" w:cs="Lotus Linotype" w:hint="cs"/>
          <w:sz w:val="28"/>
          <w:szCs w:val="28"/>
          <w:rtl/>
          <w:lang w:bidi="ar-LB"/>
        </w:rPr>
        <w:t xml:space="preserve"> أو ذكر النبي أو ذكر الإمام مصداقاً لمخالفة التقيّة الواجبة فهنا لا مجال لتوهّم اجتماع الأمر والنهي.</w:t>
      </w:r>
    </w:p>
    <w:p w:rsidR="00F81B12" w:rsidRDefault="00BC2579" w:rsidP="00BC2579">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فما قد يظهر من صاحب الكفاية</w:t>
      </w:r>
      <w:r w:rsidR="00602E52">
        <w:rPr>
          <w:rFonts w:ascii="Lotus Linotype" w:hAnsi="Lotus Linotype" w:cs="Lotus Linotype" w:hint="cs"/>
          <w:sz w:val="28"/>
          <w:szCs w:val="28"/>
          <w:rtl/>
          <w:lang w:bidi="ar-LB"/>
        </w:rPr>
        <w:t xml:space="preserve"> </w:t>
      </w:r>
      <w:r w:rsidR="00602E52">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أنّه يجري النزاع في مثل ما لو ورد من المولى </w:t>
      </w:r>
      <w:r>
        <w:rPr>
          <w:rFonts w:ascii="Lotus Linotype" w:hAnsi="Lotus Linotype" w:cs="Cambria" w:hint="cs"/>
          <w:sz w:val="28"/>
          <w:szCs w:val="28"/>
          <w:rtl/>
          <w:lang w:bidi="ar-LB"/>
        </w:rPr>
        <w:t>"</w:t>
      </w:r>
      <w:r>
        <w:rPr>
          <w:rFonts w:ascii="Lotus Linotype" w:hAnsi="Lotus Linotype" w:cs="Lotus Linotype" w:hint="cs"/>
          <w:sz w:val="28"/>
          <w:szCs w:val="28"/>
          <w:rtl/>
          <w:lang w:bidi="ar-LB"/>
        </w:rPr>
        <w:t>أكرم العلماء</w:t>
      </w:r>
      <w:r>
        <w:rPr>
          <w:rFonts w:ascii="Lotus Linotype" w:hAnsi="Lotus Linotype" w:cs="Cambria" w:hint="cs"/>
          <w:sz w:val="28"/>
          <w:szCs w:val="28"/>
          <w:rtl/>
          <w:lang w:bidi="ar-LB"/>
        </w:rPr>
        <w:t>"</w:t>
      </w:r>
      <w:r>
        <w:rPr>
          <w:rFonts w:ascii="Lotus Linotype" w:hAnsi="Lotus Linotype" w:cs="Lotus Linotype" w:hint="cs"/>
          <w:sz w:val="28"/>
          <w:szCs w:val="28"/>
          <w:rtl/>
          <w:lang w:bidi="ar-LB"/>
        </w:rPr>
        <w:t xml:space="preserve"> وورد عنهم "لا تكرم الفسّاق". وما هو المشهور من وقوع التعارض بينهما في مورد العالم الفاسق فلعلّه ينشأ من إحرازهم عدم </w:t>
      </w:r>
      <w:r>
        <w:rPr>
          <w:rFonts w:ascii="Lotus Linotype" w:hAnsi="Lotus Linotype" w:cs="Lotus Linotype" w:hint="cs"/>
          <w:sz w:val="28"/>
          <w:szCs w:val="28"/>
          <w:rtl/>
          <w:lang w:bidi="ar-LB"/>
        </w:rPr>
        <w:lastRenderedPageBreak/>
        <w:t>الملاكين في مورد الاجتماع، حيث يعتبر صاحب الكفاية اجتماع الأمر والنهي احراز الملاك لكلا الحكمين. وهذا غريب، من الذي يُحرز عدم اجتماع الملاكين؟ فلعلّه يوجد ملاكٌ لوجوب إكرام العالم الفاسق وملاك لحرمة إكرامه، وإن كان الحكم الفعلي يتبع أغلبهمما. إلّا  أنّ المهم أنّ العرف لا يقبل اجتماع الأمر بإكرام شخصٍ لأجل كونه عالماً والنهي عن إكرامه لأجل كونه فاسقاً، كيف يأمرُ المولى بإكرامه وداعيه هو حثّ المكلّف نحو إكرامه، وينهى عن إكرامه وداعيه زجر المكلّف عن إكرامه، فهل يجتمع داعي البعث والزجر في نفس المولى في آن واحد بالنسبة إلى فعلٍ واحد؟ قطعاً لا يمكن ذلك.</w:t>
      </w:r>
    </w:p>
    <w:p w:rsidR="00BC2579" w:rsidRDefault="00BC2579" w:rsidP="00BC2579">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فإذاً محلّ النزاع فيما لو كان الأمر متعلّقاً بصرف وجود الطبيعة كالأمر بالوضوء بالماء، فيقال إذا انطبق على وضوء بماء عنوان محرّم كعنوان الغصب، فهل يمكن اجتماع الأمر والنهي بالنسبة إليه؟ أو أمر المولى بدفن الميّت في مكانٍ وانطبق عنوانٌ محرّم على دفن الميّت في مكان خاص، كما لو كان المكان مغصوباً أو كان دفنه في هذا المكان مصداقاً لإيذاء المؤمنين، أو إيذاء من لا يجوز إيذاءه كإيذاء الوالدين أو لا يمكن اجتماعهما؟</w:t>
      </w:r>
    </w:p>
    <w:p w:rsidR="00602E52" w:rsidRDefault="00602E52" w:rsidP="00BC257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21A9E">
        <w:rPr>
          <w:rFonts w:ascii="Lotus Linotype" w:hAnsi="Lotus Linotype" w:cs="Lotus Linotype" w:hint="cs"/>
          <w:sz w:val="28"/>
          <w:szCs w:val="28"/>
          <w:rtl/>
          <w:lang w:bidi="ar-LB"/>
        </w:rPr>
        <w:t>جمعٌ من الأعلام التزموا بامتناع اجتماع الأمر والنهي ولو مع تعدد العنوان، وممّن ذهب إلى ذلك صاحب الكفاية</w:t>
      </w:r>
      <w:r>
        <w:rPr>
          <w:rFonts w:ascii="Lotus Linotype" w:hAnsi="Lotus Linotype" w:cs="TAHER" w:hint="cs"/>
          <w:sz w:val="28"/>
          <w:szCs w:val="28"/>
          <w:rtl/>
          <w:lang w:bidi="ar-LB"/>
        </w:rPr>
        <w:t>+</w:t>
      </w:r>
      <w:r w:rsidR="00821A9E">
        <w:rPr>
          <w:rFonts w:ascii="Lotus Linotype" w:hAnsi="Lotus Linotype" w:cs="Lotus Linotype" w:hint="cs"/>
          <w:sz w:val="28"/>
          <w:szCs w:val="28"/>
          <w:rtl/>
          <w:lang w:bidi="ar-LB"/>
        </w:rPr>
        <w:t xml:space="preserve"> ومن المعاصرين السيّد الخوئي </w:t>
      </w:r>
      <w:r w:rsidR="00821A9E">
        <w:rPr>
          <w:rFonts w:ascii="Lotus Linotype" w:hAnsi="Lotus Linotype" w:cs="TAHER" w:hint="cs"/>
          <w:sz w:val="28"/>
          <w:szCs w:val="28"/>
          <w:rtl/>
          <w:lang w:bidi="ar-LB"/>
        </w:rPr>
        <w:t>+</w:t>
      </w:r>
      <w:r w:rsidR="00821A9E">
        <w:rPr>
          <w:rFonts w:ascii="Lotus Linotype" w:hAnsi="Lotus Linotype" w:cs="Lotus Linotype" w:hint="cs"/>
          <w:sz w:val="28"/>
          <w:szCs w:val="28"/>
          <w:rtl/>
          <w:lang w:bidi="ar-LB"/>
        </w:rPr>
        <w:t>. وثمرة هذا القول أنّه لو جاء شخصٌ ودفن أبيه في مكانٍ مغصوب، دفنه في مكانٍ لا يجوز له أن يدفنه فيه، إمّا لكونه مغصوباً من الناس أو مأخوذاً من غير المتولّي الشرعي أو متعلّقاً للخمس ولم يخمّسه، فدفن أباه بذلك المكان.</w:t>
      </w:r>
      <w:r w:rsidR="008768C1">
        <w:rPr>
          <w:rFonts w:ascii="Lotus Linotype" w:hAnsi="Lotus Linotype" w:cs="Lotus Linotype" w:hint="cs"/>
          <w:sz w:val="28"/>
          <w:szCs w:val="28"/>
          <w:rtl/>
          <w:lang w:bidi="ar-LB"/>
        </w:rPr>
        <w:t xml:space="preserve"> </w:t>
      </w:r>
    </w:p>
    <w:p w:rsidR="00BC2579" w:rsidRDefault="00602E52" w:rsidP="00BC257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768C1">
        <w:rPr>
          <w:rFonts w:ascii="Lotus Linotype" w:hAnsi="Lotus Linotype" w:cs="Lotus Linotype" w:hint="cs"/>
          <w:sz w:val="28"/>
          <w:szCs w:val="28"/>
          <w:rtl/>
          <w:lang w:bidi="ar-LB"/>
        </w:rPr>
        <w:t>فعلي رأي السيّد الخوئي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8768C1">
        <w:rPr>
          <w:rFonts w:ascii="Lotus Linotype" w:hAnsi="Lotus Linotype" w:cs="Lotus Linotype" w:hint="cs"/>
          <w:sz w:val="28"/>
          <w:szCs w:val="28"/>
          <w:rtl/>
          <w:lang w:bidi="ar-LB"/>
        </w:rPr>
        <w:t xml:space="preserve"> يجب على سائر المكلّفين مع الإمكان نبش قبره، لماذا؟ لأنّ إطلاق الأمر بدفن الميت لا يمكن اجتماعه مع تحريم دفنه في هذا المكان لعنوان الغصب وماشابهه، فينكشف من خلال ذلك تقيّد متعلّق الأمر بدفن الميت بدفنه في مكانٍ مباح، فهذا هو الواجب الكفائي والمفروض أنّه لم يُمتثل بعدُ، فيجب على سائر المكلّفين امتثال هذا الواجب الكفائي بأن يخرجوه من القبر ويدفنوه في مكانٍ مباح. بينما أنّه على رأي من يرى جواز اجتماع الأمر والنهي، الذي دفن هذا الميت في هذا المكان المغصوب ارتكب حراماً ولكنه في نفس الوقت امتثل الواجب فلا وجه لتقييد الواجب بدفن الميّت في مكانٍ مباح، فالواجب الكفائي قد اُمتثل وسقط التكليف في حق الآخرين.</w:t>
      </w:r>
    </w:p>
    <w:p w:rsidR="00602E52" w:rsidRDefault="00A26B62" w:rsidP="00BC257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p>
    <w:p w:rsidR="00602E52" w:rsidRDefault="00602E52">
      <w:pPr>
        <w:bidi w:val="0"/>
        <w:spacing w:line="259" w:lineRule="auto"/>
        <w:rPr>
          <w:rFonts w:ascii="Lotus Linotype" w:hAnsi="Lotus Linotype" w:cs="Lotus Linotype"/>
          <w:sz w:val="28"/>
          <w:szCs w:val="28"/>
          <w:rtl/>
          <w:lang w:bidi="ar-LB"/>
        </w:rPr>
      </w:pPr>
      <w:r>
        <w:rPr>
          <w:rFonts w:ascii="Lotus Linotype" w:hAnsi="Lotus Linotype" w:cs="Lotus Linotype"/>
          <w:sz w:val="28"/>
          <w:szCs w:val="28"/>
          <w:rtl/>
          <w:lang w:bidi="ar-LB"/>
        </w:rPr>
        <w:br w:type="page"/>
      </w:r>
    </w:p>
    <w:p w:rsidR="00A26B62" w:rsidRPr="00602E52" w:rsidRDefault="00A26B62" w:rsidP="00BC2579">
      <w:pPr>
        <w:jc w:val="both"/>
        <w:rPr>
          <w:rFonts w:ascii="Lotus Linotype" w:hAnsi="Lotus Linotype" w:cs="Lotus Linotype" w:hint="cs"/>
          <w:b/>
          <w:bCs/>
          <w:sz w:val="28"/>
          <w:szCs w:val="28"/>
          <w:rtl/>
          <w:lang w:bidi="ar-LB"/>
        </w:rPr>
      </w:pPr>
      <w:r w:rsidRPr="00602E52">
        <w:rPr>
          <w:rFonts w:ascii="Lotus Linotype" w:hAnsi="Lotus Linotype" w:cs="Lotus Linotype" w:hint="cs"/>
          <w:b/>
          <w:bCs/>
          <w:sz w:val="28"/>
          <w:szCs w:val="28"/>
          <w:rtl/>
          <w:lang w:bidi="ar-LB"/>
        </w:rPr>
        <w:lastRenderedPageBreak/>
        <w:t xml:space="preserve">    المحقق النائيني</w:t>
      </w:r>
      <w:r w:rsidR="00602E52" w:rsidRPr="00602E52">
        <w:rPr>
          <w:rFonts w:ascii="Lotus Linotype" w:hAnsi="Lotus Linotype" w:cs="Lotus Linotype" w:hint="cs"/>
          <w:b/>
          <w:bCs/>
          <w:sz w:val="28"/>
          <w:szCs w:val="28"/>
          <w:rtl/>
          <w:lang w:bidi="ar-LB"/>
        </w:rPr>
        <w:t xml:space="preserve"> </w:t>
      </w:r>
      <w:r w:rsidR="00602E52" w:rsidRPr="00602E52">
        <w:rPr>
          <w:rFonts w:ascii="Lotus Linotype" w:hAnsi="Lotus Linotype" w:cs="TAHER" w:hint="cs"/>
          <w:b/>
          <w:bCs/>
          <w:sz w:val="28"/>
          <w:szCs w:val="28"/>
          <w:rtl/>
          <w:lang w:bidi="ar-LB"/>
        </w:rPr>
        <w:t>&amp;</w:t>
      </w:r>
      <w:r w:rsidRPr="00602E52">
        <w:rPr>
          <w:rFonts w:ascii="Lotus Linotype" w:hAnsi="Lotus Linotype" w:cs="Lotus Linotype" w:hint="cs"/>
          <w:b/>
          <w:bCs/>
          <w:sz w:val="28"/>
          <w:szCs w:val="28"/>
          <w:rtl/>
          <w:lang w:bidi="ar-LB"/>
        </w:rPr>
        <w:t xml:space="preserve"> والسيّد الخوئي</w:t>
      </w:r>
      <w:r w:rsidR="00602E52" w:rsidRPr="00602E52">
        <w:rPr>
          <w:rFonts w:ascii="Lotus Linotype" w:hAnsi="Lotus Linotype" w:cs="Lotus Linotype" w:hint="cs"/>
          <w:b/>
          <w:bCs/>
          <w:sz w:val="28"/>
          <w:szCs w:val="28"/>
          <w:rtl/>
          <w:lang w:bidi="ar-LB"/>
        </w:rPr>
        <w:t xml:space="preserve"> </w:t>
      </w:r>
      <w:r w:rsidR="00602E52" w:rsidRPr="00602E52">
        <w:rPr>
          <w:rFonts w:ascii="Lotus Linotype" w:hAnsi="Lotus Linotype" w:cs="TAHER" w:hint="cs"/>
          <w:b/>
          <w:bCs/>
          <w:sz w:val="28"/>
          <w:szCs w:val="28"/>
          <w:rtl/>
          <w:lang w:bidi="ar-LB"/>
        </w:rPr>
        <w:t>&amp;</w:t>
      </w:r>
      <w:r w:rsidRPr="00602E52">
        <w:rPr>
          <w:rFonts w:ascii="Lotus Linotype" w:hAnsi="Lotus Linotype" w:cs="Lotus Linotype" w:hint="cs"/>
          <w:b/>
          <w:bCs/>
          <w:sz w:val="28"/>
          <w:szCs w:val="28"/>
          <w:rtl/>
          <w:lang w:bidi="ar-LB"/>
        </w:rPr>
        <w:t xml:space="preserve"> ذكرا في المقام أنّ النزاع في المقام صغرويّ وليس كبروياً، يعني ماذا؟ </w:t>
      </w:r>
    </w:p>
    <w:p w:rsidR="00A26B62" w:rsidRDefault="00602E52" w:rsidP="00BC2579">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A26B62">
        <w:rPr>
          <w:rFonts w:ascii="Lotus Linotype" w:hAnsi="Lotus Linotype" w:cs="Lotus Linotype" w:hint="cs"/>
          <w:sz w:val="28"/>
          <w:szCs w:val="28"/>
          <w:rtl/>
          <w:lang w:bidi="ar-LB"/>
        </w:rPr>
        <w:t>يعني: أنّه لا إشكال عند أيّ أحد في امتناع اجتماع الأمر والنهي في معنونٍ واحد ولو مع تعدد العنوان، إنّما النزاع في أنّه هل يكشف تعدد العنوان عن تعدد المعنون بأن يكون الخارج مشتملاً على موجودين متلاصقين، أحدهما مصداقٌ للواجب والآخر مصداقٌ للحرام، أمّ أنّ تعدد العنوان لا يكشف عن تعدد المعنون، فهناك موجود واحدٌ يكون معنونا  بعنوانين، فحينئذ يمتنع اجتماع الأمر والنهي فيه عند الكل. ولأجل ذلك في مثال الوضوء بالماء المغصوب لا ينبغي الإشكال أو لا يأتي الإشكال في امتناع اجتماع الأمر والنهي؛ لأنّه لا يُتوهم أن يكون في الخارج التركيب بين الغصب وبين غسل الوجه في الوضوء تركيباً انضمامياً، يعني يكونان موجودان متلاصقان. فليس هناك إلا موجود واحد وهو  غسل الوجه بالماء، وحيث إنّه غسل للوجه بالماء المملوك للغير فينتزع عنه عنوان الغصب.</w:t>
      </w:r>
    </w:p>
    <w:p w:rsidR="00A26B62" w:rsidRDefault="00AD4D9F" w:rsidP="00BC2579">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A26B62" w:rsidRPr="00AD4D9F">
        <w:rPr>
          <w:rFonts w:ascii="Lotus Linotype" w:hAnsi="Lotus Linotype" w:cs="Lotus Linotype" w:hint="cs"/>
          <w:b/>
          <w:bCs/>
          <w:sz w:val="28"/>
          <w:szCs w:val="28"/>
          <w:rtl/>
          <w:lang w:bidi="ar-LB"/>
        </w:rPr>
        <w:t>وإنّما وقع النزاع في</w:t>
      </w:r>
      <w:r w:rsidR="00A26B62">
        <w:rPr>
          <w:rFonts w:ascii="Lotus Linotype" w:hAnsi="Lotus Linotype" w:cs="Lotus Linotype" w:hint="cs"/>
          <w:sz w:val="28"/>
          <w:szCs w:val="28"/>
          <w:rtl/>
          <w:lang w:bidi="ar-LB"/>
        </w:rPr>
        <w:t xml:space="preserve"> جواز الصلاة في المكان المغصوب</w:t>
      </w:r>
      <w:r>
        <w:rPr>
          <w:rFonts w:ascii="Lotus Linotype" w:hAnsi="Lotus Linotype" w:cs="Lotus Linotype" w:hint="cs"/>
          <w:sz w:val="28"/>
          <w:szCs w:val="28"/>
          <w:rtl/>
          <w:lang w:bidi="ar-LB"/>
        </w:rPr>
        <w:t xml:space="preserve"> وضعاً</w:t>
      </w:r>
      <w:r w:rsidR="00A26B62">
        <w:rPr>
          <w:rFonts w:ascii="Lotus Linotype" w:hAnsi="Lotus Linotype" w:cs="Lotus Linotype" w:hint="cs"/>
          <w:sz w:val="28"/>
          <w:szCs w:val="28"/>
          <w:rtl/>
          <w:lang w:bidi="ar-LB"/>
        </w:rPr>
        <w:t xml:space="preserve"> أي جواز اجماع الأمر والنهي في المكان المغصوب لأجل أنّه من يجوز ذلك يرى أنّ التركيب بين الصلاة والغصب تركيب انضمامي، يعني المصداق الحقيقي للصلاة غير المصداق الحقيقي للغصب.</w:t>
      </w:r>
    </w:p>
    <w:p w:rsidR="00A26B62" w:rsidRDefault="00AD4D9F" w:rsidP="00BC2579">
      <w:pPr>
        <w:jc w:val="both"/>
        <w:rPr>
          <w:rFonts w:ascii="Lotus Linotype" w:hAnsi="Lotus Linotype" w:cs="Lotus Linotype"/>
          <w:sz w:val="28"/>
          <w:szCs w:val="28"/>
          <w:rtl/>
          <w:lang w:bidi="ar-LB"/>
        </w:rPr>
      </w:pPr>
      <w:r w:rsidRPr="00AD4D9F">
        <w:rPr>
          <w:rFonts w:ascii="Lotus Linotype" w:hAnsi="Lotus Linotype" w:cs="Lotus Linotype" w:hint="cs"/>
          <w:b/>
          <w:bCs/>
          <w:sz w:val="28"/>
          <w:szCs w:val="28"/>
          <w:rtl/>
          <w:lang w:bidi="ar-LB"/>
        </w:rPr>
        <w:t xml:space="preserve">     </w:t>
      </w:r>
      <w:r w:rsidR="00A26B62" w:rsidRPr="00AD4D9F">
        <w:rPr>
          <w:rFonts w:ascii="Lotus Linotype" w:hAnsi="Lotus Linotype" w:cs="Lotus Linotype" w:hint="cs"/>
          <w:b/>
          <w:bCs/>
          <w:sz w:val="28"/>
          <w:szCs w:val="28"/>
          <w:rtl/>
          <w:lang w:bidi="ar-LB"/>
        </w:rPr>
        <w:t>هذا الكلام ليس صحيحاً</w:t>
      </w:r>
      <w:r w:rsidR="00A26B62">
        <w:rPr>
          <w:rFonts w:ascii="Lotus Linotype" w:hAnsi="Lotus Linotype" w:cs="Lotus Linotype" w:hint="cs"/>
          <w:sz w:val="28"/>
          <w:szCs w:val="28"/>
          <w:rtl/>
          <w:lang w:bidi="ar-LB"/>
        </w:rPr>
        <w:t>؛ فإنّنا نرى</w:t>
      </w:r>
      <w:r>
        <w:rPr>
          <w:rFonts w:ascii="Lotus Linotype" w:hAnsi="Lotus Linotype" w:cs="Lotus Linotype" w:hint="cs"/>
          <w:sz w:val="28"/>
          <w:szCs w:val="28"/>
          <w:rtl/>
          <w:lang w:bidi="ar-LB"/>
        </w:rPr>
        <w:t xml:space="preserve"> في مسألة الوضوء بالماء المغصوب فتوى الفقهاء، فتوى جمعٍ كثيرٍ من الفقهاء بصحة الوضوء بالماء المغصوب. بل هذا مقتضى الاستدلال في جواز الاجتماع بأنّ الأمر والنهي لا يسريان من العنوان إلى المعنون الخارجي. فهذا العنوان المتعلّق للأمر يبقى الأمر متعلّقاً به ولا يسري إلى الخارج، وذلك العنوان المتعلّق للنهي يبقى النهي متعلّقاً به ولا يسري للخارج، فوحدة الخارج لا تضرُّ بتعدّد متعلّق الأمر والنهي بعد كون متعلّق الأمر عنواناً متغايراً مع عنوان متعلّق الأمر.</w:t>
      </w:r>
    </w:p>
    <w:p w:rsidR="00E46125" w:rsidRDefault="00E46125" w:rsidP="00BC2579">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Pr="00602E52">
        <w:rPr>
          <w:rFonts w:ascii="Lotus Linotype" w:hAnsi="Lotus Linotype" w:cs="Lotus Linotype" w:hint="cs"/>
          <w:b/>
          <w:bCs/>
          <w:color w:val="FF0000"/>
          <w:sz w:val="28"/>
          <w:szCs w:val="28"/>
          <w:rtl/>
          <w:lang w:bidi="ar-LB"/>
        </w:rPr>
        <w:t>فإذاً النزاع في المقا</w:t>
      </w:r>
      <w:r w:rsidR="00602E52">
        <w:rPr>
          <w:rFonts w:ascii="Lotus Linotype" w:hAnsi="Lotus Linotype" w:cs="Lotus Linotype" w:hint="cs"/>
          <w:b/>
          <w:bCs/>
          <w:color w:val="FF0000"/>
          <w:sz w:val="28"/>
          <w:szCs w:val="28"/>
          <w:rtl/>
          <w:lang w:bidi="ar-LB"/>
        </w:rPr>
        <w:t>م كبرويٌّ، وقد يكون النزاع صغروياً</w:t>
      </w:r>
      <w:r w:rsidRPr="00602E52">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في مثال الصلاة في المكان المغصوب وسيأتي ذلك إن شاء الله. </w:t>
      </w:r>
    </w:p>
    <w:p w:rsidR="00602E52" w:rsidRDefault="00602E52">
      <w:pPr>
        <w:bidi w:val="0"/>
        <w:spacing w:line="259" w:lineRule="auto"/>
        <w:rPr>
          <w:rFonts w:ascii="Lotus Linotype" w:hAnsi="Lotus Linotype" w:cs="Lotus Linotype"/>
          <w:sz w:val="28"/>
          <w:szCs w:val="28"/>
          <w:rtl/>
          <w:lang w:bidi="ar-LB"/>
        </w:rPr>
      </w:pPr>
      <w:r>
        <w:rPr>
          <w:rFonts w:ascii="Lotus Linotype" w:hAnsi="Lotus Linotype" w:cs="Lotus Linotype"/>
          <w:sz w:val="28"/>
          <w:szCs w:val="28"/>
          <w:rtl/>
          <w:lang w:bidi="ar-LB"/>
        </w:rPr>
        <w:br w:type="page"/>
      </w:r>
    </w:p>
    <w:p w:rsidR="00E46125" w:rsidRDefault="00E46125" w:rsidP="00BC2579">
      <w:pPr>
        <w:jc w:val="both"/>
        <w:rPr>
          <w:rFonts w:ascii="Lotus Linotype" w:hAnsi="Lotus Linotype" w:cs="Lotus Linotype" w:hint="cs"/>
          <w:sz w:val="28"/>
          <w:szCs w:val="28"/>
          <w:rtl/>
          <w:lang w:bidi="ar-LB"/>
        </w:rPr>
      </w:pPr>
      <w:r w:rsidRPr="00602E52">
        <w:rPr>
          <w:rFonts w:ascii="Lotus Linotype" w:hAnsi="Lotus Linotype" w:cs="Lotus Linotype" w:hint="cs"/>
          <w:b/>
          <w:bCs/>
          <w:color w:val="FF0000"/>
          <w:sz w:val="28"/>
          <w:szCs w:val="28"/>
          <w:rtl/>
          <w:lang w:bidi="ar-LB"/>
        </w:rPr>
        <w:lastRenderedPageBreak/>
        <w:t>الكلام في اجتماع الأمر والنهي يقع في مقامين</w:t>
      </w:r>
      <w:r>
        <w:rPr>
          <w:rFonts w:ascii="Lotus Linotype" w:hAnsi="Lotus Linotype" w:cs="Lotus Linotype" w:hint="cs"/>
          <w:sz w:val="28"/>
          <w:szCs w:val="28"/>
          <w:rtl/>
          <w:lang w:bidi="ar-LB"/>
        </w:rPr>
        <w:t xml:space="preserve">: </w:t>
      </w:r>
    </w:p>
    <w:p w:rsidR="00E46125" w:rsidRDefault="00E46125" w:rsidP="00E46125">
      <w:pPr>
        <w:jc w:val="both"/>
        <w:rPr>
          <w:rFonts w:ascii="Lotus Linotype" w:hAnsi="Lotus Linotype" w:cs="Lotus Linotype" w:hint="cs"/>
          <w:sz w:val="28"/>
          <w:szCs w:val="28"/>
          <w:rtl/>
          <w:lang w:bidi="ar-LB"/>
        </w:rPr>
      </w:pPr>
      <w:r w:rsidRPr="00602E52">
        <w:rPr>
          <w:rFonts w:ascii="Lotus Linotype" w:hAnsi="Lotus Linotype" w:cs="Lotus Linotype" w:hint="cs"/>
          <w:b/>
          <w:bCs/>
          <w:color w:val="FF0000"/>
          <w:sz w:val="28"/>
          <w:szCs w:val="28"/>
          <w:rtl/>
          <w:lang w:bidi="ar-LB"/>
        </w:rPr>
        <w:t>المقام الأول</w:t>
      </w:r>
      <w:r>
        <w:rPr>
          <w:rFonts w:ascii="Lotus Linotype" w:hAnsi="Lotus Linotype" w:cs="Lotus Linotype" w:hint="cs"/>
          <w:sz w:val="28"/>
          <w:szCs w:val="28"/>
          <w:rtl/>
          <w:lang w:bidi="ar-LB"/>
        </w:rPr>
        <w:t>: ما إذا كانت النسبة بين العنوان المتعلّق للأمر والعنوان الم</w:t>
      </w:r>
      <w:r w:rsidR="00B261C7">
        <w:rPr>
          <w:rFonts w:ascii="Lotus Linotype" w:hAnsi="Lotus Linotype" w:cs="Lotus Linotype" w:hint="cs"/>
          <w:sz w:val="28"/>
          <w:szCs w:val="28"/>
          <w:rtl/>
          <w:lang w:bidi="ar-LB"/>
        </w:rPr>
        <w:t>ت</w:t>
      </w:r>
      <w:bookmarkStart w:id="0" w:name="_GoBack"/>
      <w:bookmarkEnd w:id="0"/>
      <w:r>
        <w:rPr>
          <w:rFonts w:ascii="Lotus Linotype" w:hAnsi="Lotus Linotype" w:cs="Lotus Linotype" w:hint="cs"/>
          <w:sz w:val="28"/>
          <w:szCs w:val="28"/>
          <w:rtl/>
          <w:lang w:bidi="ar-LB"/>
        </w:rPr>
        <w:t xml:space="preserve">علّق للنهي </w:t>
      </w:r>
      <w:r w:rsidRPr="00602E52">
        <w:rPr>
          <w:rFonts w:ascii="Lotus Linotype" w:hAnsi="Lotus Linotype" w:cs="Lotus Linotype" w:hint="cs"/>
          <w:color w:val="FF0000"/>
          <w:sz w:val="28"/>
          <w:szCs w:val="28"/>
          <w:rtl/>
          <w:lang w:bidi="ar-LB"/>
        </w:rPr>
        <w:t>عموم وخصوص مطلق</w:t>
      </w:r>
      <w:r>
        <w:rPr>
          <w:rFonts w:ascii="Lotus Linotype" w:hAnsi="Lotus Linotype" w:cs="Lotus Linotype" w:hint="cs"/>
          <w:sz w:val="28"/>
          <w:szCs w:val="28"/>
          <w:rtl/>
          <w:lang w:bidi="ar-LB"/>
        </w:rPr>
        <w:t>.</w:t>
      </w:r>
    </w:p>
    <w:p w:rsidR="00E46125" w:rsidRDefault="00E46125" w:rsidP="00BC2579">
      <w:pPr>
        <w:jc w:val="both"/>
        <w:rPr>
          <w:rFonts w:ascii="Lotus Linotype" w:hAnsi="Lotus Linotype" w:cs="Lotus Linotype" w:hint="cs"/>
          <w:sz w:val="28"/>
          <w:szCs w:val="28"/>
          <w:rtl/>
          <w:lang w:bidi="ar-LB"/>
        </w:rPr>
      </w:pPr>
      <w:r w:rsidRPr="00602E52">
        <w:rPr>
          <w:rFonts w:ascii="Lotus Linotype" w:hAnsi="Lotus Linotype" w:cs="Lotus Linotype" w:hint="cs"/>
          <w:b/>
          <w:bCs/>
          <w:color w:val="FF0000"/>
          <w:sz w:val="28"/>
          <w:szCs w:val="28"/>
          <w:rtl/>
          <w:lang w:bidi="ar-LB"/>
        </w:rPr>
        <w:t>والمقام الثاني</w:t>
      </w:r>
      <w:r>
        <w:rPr>
          <w:rFonts w:ascii="Lotus Linotype" w:hAnsi="Lotus Linotype" w:cs="Lotus Linotype" w:hint="cs"/>
          <w:sz w:val="28"/>
          <w:szCs w:val="28"/>
          <w:rtl/>
          <w:lang w:bidi="ar-LB"/>
        </w:rPr>
        <w:t xml:space="preserve">: فيما لو كانت النسبة بينهما </w:t>
      </w:r>
      <w:r w:rsidRPr="00602E52">
        <w:rPr>
          <w:rFonts w:ascii="Lotus Linotype" w:hAnsi="Lotus Linotype" w:cs="Lotus Linotype" w:hint="cs"/>
          <w:color w:val="FF0000"/>
          <w:sz w:val="28"/>
          <w:szCs w:val="28"/>
          <w:rtl/>
          <w:lang w:bidi="ar-LB"/>
        </w:rPr>
        <w:t>عموم وخصوص من وجه</w:t>
      </w:r>
      <w:r>
        <w:rPr>
          <w:rFonts w:ascii="Lotus Linotype" w:hAnsi="Lotus Linotype" w:cs="Lotus Linotype" w:hint="cs"/>
          <w:sz w:val="28"/>
          <w:szCs w:val="28"/>
          <w:rtl/>
          <w:lang w:bidi="ar-LB"/>
        </w:rPr>
        <w:t>.</w:t>
      </w:r>
    </w:p>
    <w:p w:rsidR="00E46125" w:rsidRDefault="00E46125" w:rsidP="00BC2579">
      <w:pPr>
        <w:jc w:val="both"/>
        <w:rPr>
          <w:rFonts w:ascii="Lotus Linotype" w:hAnsi="Lotus Linotype" w:cs="Lotus Linotype"/>
          <w:sz w:val="28"/>
          <w:szCs w:val="28"/>
          <w:rtl/>
          <w:lang w:bidi="ar-LB"/>
        </w:rPr>
      </w:pPr>
    </w:p>
    <w:p w:rsidR="00E46125" w:rsidRDefault="00E46125" w:rsidP="00BC2579">
      <w:pPr>
        <w:jc w:val="both"/>
        <w:rPr>
          <w:rFonts w:ascii="Lotus Linotype" w:hAnsi="Lotus Linotype" w:cs="Lotus Linotype" w:hint="cs"/>
          <w:sz w:val="28"/>
          <w:szCs w:val="28"/>
          <w:rtl/>
          <w:lang w:bidi="ar-LB"/>
        </w:rPr>
      </w:pPr>
      <w:r w:rsidRPr="00602E52">
        <w:rPr>
          <w:rFonts w:ascii="Lotus Linotype" w:hAnsi="Lotus Linotype" w:cs="Lotus Linotype" w:hint="cs"/>
          <w:b/>
          <w:bCs/>
          <w:sz w:val="28"/>
          <w:szCs w:val="28"/>
          <w:rtl/>
          <w:lang w:bidi="ar-LB"/>
        </w:rPr>
        <w:t>المقام الأول</w:t>
      </w:r>
      <w:r>
        <w:rPr>
          <w:rFonts w:ascii="Lotus Linotype" w:hAnsi="Lotus Linotype" w:cs="Lotus Linotype" w:hint="cs"/>
          <w:sz w:val="28"/>
          <w:szCs w:val="28"/>
          <w:rtl/>
          <w:lang w:bidi="ar-LB"/>
        </w:rPr>
        <w:t>: لو كان الأمر متعلقاً بصرف وجود عنوانٍ مطلق كشرب الماء، والنهي متعلّقاً بحصّةٍ منه وهو شرب الماء البارد، فهل يجوز اجتماع الأمر والنهي؟</w:t>
      </w:r>
    </w:p>
    <w:p w:rsidR="00602E52" w:rsidRDefault="00602E52" w:rsidP="00BC257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46125">
        <w:rPr>
          <w:rFonts w:ascii="Lotus Linotype" w:hAnsi="Lotus Linotype" w:cs="Lotus Linotype" w:hint="cs"/>
          <w:sz w:val="28"/>
          <w:szCs w:val="28"/>
          <w:rtl/>
          <w:lang w:bidi="ar-LB"/>
        </w:rPr>
        <w:t xml:space="preserve">كثيرٌ من القائلين بجواز اجتماع الأمر والنهي مع تعدّد العنوان إذا كانت النسبة بينهما عموم وخصوص من وجه ذهبوا إلى امتناع اجتماع الأمر والنهي إذا كانت النسبة بين متعلّق الأمر والنهي عموم وخصوص مطلق، ومنهم صاحب البحوث </w:t>
      </w:r>
      <w:r w:rsidR="00E46125">
        <w:rPr>
          <w:rFonts w:ascii="Lotus Linotype" w:hAnsi="Lotus Linotype" w:cs="TAHER" w:hint="cs"/>
          <w:sz w:val="28"/>
          <w:szCs w:val="28"/>
          <w:rtl/>
          <w:lang w:bidi="ar-LB"/>
        </w:rPr>
        <w:t>+</w:t>
      </w:r>
      <w:r w:rsidR="00E46125">
        <w:rPr>
          <w:rFonts w:ascii="Lotus Linotype" w:hAnsi="Lotus Linotype" w:cs="Lotus Linotype" w:hint="cs"/>
          <w:sz w:val="28"/>
          <w:szCs w:val="28"/>
          <w:rtl/>
          <w:lang w:bidi="ar-LB"/>
        </w:rPr>
        <w:t xml:space="preserve">. </w:t>
      </w:r>
    </w:p>
    <w:p w:rsidR="00E46125" w:rsidRDefault="00602E52" w:rsidP="00BC257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46125">
        <w:rPr>
          <w:rFonts w:ascii="Lotus Linotype" w:hAnsi="Lotus Linotype" w:cs="Lotus Linotype" w:hint="cs"/>
          <w:sz w:val="28"/>
          <w:szCs w:val="28"/>
          <w:rtl/>
          <w:lang w:bidi="ar-LB"/>
        </w:rPr>
        <w:t xml:space="preserve">ولكن السيّد السيستاني </w:t>
      </w:r>
      <w:r w:rsidR="00E46125">
        <w:rPr>
          <w:rFonts w:ascii="Lotus Linotype" w:hAnsi="Lotus Linotype" w:cs="TAHER" w:hint="cs"/>
          <w:sz w:val="28"/>
          <w:szCs w:val="28"/>
          <w:rtl/>
          <w:lang w:bidi="ar-LB"/>
        </w:rPr>
        <w:t>=</w:t>
      </w:r>
      <w:r w:rsidR="00E46125">
        <w:rPr>
          <w:rFonts w:ascii="Lotus Linotype" w:hAnsi="Lotus Linotype" w:cs="Lotus Linotype" w:hint="cs"/>
          <w:sz w:val="28"/>
          <w:szCs w:val="28"/>
          <w:rtl/>
          <w:lang w:bidi="ar-LB"/>
        </w:rPr>
        <w:t xml:space="preserve"> ذهب إلى جواز اجتماع الأمر والنهي حتى في العام والخاص المطلق، وأمّا ما ذكره فهو الصحيح. ليس الكلام في الاستظهار العرفي من "لا تشرب الماء البارد" أنّه إرشاد إلى مانعية شرب الماء البارد، فإنّ ظهور هذا الخطاب في الإرشاد إلى المانعيّة من الطبيعي أن يوجب تقيّد الأمر بشرب ماءٍ. وإنّما الكلام فيما لو عُلم من هذا الخطاب </w:t>
      </w:r>
      <w:r w:rsidR="00E46125" w:rsidRPr="00700A1F">
        <w:rPr>
          <w:rFonts w:ascii="Lotus Linotype" w:hAnsi="Lotus Linotype" w:cs="Lotus Linotype"/>
          <w:sz w:val="28"/>
          <w:szCs w:val="28"/>
          <w:rtl/>
          <w:lang w:bidi="ar-LB"/>
        </w:rPr>
        <w:t>التحريم التكليفي، فيقول المولى لعبد "لا تشرب الماء البارد حتى لا تلتهب رئتك</w:t>
      </w:r>
      <w:r w:rsidR="00700A1F" w:rsidRPr="00700A1F">
        <w:rPr>
          <w:rFonts w:ascii="Times New Roman" w:hAnsi="Times New Roman" w:cs="Times New Roman" w:hint="cs"/>
          <w:sz w:val="28"/>
          <w:szCs w:val="28"/>
          <w:rtl/>
          <w:lang w:bidi="ar-LB"/>
        </w:rPr>
        <w:t>”</w:t>
      </w:r>
      <w:r w:rsidR="00700A1F" w:rsidRPr="00700A1F">
        <w:rPr>
          <w:rFonts w:ascii="Lotus Linotype" w:hAnsi="Lotus Linotype" w:cs="Lotus Linotype"/>
          <w:sz w:val="28"/>
          <w:szCs w:val="28"/>
          <w:rtl/>
          <w:lang w:bidi="ar-LB"/>
        </w:rPr>
        <w:t xml:space="preserve"> </w:t>
      </w:r>
      <w:r w:rsidR="00700A1F" w:rsidRPr="00700A1F">
        <w:rPr>
          <w:rFonts w:ascii="Lotus Linotype" w:hAnsi="Lotus Linotype" w:cs="Lotus Linotype" w:hint="cs"/>
          <w:sz w:val="28"/>
          <w:szCs w:val="28"/>
          <w:rtl/>
          <w:lang w:bidi="ar-LB"/>
        </w:rPr>
        <w:t>وهو</w:t>
      </w:r>
      <w:r w:rsidR="00700A1F" w:rsidRPr="00700A1F">
        <w:rPr>
          <w:rFonts w:ascii="Lotus Linotype" w:hAnsi="Lotus Linotype" w:cs="Lotus Linotype"/>
          <w:sz w:val="28"/>
          <w:szCs w:val="28"/>
          <w:rtl/>
          <w:lang w:bidi="ar-LB"/>
        </w:rPr>
        <w:t xml:space="preserve"> </w:t>
      </w:r>
      <w:r w:rsidR="00700A1F" w:rsidRPr="00700A1F">
        <w:rPr>
          <w:rFonts w:ascii="Lotus Linotype" w:hAnsi="Lotus Linotype" w:cs="Lotus Linotype" w:hint="cs"/>
          <w:sz w:val="28"/>
          <w:szCs w:val="28"/>
          <w:rtl/>
          <w:lang w:bidi="ar-LB"/>
        </w:rPr>
        <w:t>قد</w:t>
      </w:r>
      <w:r w:rsidR="00700A1F" w:rsidRPr="00700A1F">
        <w:rPr>
          <w:rFonts w:ascii="Lotus Linotype" w:hAnsi="Lotus Linotype" w:cs="Lotus Linotype"/>
          <w:sz w:val="28"/>
          <w:szCs w:val="28"/>
          <w:rtl/>
          <w:lang w:bidi="ar-LB"/>
        </w:rPr>
        <w:t xml:space="preserve"> </w:t>
      </w:r>
      <w:r w:rsidR="00700A1F" w:rsidRPr="00700A1F">
        <w:rPr>
          <w:rFonts w:ascii="Lotus Linotype" w:hAnsi="Lotus Linotype" w:cs="Lotus Linotype" w:hint="cs"/>
          <w:sz w:val="28"/>
          <w:szCs w:val="28"/>
          <w:rtl/>
          <w:lang w:bidi="ar-LB"/>
        </w:rPr>
        <w:t>قال</w:t>
      </w:r>
      <w:r w:rsidR="00700A1F" w:rsidRPr="00700A1F">
        <w:rPr>
          <w:rFonts w:ascii="Lotus Linotype" w:hAnsi="Lotus Linotype" w:cs="Lotus Linotype"/>
          <w:sz w:val="28"/>
          <w:szCs w:val="28"/>
          <w:rtl/>
          <w:lang w:bidi="ar-LB"/>
        </w:rPr>
        <w:t xml:space="preserve"> </w:t>
      </w:r>
      <w:r w:rsidR="00700A1F" w:rsidRPr="00700A1F">
        <w:rPr>
          <w:rFonts w:ascii="Lotus Linotype" w:hAnsi="Lotus Linotype" w:cs="Lotus Linotype" w:hint="cs"/>
          <w:sz w:val="28"/>
          <w:szCs w:val="28"/>
          <w:rtl/>
          <w:lang w:bidi="ar-LB"/>
        </w:rPr>
        <w:t>لعبد</w:t>
      </w:r>
      <w:r w:rsidR="00700A1F" w:rsidRPr="00700A1F">
        <w:rPr>
          <w:rFonts w:ascii="Lotus Linotype" w:hAnsi="Lotus Linotype" w:cs="Lotus Linotype"/>
          <w:sz w:val="28"/>
          <w:szCs w:val="28"/>
          <w:rtl/>
          <w:lang w:bidi="ar-LB"/>
        </w:rPr>
        <w:t xml:space="preserve"> "</w:t>
      </w:r>
      <w:r w:rsidR="00700A1F" w:rsidRPr="00700A1F">
        <w:rPr>
          <w:rFonts w:ascii="Lotus Linotype" w:hAnsi="Lotus Linotype" w:cs="Lotus Linotype" w:hint="cs"/>
          <w:sz w:val="28"/>
          <w:szCs w:val="28"/>
          <w:rtl/>
          <w:lang w:bidi="ar-LB"/>
        </w:rPr>
        <w:t>كل</w:t>
      </w:r>
      <w:r w:rsidR="00700A1F" w:rsidRPr="00700A1F">
        <w:rPr>
          <w:rFonts w:ascii="Lotus Linotype" w:hAnsi="Lotus Linotype" w:cs="Lotus Linotype"/>
          <w:sz w:val="28"/>
          <w:szCs w:val="28"/>
          <w:rtl/>
          <w:lang w:bidi="ar-LB"/>
        </w:rPr>
        <w:t xml:space="preserve"> </w:t>
      </w:r>
      <w:r w:rsidR="00700A1F" w:rsidRPr="00700A1F">
        <w:rPr>
          <w:rFonts w:ascii="Lotus Linotype" w:hAnsi="Lotus Linotype" w:cs="Lotus Linotype" w:hint="cs"/>
          <w:sz w:val="28"/>
          <w:szCs w:val="28"/>
          <w:rtl/>
          <w:lang w:bidi="ar-LB"/>
        </w:rPr>
        <w:t>يوم</w:t>
      </w:r>
      <w:r w:rsidR="00700A1F" w:rsidRPr="00700A1F">
        <w:rPr>
          <w:rFonts w:ascii="Lotus Linotype" w:hAnsi="Lotus Linotype" w:cs="Lotus Linotype"/>
          <w:sz w:val="28"/>
          <w:szCs w:val="28"/>
          <w:rtl/>
          <w:lang w:bidi="ar-LB"/>
        </w:rPr>
        <w:t xml:space="preserve"> </w:t>
      </w:r>
      <w:r w:rsidR="00700A1F" w:rsidRPr="00700A1F">
        <w:rPr>
          <w:rFonts w:ascii="Lotus Linotype" w:hAnsi="Lotus Linotype" w:cs="Lotus Linotype" w:hint="cs"/>
          <w:sz w:val="28"/>
          <w:szCs w:val="28"/>
          <w:rtl/>
          <w:lang w:bidi="ar-LB"/>
        </w:rPr>
        <w:t>اشرب</w:t>
      </w:r>
      <w:r w:rsidR="00700A1F" w:rsidRPr="00700A1F">
        <w:rPr>
          <w:rFonts w:ascii="Lotus Linotype" w:hAnsi="Lotus Linotype" w:cs="Lotus Linotype"/>
          <w:sz w:val="28"/>
          <w:szCs w:val="28"/>
          <w:rtl/>
          <w:lang w:bidi="ar-LB"/>
        </w:rPr>
        <w:t xml:space="preserve"> </w:t>
      </w:r>
      <w:r w:rsidR="00700A1F" w:rsidRPr="00700A1F">
        <w:rPr>
          <w:rFonts w:ascii="Lotus Linotype" w:hAnsi="Lotus Linotype" w:cs="Lotus Linotype" w:hint="cs"/>
          <w:sz w:val="28"/>
          <w:szCs w:val="28"/>
          <w:rtl/>
          <w:lang w:bidi="ar-LB"/>
        </w:rPr>
        <w:t>الماء</w:t>
      </w:r>
      <w:r w:rsidR="00700A1F" w:rsidRPr="00700A1F">
        <w:rPr>
          <w:rFonts w:ascii="Lotus Linotype" w:hAnsi="Lotus Linotype" w:cs="Lotus Linotype"/>
          <w:sz w:val="28"/>
          <w:szCs w:val="28"/>
          <w:rtl/>
          <w:lang w:bidi="ar-LB"/>
        </w:rPr>
        <w:t xml:space="preserve"> </w:t>
      </w:r>
      <w:r w:rsidR="00700A1F" w:rsidRPr="00700A1F">
        <w:rPr>
          <w:rFonts w:ascii="Lotus Linotype" w:hAnsi="Lotus Linotype" w:cs="Lotus Linotype" w:hint="cs"/>
          <w:sz w:val="28"/>
          <w:szCs w:val="28"/>
          <w:rtl/>
          <w:lang w:bidi="ar-LB"/>
        </w:rPr>
        <w:t>حتى</w:t>
      </w:r>
      <w:r w:rsidR="00700A1F" w:rsidRPr="00700A1F">
        <w:rPr>
          <w:rFonts w:ascii="Lotus Linotype" w:hAnsi="Lotus Linotype" w:cs="Lotus Linotype"/>
          <w:sz w:val="28"/>
          <w:szCs w:val="28"/>
          <w:rtl/>
          <w:lang w:bidi="ar-LB"/>
        </w:rPr>
        <w:t xml:space="preserve"> لا يوجب العطش الأمراض في حقك"، لو أنّ هذا العبد شرب الماء البارد، لماذا لا نقول بأنّه امتثل الأمر بشربٍ ماءٍ وعصى النهيّ عن شرب الماء البارد؟</w:t>
      </w:r>
    </w:p>
    <w:p w:rsidR="0045652F" w:rsidRDefault="00700A1F" w:rsidP="00BC257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وهكذا السيّد السيستاني</w:t>
      </w:r>
      <w:r w:rsidR="00602E52">
        <w:rPr>
          <w:rFonts w:ascii="Lotus Linotype" w:hAnsi="Lotus Linotype" w:cs="Lotus Linotype" w:hint="cs"/>
          <w:sz w:val="28"/>
          <w:szCs w:val="28"/>
          <w:rtl/>
          <w:lang w:bidi="ar-LB"/>
        </w:rPr>
        <w:t xml:space="preserve"> </w:t>
      </w:r>
      <w:r w:rsidR="00602E52">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يقول: النهي عن التصرّف في مال الغير من غير إذنه من هذا القبيل؛ لأنّ الوارد في الخطابات النهي عن الغصب، والغصب هو الاستيلاء على مال الغير وأمّا السجود في أمر الغير والوضوء بماء الغير فهذا ليس غصباً، هذا تصرّفٌ في مال الغير بغير إذنه.</w:t>
      </w:r>
      <w:r w:rsidR="00615FD1">
        <w:rPr>
          <w:rFonts w:ascii="Lotus Linotype" w:hAnsi="Lotus Linotype" w:cs="Lotus Linotype" w:hint="cs"/>
          <w:sz w:val="28"/>
          <w:szCs w:val="28"/>
          <w:rtl/>
          <w:lang w:bidi="ar-LB"/>
        </w:rPr>
        <w:t xml:space="preserve"> </w:t>
      </w:r>
    </w:p>
    <w:p w:rsidR="008E0A66" w:rsidRDefault="0045652F" w:rsidP="008E0A6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615FD1">
        <w:rPr>
          <w:rFonts w:ascii="Lotus Linotype" w:hAnsi="Lotus Linotype" w:cs="Lotus Linotype" w:hint="cs"/>
          <w:sz w:val="28"/>
          <w:szCs w:val="28"/>
          <w:rtl/>
          <w:lang w:bidi="ar-LB"/>
        </w:rPr>
        <w:t>ولم يرد دليلٌ تامُّ الدلالة على أنّ عنوان التصرّف بمال الغير حرام برأسه.</w:t>
      </w:r>
      <w:r>
        <w:rPr>
          <w:rFonts w:ascii="Lotus Linotype" w:hAnsi="Lotus Linotype" w:cs="Lotus Linotype" w:hint="cs"/>
          <w:sz w:val="28"/>
          <w:szCs w:val="28"/>
          <w:rtl/>
          <w:lang w:bidi="ar-LB"/>
        </w:rPr>
        <w:t xml:space="preserve"> نعم، ورد في رواية الأسديّ: "لا يحلّ لأحد أن يتصرف في مال غيره بدون إذنه" ولكن بعضهم أشكل عليها بضعف السند ولقد يُستشكل عليها بضعف الدلالة؛ لأنّ العرف يرى أنّ التصرّف عنوان مُشير إلى العناوين التفصيليّة كأكل طعام الغير وشرب ماء الغير </w:t>
      </w:r>
      <w:r>
        <w:rPr>
          <w:rFonts w:ascii="Lotus Linotype" w:hAnsi="Lotus Linotype" w:cs="Lotus Linotype" w:hint="cs"/>
          <w:sz w:val="28"/>
          <w:szCs w:val="28"/>
          <w:rtl/>
          <w:lang w:bidi="ar-LB"/>
        </w:rPr>
        <w:lastRenderedPageBreak/>
        <w:t xml:space="preserve">والدخول في ملك الغير. وهذا هو الذي اختاره في البحوث، فقال: يستفاد من قوله تعالى </w:t>
      </w:r>
      <w:r w:rsidR="008E0A66">
        <w:rPr>
          <w:rFonts w:ascii="Lotus Linotype" w:hAnsi="Lotus Linotype" w:cs="Lotus Linotype"/>
          <w:b/>
          <w:bCs/>
          <w:sz w:val="28"/>
          <w:szCs w:val="28"/>
          <w:rtl/>
          <w:lang w:bidi="ar-LB"/>
        </w:rPr>
        <w:t>﴿</w:t>
      </w:r>
      <w:r w:rsidRPr="008E0A66">
        <w:rPr>
          <w:rFonts w:ascii="Lotus Linotype" w:hAnsi="Lotus Linotype" w:cs="Lotus Linotype"/>
          <w:b/>
          <w:bCs/>
          <w:sz w:val="28"/>
          <w:szCs w:val="28"/>
          <w:rtl/>
          <w:lang w:bidi="ar-LB"/>
        </w:rPr>
        <w:t>لا تدخلوا بيوتاً غير بيوتكم</w:t>
      </w:r>
      <w:r w:rsidR="008E0A66">
        <w:rPr>
          <w:rFonts w:ascii="Lotus Linotype" w:hAnsi="Lotus Linotype" w:cs="Lotus Linotype"/>
          <w:sz w:val="28"/>
          <w:szCs w:val="28"/>
          <w:rtl/>
          <w:lang w:bidi="ar-LB"/>
        </w:rPr>
        <w:t>﴾</w:t>
      </w:r>
      <w:r w:rsidR="008E0A66" w:rsidRPr="008E0A66">
        <w:rPr>
          <w:rFonts w:ascii="Lotus Linotype" w:hAnsi="Lotus Linotype" w:cs="Lotus Linotype"/>
          <w:sz w:val="28"/>
          <w:szCs w:val="28"/>
          <w:rtl/>
          <w:lang w:bidi="ar-LB"/>
        </w:rPr>
        <w:t xml:space="preserve"> </w:t>
      </w:r>
      <w:r w:rsidR="008E0A66">
        <w:rPr>
          <w:rFonts w:ascii="Lotus Linotype" w:hAnsi="Lotus Linotype" w:cs="Lotus Linotype"/>
          <w:sz w:val="28"/>
          <w:szCs w:val="28"/>
          <w:rtl/>
          <w:lang w:bidi="ar-LB"/>
        </w:rPr>
        <w:t>أنّ النهي متوجّه</w:t>
      </w:r>
      <w:r w:rsidR="008E0A66">
        <w:rPr>
          <w:rFonts w:ascii="Lotus Linotype" w:hAnsi="Lotus Linotype" w:cs="Lotus Linotype" w:hint="cs"/>
          <w:sz w:val="28"/>
          <w:szCs w:val="28"/>
          <w:rtl/>
          <w:lang w:bidi="ar-LB"/>
        </w:rPr>
        <w:t xml:space="preserve"> إلى العناوين التفصيليّة لمصاديق الغصب. </w:t>
      </w:r>
    </w:p>
    <w:p w:rsidR="008E0A66" w:rsidRDefault="008E0A66" w:rsidP="008E0A6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وعليه فيكون النهي متعلّقاً بهذا العنوان المقيّد، الغسل بماء الغير، والواجب ماذا؟   طبيعي غسل الوجه في الوضوء. فيكون من قبيل الأمر المطلق والنهي عن المقيّد، ولا إشكال في أنّ هذا النهي نهي تحريمي لا إرشادي إلى المانعيّة. </w:t>
      </w:r>
    </w:p>
    <w:p w:rsidR="00700A1F" w:rsidRPr="00602E52" w:rsidRDefault="008E0A66" w:rsidP="008E0A66">
      <w:pPr>
        <w:jc w:val="both"/>
        <w:rPr>
          <w:rFonts w:ascii="Lotus Linotype" w:hAnsi="Lotus Linotype" w:cs="Lotus Linotype" w:hint="cs"/>
          <w:b/>
          <w:bCs/>
          <w:sz w:val="28"/>
          <w:szCs w:val="28"/>
          <w:rtl/>
          <w:lang w:bidi="ar-LB"/>
        </w:rPr>
      </w:pPr>
      <w:r w:rsidRPr="00602E52">
        <w:rPr>
          <w:rFonts w:ascii="Lotus Linotype" w:hAnsi="Lotus Linotype" w:cs="Lotus Linotype" w:hint="cs"/>
          <w:b/>
          <w:bCs/>
          <w:sz w:val="28"/>
          <w:szCs w:val="28"/>
          <w:rtl/>
          <w:lang w:bidi="ar-LB"/>
        </w:rPr>
        <w:t>يُذكر عدّة وجوه لإثبات امتناع اجتماع الأمر بصرف وجود المطلق والنهي التحريمي عن حصّة منه:</w:t>
      </w:r>
    </w:p>
    <w:p w:rsidR="008E0A66" w:rsidRDefault="008E0A66" w:rsidP="008E0A66">
      <w:pPr>
        <w:pStyle w:val="ListParagraph"/>
        <w:numPr>
          <w:ilvl w:val="0"/>
          <w:numId w:val="1"/>
        </w:numPr>
        <w:jc w:val="both"/>
        <w:rPr>
          <w:rFonts w:ascii="Lotus Linotype" w:hAnsi="Lotus Linotype" w:cs="Lotus Linotype"/>
          <w:sz w:val="28"/>
          <w:szCs w:val="28"/>
          <w:lang w:bidi="ar-LB"/>
        </w:rPr>
      </w:pPr>
      <w:r w:rsidRPr="00602E52">
        <w:rPr>
          <w:rFonts w:ascii="Lotus Linotype" w:hAnsi="Lotus Linotype" w:cs="Lotus Linotype" w:hint="cs"/>
          <w:b/>
          <w:bCs/>
          <w:color w:val="FF0000"/>
          <w:sz w:val="28"/>
          <w:szCs w:val="28"/>
          <w:rtl/>
          <w:lang w:bidi="ar-LB"/>
        </w:rPr>
        <w:t>الوجه الأول</w:t>
      </w:r>
      <w:r>
        <w:rPr>
          <w:rFonts w:ascii="Lotus Linotype" w:hAnsi="Lotus Linotype" w:cs="Lotus Linotype" w:hint="cs"/>
          <w:sz w:val="28"/>
          <w:szCs w:val="28"/>
          <w:rtl/>
          <w:lang w:bidi="ar-LB"/>
        </w:rPr>
        <w:t>: ما ذكره السيّد الخوئي</w:t>
      </w:r>
      <w:r>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ولعلّه تبع في ذلك أستاذه المحقق النائيني </w:t>
      </w:r>
      <w:r>
        <w:rPr>
          <w:rFonts w:ascii="Lotus Linotype" w:hAnsi="Lotus Linotype" w:cs="TAHER" w:hint="cs"/>
          <w:sz w:val="28"/>
          <w:szCs w:val="28"/>
          <w:rtl/>
          <w:lang w:bidi="ar-LB"/>
        </w:rPr>
        <w:t>+</w:t>
      </w:r>
      <w:r>
        <w:rPr>
          <w:rFonts w:ascii="Lotus Linotype" w:hAnsi="Lotus Linotype" w:cs="Lotus Linotype" w:hint="cs"/>
          <w:sz w:val="28"/>
          <w:szCs w:val="28"/>
          <w:rtl/>
          <w:lang w:bidi="ar-LB"/>
        </w:rPr>
        <w:t>، فقال: يتقوم الإطلاق بالترخيص في التطبيق. فلا يُتعقّل إطلاق للأمر من دون أن يُرّخصّ الشارع المكلّف في تطبيق امتثال هذا الأمر على موردٍ خاص.</w:t>
      </w:r>
      <w:r w:rsidR="002A4E84">
        <w:rPr>
          <w:rFonts w:ascii="Lotus Linotype" w:hAnsi="Lotus Linotype" w:cs="Lotus Linotype" w:hint="cs"/>
          <w:sz w:val="28"/>
          <w:szCs w:val="28"/>
          <w:rtl/>
          <w:lang w:bidi="ar-LB"/>
        </w:rPr>
        <w:t xml:space="preserve"> فإذا قال المولى أكرم عالماً، وقال له: لا أرخّصك في أن تطبق هذا الواجب على إكرام العالم الفاسق، فهذا يعني أنّه لا يوجد إطلاق لخطاب أكرم عالماً بالنسبة إلى العالم الفاسق. فيتقوّم إطلاق الأمر في الترخيص بالتطبيق، فإذا قال المولى إشرب ماءً، يكون إطلاقه متوقفاً على ترخيص المولى في تطبيق امتثال الأمر بشرب الماء على شرب الماء البارد، وهذا لا يجتمع مع النهي عن شرب الماء البارد.</w:t>
      </w:r>
    </w:p>
    <w:p w:rsidR="00F813D9" w:rsidRDefault="00F813D9" w:rsidP="00F813D9">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Pr="00F813D9">
        <w:rPr>
          <w:rFonts w:ascii="Lotus Linotype" w:hAnsi="Lotus Linotype" w:cs="Lotus Linotype" w:hint="cs"/>
          <w:b/>
          <w:bCs/>
          <w:sz w:val="28"/>
          <w:szCs w:val="28"/>
          <w:rtl/>
          <w:lang w:bidi="ar-LB"/>
        </w:rPr>
        <w:t>والجواب عنه كما ذكره السيّد السيستاني</w:t>
      </w:r>
      <w:r w:rsidR="00602E52">
        <w:rPr>
          <w:rFonts w:ascii="Lotus Linotype" w:hAnsi="Lotus Linotype" w:cs="Lotus Linotype" w:hint="cs"/>
          <w:sz w:val="28"/>
          <w:szCs w:val="28"/>
          <w:rtl/>
          <w:lang w:bidi="ar-LB"/>
        </w:rPr>
        <w:t xml:space="preserve"> </w:t>
      </w:r>
      <w:r w:rsidR="00602E52">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الإطلاق لا يتقوّم إلّا </w:t>
      </w:r>
      <w:r w:rsidRPr="00F813D9">
        <w:rPr>
          <w:rFonts w:ascii="Lotus Linotype" w:hAnsi="Lotus Linotype" w:cs="Lotus Linotype" w:hint="cs"/>
          <w:color w:val="FF0000"/>
          <w:sz w:val="28"/>
          <w:szCs w:val="28"/>
          <w:rtl/>
          <w:lang w:bidi="ar-LB"/>
        </w:rPr>
        <w:t>بالترخيص</w:t>
      </w:r>
      <w:r w:rsidRPr="00F813D9">
        <w:rPr>
          <w:rFonts w:ascii="Lotus Linotype" w:hAnsi="Lotus Linotype" w:cs="Lotus Linotype" w:hint="cs"/>
          <w:b/>
          <w:bCs/>
          <w:color w:val="FF0000"/>
          <w:sz w:val="28"/>
          <w:szCs w:val="28"/>
          <w:rtl/>
          <w:lang w:bidi="ar-LB"/>
        </w:rPr>
        <w:t xml:space="preserve"> الوضعيّ</w:t>
      </w:r>
      <w:r w:rsidRPr="00F813D9">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 xml:space="preserve">في التطبيق، ويراد من الترخيص الوضعيّ كون إتيان هذا الفرد مجزئاً عن ذلك الواجب. </w:t>
      </w:r>
    </w:p>
    <w:p w:rsidR="00F813D9" w:rsidRDefault="00F813D9" w:rsidP="00F813D9">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Pr="00F813D9">
        <w:rPr>
          <w:rFonts w:ascii="Lotus Linotype" w:hAnsi="Lotus Linotype" w:cs="Lotus Linotype" w:hint="cs"/>
          <w:b/>
          <w:bCs/>
          <w:sz w:val="28"/>
          <w:szCs w:val="28"/>
          <w:rtl/>
          <w:lang w:bidi="ar-LB"/>
        </w:rPr>
        <w:t>نحن نعبّر عنه</w:t>
      </w:r>
      <w:r>
        <w:rPr>
          <w:rFonts w:ascii="Lotus Linotype" w:hAnsi="Lotus Linotype" w:cs="Lotus Linotype" w:hint="cs"/>
          <w:sz w:val="28"/>
          <w:szCs w:val="28"/>
          <w:rtl/>
          <w:lang w:bidi="ar-LB"/>
        </w:rPr>
        <w:t xml:space="preserve"> </w:t>
      </w:r>
      <w:r w:rsidRPr="00F813D9">
        <w:rPr>
          <w:rFonts w:ascii="Lotus Linotype" w:hAnsi="Lotus Linotype" w:cs="Lotus Linotype" w:hint="cs"/>
          <w:b/>
          <w:bCs/>
          <w:color w:val="FF0000"/>
          <w:sz w:val="28"/>
          <w:szCs w:val="28"/>
          <w:rtl/>
          <w:lang w:bidi="ar-LB"/>
        </w:rPr>
        <w:t>بالترخيص الحيثيي</w:t>
      </w:r>
      <w:r>
        <w:rPr>
          <w:rFonts w:ascii="Lotus Linotype" w:hAnsi="Lotus Linotype" w:cs="Lotus Linotype" w:hint="cs"/>
          <w:sz w:val="28"/>
          <w:szCs w:val="28"/>
          <w:rtl/>
          <w:lang w:bidi="ar-LB"/>
        </w:rPr>
        <w:t>، يعني من حيث امتثال ذلك الواجب من تطبيق الواجب على هذا الفرد وإن كان قد يوجد موانع أخرى في ارتكاب ذلك الفرد، ذلك الفرد منهيّ عنه بعنوان الغصب، ولكن من حيث عنوان ذلك الواجب كعنوان دفن الميّت في مثال دفن الميّت لا مانع من امتثال الأمر في دفن الميّت بأن يُدفن في هذا المكان المغصوب، وهذا يجتمع مع تحريم الغصب على هذا المكلّف ولو في عنوان الدفن في المكان المغصوب.</w:t>
      </w:r>
    </w:p>
    <w:p w:rsidR="00F813D9" w:rsidRDefault="00F813D9" w:rsidP="00F813D9">
      <w:pPr>
        <w:pStyle w:val="ListParagraph"/>
        <w:ind w:left="360"/>
        <w:jc w:val="both"/>
        <w:rPr>
          <w:rFonts w:ascii="Lotus Linotype" w:hAnsi="Lotus Linotype" w:cs="Lotus Linotype" w:hint="cs"/>
          <w:sz w:val="28"/>
          <w:szCs w:val="28"/>
          <w:rtl/>
          <w:lang w:bidi="ar-LB"/>
        </w:rPr>
      </w:pPr>
      <w:r w:rsidRPr="00F813D9">
        <w:rPr>
          <w:rFonts w:ascii="Lotus Linotype" w:hAnsi="Lotus Linotype" w:cs="Lotus Linotype" w:hint="cs"/>
          <w:sz w:val="28"/>
          <w:szCs w:val="28"/>
          <w:rtl/>
          <w:lang w:bidi="ar-LB"/>
        </w:rPr>
        <w:t xml:space="preserve">وهكذا في إطلاق إشرب ماءً؛ يتقوم في أن يكون لا بشرط في شرب الماء البارد، فيكون الترخيص في التطبيق </w:t>
      </w:r>
      <w:r w:rsidRPr="00F813D9">
        <w:rPr>
          <w:rFonts w:ascii="Lotus Linotype" w:hAnsi="Lotus Linotype" w:cs="Lotus Linotype" w:hint="cs"/>
          <w:b/>
          <w:bCs/>
          <w:color w:val="FF0000"/>
          <w:sz w:val="28"/>
          <w:szCs w:val="28"/>
          <w:rtl/>
          <w:lang w:bidi="ar-LB"/>
        </w:rPr>
        <w:t xml:space="preserve">وضعيا </w:t>
      </w:r>
      <w:r w:rsidRPr="00F813D9">
        <w:rPr>
          <w:rFonts w:ascii="Lotus Linotype" w:hAnsi="Lotus Linotype" w:cs="Lotus Linotype" w:hint="cs"/>
          <w:sz w:val="28"/>
          <w:szCs w:val="28"/>
          <w:rtl/>
          <w:lang w:bidi="ar-LB"/>
        </w:rPr>
        <w:t>كما ذكره</w:t>
      </w:r>
      <w:r>
        <w:rPr>
          <w:rFonts w:ascii="Lotus Linotype" w:hAnsi="Lotus Linotype" w:cs="Lotus Linotype" w:hint="cs"/>
          <w:sz w:val="28"/>
          <w:szCs w:val="28"/>
          <w:rtl/>
          <w:lang w:bidi="ar-LB"/>
        </w:rPr>
        <w:t xml:space="preserve"> السيد السيستاني أو حيثيّاً كما نحن نعبّر بذلك، وهذا يجتمع مع المنع الفعليّ عن التطبيق بعنوانٍ مقيّد أو عنوانٍ آخر.</w:t>
      </w:r>
    </w:p>
    <w:p w:rsidR="00F813D9" w:rsidRPr="00602E52" w:rsidRDefault="00F813D9" w:rsidP="00602E52">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فهذا الوجه لامتناع اجتماع الأمر والنهي في الأمر بالمطلق والنهي عن المقيّد غير متجّه، وبقية الوجوه تأتي في الليالي القادمة إن شاء الله .</w:t>
      </w:r>
    </w:p>
    <w:p w:rsidR="00F81B12" w:rsidRPr="00602E52" w:rsidRDefault="00F813D9" w:rsidP="00602E52">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602E52">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                                                                     </w:t>
      </w:r>
      <w:r w:rsidR="00602E52">
        <w:rPr>
          <w:rFonts w:ascii="Lotus Linotype" w:hAnsi="Lotus Linotype" w:cs="Lotus Linotype" w:hint="cs"/>
          <w:sz w:val="28"/>
          <w:szCs w:val="28"/>
          <w:rtl/>
          <w:lang w:bidi="ar-LB"/>
        </w:rPr>
        <w:t xml:space="preserve">              </w:t>
      </w:r>
      <w:r w:rsidRPr="00602E52">
        <w:rPr>
          <w:rFonts w:ascii="Lotus Linotype" w:hAnsi="Lotus Linotype" w:cs="Lotus Linotype" w:hint="cs"/>
          <w:sz w:val="28"/>
          <w:szCs w:val="28"/>
          <w:rtl/>
          <w:lang w:bidi="ar-LB"/>
        </w:rPr>
        <w:t xml:space="preserve">     </w:t>
      </w:r>
      <w:r w:rsidR="00602E52" w:rsidRPr="00602E52">
        <w:rPr>
          <w:rFonts w:ascii="Lotus Linotype" w:hAnsi="Lotus Linotype" w:cs="Lotus Linotype" w:hint="cs"/>
          <w:sz w:val="28"/>
          <w:szCs w:val="28"/>
          <w:rtl/>
          <w:lang w:bidi="ar-LB"/>
        </w:rPr>
        <w:t xml:space="preserve"> </w:t>
      </w:r>
      <w:r w:rsidRPr="00602E52">
        <w:rPr>
          <w:rFonts w:ascii="Lotus Linotype" w:hAnsi="Lotus Linotype" w:cs="Lotus Linotype" w:hint="cs"/>
          <w:sz w:val="28"/>
          <w:szCs w:val="28"/>
          <w:rtl/>
          <w:lang w:bidi="ar-LB"/>
        </w:rPr>
        <w:t xml:space="preserve">              والحمد</w:t>
      </w:r>
      <w:r w:rsidR="00602E52" w:rsidRPr="00602E52">
        <w:rPr>
          <w:rFonts w:ascii="Lotus Linotype" w:hAnsi="Lotus Linotype" w:cs="Lotus Linotype" w:hint="cs"/>
          <w:sz w:val="28"/>
          <w:szCs w:val="28"/>
          <w:rtl/>
          <w:lang w:bidi="ar-LB"/>
        </w:rPr>
        <w:t xml:space="preserve"> لله ربّ العالمين</w:t>
      </w:r>
    </w:p>
    <w:sectPr w:rsidR="00F81B12" w:rsidRPr="00602E52"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654" w:rsidRDefault="00670654" w:rsidP="00602E52">
      <w:pPr>
        <w:spacing w:after="0" w:line="240" w:lineRule="auto"/>
      </w:pPr>
      <w:r>
        <w:separator/>
      </w:r>
    </w:p>
  </w:endnote>
  <w:endnote w:type="continuationSeparator" w:id="0">
    <w:p w:rsidR="00670654" w:rsidRDefault="00670654" w:rsidP="0060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Lotus Linotype">
    <w:charset w:val="00"/>
    <w:family w:val="auto"/>
    <w:pitch w:val="variable"/>
    <w:sig w:usb0="00002007" w:usb1="80000000" w:usb2="00000008" w:usb3="00000000" w:csb0="00000043"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85013417"/>
      <w:docPartObj>
        <w:docPartGallery w:val="Page Numbers (Bottom of Page)"/>
        <w:docPartUnique/>
      </w:docPartObj>
    </w:sdtPr>
    <w:sdtContent>
      <w:p w:rsidR="00602E52" w:rsidRDefault="00602E52">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D6CBF2B"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602E52" w:rsidRDefault="00602E52">
        <w:pPr>
          <w:pStyle w:val="Footer"/>
          <w:jc w:val="center"/>
        </w:pPr>
        <w:r>
          <w:fldChar w:fldCharType="begin"/>
        </w:r>
        <w:r>
          <w:instrText xml:space="preserve"> PAGE    \* MERGEFORMAT </w:instrText>
        </w:r>
        <w:r>
          <w:fldChar w:fldCharType="separate"/>
        </w:r>
        <w:r w:rsidR="00B261C7">
          <w:rPr>
            <w:noProof/>
            <w:rtl/>
          </w:rPr>
          <w:t>4</w:t>
        </w:r>
        <w:r>
          <w:rPr>
            <w:noProof/>
          </w:rPr>
          <w:fldChar w:fldCharType="end"/>
        </w:r>
      </w:p>
    </w:sdtContent>
  </w:sdt>
  <w:p w:rsidR="00602E52" w:rsidRDefault="00602E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654" w:rsidRDefault="00670654" w:rsidP="00602E52">
      <w:pPr>
        <w:spacing w:after="0" w:line="240" w:lineRule="auto"/>
      </w:pPr>
      <w:r>
        <w:separator/>
      </w:r>
    </w:p>
  </w:footnote>
  <w:footnote w:type="continuationSeparator" w:id="0">
    <w:p w:rsidR="00670654" w:rsidRDefault="00670654" w:rsidP="00602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20AD3"/>
    <w:multiLevelType w:val="hybridMultilevel"/>
    <w:tmpl w:val="60340502"/>
    <w:lvl w:ilvl="0" w:tplc="80B65D3E">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513"/>
    <w:rsid w:val="002A4E84"/>
    <w:rsid w:val="0045652F"/>
    <w:rsid w:val="00464513"/>
    <w:rsid w:val="00530EE7"/>
    <w:rsid w:val="00602E52"/>
    <w:rsid w:val="00615FD1"/>
    <w:rsid w:val="00625DDA"/>
    <w:rsid w:val="00670654"/>
    <w:rsid w:val="00700A1F"/>
    <w:rsid w:val="00821A9E"/>
    <w:rsid w:val="008768C1"/>
    <w:rsid w:val="008E0A66"/>
    <w:rsid w:val="00A26B62"/>
    <w:rsid w:val="00AD4D9F"/>
    <w:rsid w:val="00B261C7"/>
    <w:rsid w:val="00BC2579"/>
    <w:rsid w:val="00BF09D6"/>
    <w:rsid w:val="00E46125"/>
    <w:rsid w:val="00F813D9"/>
    <w:rsid w:val="00F81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EA671"/>
  <w15:chartTrackingRefBased/>
  <w15:docId w15:val="{6103729D-845E-419D-B478-5BA5DD0A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B12"/>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A66"/>
    <w:pPr>
      <w:ind w:left="720"/>
      <w:contextualSpacing/>
    </w:pPr>
  </w:style>
  <w:style w:type="paragraph" w:styleId="Header">
    <w:name w:val="header"/>
    <w:basedOn w:val="Normal"/>
    <w:link w:val="HeaderChar"/>
    <w:uiPriority w:val="99"/>
    <w:unhideWhenUsed/>
    <w:rsid w:val="00602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E52"/>
  </w:style>
  <w:style w:type="paragraph" w:styleId="Footer">
    <w:name w:val="footer"/>
    <w:basedOn w:val="Normal"/>
    <w:link w:val="FooterChar"/>
    <w:uiPriority w:val="99"/>
    <w:unhideWhenUsed/>
    <w:rsid w:val="00602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13</cp:revision>
  <dcterms:created xsi:type="dcterms:W3CDTF">2022-01-16T13:28:00Z</dcterms:created>
  <dcterms:modified xsi:type="dcterms:W3CDTF">2022-01-16T14:59:00Z</dcterms:modified>
</cp:coreProperties>
</file>