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28198412" w:displacedByCustomXml="next"/>
    <w:sdt>
      <w:sdtPr>
        <w:rPr>
          <w:b/>
          <w:bCs/>
          <w:rtl/>
        </w:rPr>
        <w:id w:val="869269518"/>
        <w:docPartObj>
          <w:docPartGallery w:val="Table of Contents"/>
          <w:docPartUnique/>
        </w:docPartObj>
      </w:sdtPr>
      <w:sdtEndPr>
        <w:rPr>
          <w:b w:val="0"/>
          <w:bCs w:val="0"/>
          <w:noProof/>
        </w:rPr>
      </w:sdtEndPr>
      <w:sdtContent>
        <w:bookmarkStart w:id="1" w:name="_Toc125648833" w:displacedByCustomXml="prev"/>
        <w:bookmarkStart w:id="2" w:name="_Toc125365743" w:displacedByCustomXml="prev"/>
        <w:bookmarkStart w:id="3" w:name="_Toc125282038" w:displacedByCustomXml="prev"/>
        <w:bookmarkStart w:id="4" w:name="_Toc125196408" w:displacedByCustomXml="prev"/>
        <w:bookmarkStart w:id="5" w:name="_Toc124933201" w:displacedByCustomXml="prev"/>
        <w:bookmarkStart w:id="6" w:name="_Toc124932554" w:displacedByCustomXml="prev"/>
        <w:bookmarkStart w:id="7" w:name="_Toc124845370" w:displacedByCustomXml="prev"/>
        <w:bookmarkStart w:id="8" w:name="_Toc124760957" w:displacedByCustomXml="prev"/>
        <w:bookmarkStart w:id="9" w:name="_Toc124675265" w:displacedByCustomXml="prev"/>
        <w:bookmarkStart w:id="10" w:name="_Toc124607848" w:displacedByCustomXml="prev"/>
        <w:bookmarkStart w:id="11" w:name="_Toc124329404" w:displacedByCustomXml="prev"/>
        <w:bookmarkStart w:id="12" w:name="_Toc124239827" w:displacedByCustomXml="prev"/>
        <w:bookmarkStart w:id="13" w:name="_Toc124161631" w:displacedByCustomXml="prev"/>
        <w:bookmarkStart w:id="14" w:name="_Toc123984743" w:displacedByCustomXml="prev"/>
        <w:bookmarkStart w:id="15" w:name="_Toc123723398" w:displacedByCustomXml="prev"/>
        <w:bookmarkStart w:id="16" w:name="_Toc123635181" w:displacedByCustomXml="prev"/>
        <w:bookmarkStart w:id="17" w:name="_Toc123552023" w:displacedByCustomXml="prev"/>
        <w:bookmarkStart w:id="18" w:name="_Toc123540424" w:displacedByCustomXml="prev"/>
        <w:bookmarkStart w:id="19" w:name="_Toc123375995" w:displacedByCustomXml="prev"/>
        <w:bookmarkStart w:id="20" w:name="_Toc122510130" w:displacedByCustomXml="prev"/>
        <w:bookmarkStart w:id="21" w:name="_Toc122426904" w:displacedByCustomXml="prev"/>
        <w:bookmarkStart w:id="22" w:name="_Toc122347039" w:displacedByCustomXml="prev"/>
        <w:bookmarkStart w:id="23" w:name="_Toc121910451" w:displacedByCustomXml="prev"/>
        <w:bookmarkStart w:id="24" w:name="_Toc121819651" w:displacedByCustomXml="prev"/>
        <w:bookmarkStart w:id="25" w:name="_Toc121765202" w:displacedByCustomXml="prev"/>
        <w:bookmarkStart w:id="26" w:name="_Toc121650003" w:displacedByCustomXml="prev"/>
        <w:bookmarkStart w:id="27" w:name="_Toc121225443" w:displacedByCustomXml="prev"/>
        <w:bookmarkStart w:id="28" w:name="_Toc121149875" w:displacedByCustomXml="prev"/>
        <w:bookmarkStart w:id="29" w:name="_Toc121045457" w:displacedByCustomXml="prev"/>
        <w:bookmarkStart w:id="30" w:name="_Toc120961212" w:displacedByCustomXml="prev"/>
        <w:bookmarkStart w:id="31" w:name="_Toc120700783" w:displacedByCustomXml="prev"/>
        <w:bookmarkStart w:id="32" w:name="_Toc120700237" w:displacedByCustomXml="prev"/>
        <w:bookmarkStart w:id="33" w:name="_Toc120632885" w:displacedByCustomXml="prev"/>
        <w:bookmarkStart w:id="34" w:name="_Toc120542567" w:displacedByCustomXml="prev"/>
        <w:bookmarkStart w:id="35" w:name="_Toc120438588" w:displacedByCustomXml="prev"/>
        <w:bookmarkStart w:id="36" w:name="_Toc120438549" w:displacedByCustomXml="prev"/>
        <w:bookmarkStart w:id="37" w:name="_Toc120352603" w:displacedByCustomXml="prev"/>
        <w:bookmarkStart w:id="38" w:name="_Toc120091707" w:displacedByCustomXml="prev"/>
        <w:bookmarkStart w:id="39" w:name="_Toc120007117" w:displacedByCustomXml="prev"/>
        <w:bookmarkStart w:id="40" w:name="_Toc119940039" w:displacedByCustomXml="prev"/>
        <w:bookmarkStart w:id="41" w:name="_Toc119924875" w:displacedByCustomXml="prev"/>
        <w:bookmarkStart w:id="42" w:name="_Toc119832361" w:displacedByCustomXml="prev"/>
        <w:bookmarkStart w:id="43" w:name="_Toc119832128" w:displacedByCustomXml="prev"/>
        <w:bookmarkStart w:id="44" w:name="_Toc119746433" w:displacedByCustomXml="prev"/>
        <w:bookmarkStart w:id="45" w:name="_Toc119488652" w:displacedByCustomXml="prev"/>
        <w:bookmarkStart w:id="46" w:name="_Toc119401922" w:displacedByCustomXml="prev"/>
        <w:bookmarkStart w:id="47" w:name="_Toc119333367" w:displacedByCustomXml="prev"/>
        <w:bookmarkStart w:id="48" w:name="_Toc119230126" w:displacedByCustomXml="prev"/>
        <w:bookmarkStart w:id="49" w:name="_Toc119145668" w:displacedByCustomXml="prev"/>
        <w:bookmarkStart w:id="50" w:name="_Toc118884041" w:displacedByCustomXml="prev"/>
        <w:bookmarkStart w:id="51" w:name="_Toc118799201" w:displacedByCustomXml="prev"/>
        <w:bookmarkStart w:id="52" w:name="_Toc118718547" w:displacedByCustomXml="prev"/>
        <w:bookmarkStart w:id="53" w:name="_Toc118718488" w:displacedByCustomXml="prev"/>
        <w:bookmarkStart w:id="54" w:name="_Toc118651146" w:displacedByCustomXml="prev"/>
        <w:bookmarkStart w:id="55" w:name="_Toc118383155" w:displacedByCustomXml="prev"/>
        <w:bookmarkStart w:id="56" w:name="_Toc118193618" w:displacedByCustomXml="prev"/>
        <w:bookmarkStart w:id="57" w:name="_Toc118193501" w:displacedByCustomXml="prev"/>
        <w:bookmarkStart w:id="58" w:name="_Toc118112945" w:displacedByCustomXml="prev"/>
        <w:bookmarkStart w:id="59" w:name="_Toc118027193" w:displacedByCustomXml="prev"/>
        <w:bookmarkStart w:id="60" w:name="_Toc117935035" w:displacedByCustomXml="prev"/>
        <w:bookmarkStart w:id="61" w:name="_Toc117694293" w:displacedByCustomXml="prev"/>
        <w:bookmarkStart w:id="62" w:name="_Toc117668531" w:displacedByCustomXml="prev"/>
        <w:bookmarkStart w:id="63" w:name="_Toc117508630" w:displacedByCustomXml="prev"/>
        <w:bookmarkStart w:id="64" w:name="_Toc117431209" w:displacedByCustomXml="prev"/>
        <w:bookmarkStart w:id="65" w:name="_Toc117327392" w:displacedByCustomXml="prev"/>
        <w:bookmarkStart w:id="66" w:name="_Toc117068470" w:displacedByCustomXml="prev"/>
        <w:bookmarkStart w:id="67" w:name="_Toc116899939" w:displacedByCustomXml="prev"/>
        <w:p w:rsidR="00156329" w:rsidRDefault="00156329" w:rsidP="00156329">
          <w:pPr>
            <w:spacing w:before="100" w:beforeAutospacing="1" w:after="100" w:afterAutospacing="1"/>
          </w:pPr>
          <w:r>
            <w:rPr>
              <w:color w:val="0000FF"/>
              <w:rtl/>
            </w:rPr>
            <w:t>بسمه تعالی</w:t>
          </w:r>
          <w:bookmarkStart w:id="68" w:name="_Toc116732138"/>
          <w:bookmarkStart w:id="69" w:name="_Toc116472638"/>
        </w:p>
        <w:p w:rsidR="00156329" w:rsidRDefault="00156329" w:rsidP="00156329">
          <w:pPr>
            <w:pStyle w:val="TOCHeading"/>
            <w:bidi/>
          </w:pPr>
          <w:bookmarkStart w:id="70" w:name="_Toc119843303"/>
          <w:bookmarkStart w:id="71" w:name="_Toc120372668"/>
          <w:r>
            <w:rPr>
              <w:rFonts w:ascii="Calibri Light" w:hAnsi="Calibri Light"/>
              <w:color w:val="FF0000"/>
              <w:rtl/>
            </w:rPr>
            <w:t>موضوع:</w:t>
          </w:r>
          <w:bookmarkEnd w:id="70"/>
          <w:r>
            <w:rPr>
              <w:rFonts w:ascii="Calibri Light" w:hAnsi="Calibri Light" w:hint="cs"/>
              <w:color w:val="FF0000"/>
              <w:rtl/>
            </w:rPr>
            <w:t xml:space="preserve"> </w:t>
          </w:r>
          <w:r w:rsidRPr="005D1796">
            <w:rPr>
              <w:rFonts w:ascii="Calibri Light" w:hAnsi="Calibri Light" w:hint="cs"/>
              <w:rtl/>
            </w:rPr>
            <w:t>مباحث مقدماتی/</w:t>
          </w:r>
          <w:r>
            <w:rPr>
              <w:rFonts w:ascii="Calibri Light" w:hAnsi="Calibri Light" w:hint="cs"/>
              <w:color w:val="FF0000"/>
              <w:rtl/>
            </w:rPr>
            <w:t xml:space="preserve"> </w:t>
          </w:r>
          <w:r>
            <w:rPr>
              <w:rFonts w:ascii="Calibri Light" w:hAnsi="Calibri Light"/>
              <w:rtl/>
            </w:rPr>
            <w:t>قطع/</w:t>
          </w:r>
          <w:r>
            <w:rPr>
              <w:rFonts w:ascii="Calibri Light" w:hAnsi="Calibri Light"/>
              <w:color w:val="FF0000"/>
              <w:rtl/>
            </w:rPr>
            <w:t xml:space="preserve"> </w:t>
          </w:r>
          <w:r>
            <w:rPr>
              <w:rFonts w:ascii="Calibri Light" w:hAnsi="Calibri Light"/>
              <w:rtl/>
            </w:rPr>
            <w:t xml:space="preserve">مباحث حجج </w:t>
          </w:r>
          <w:bookmarkEnd w:id="71"/>
        </w:p>
        <w:p w:rsidR="00156329" w:rsidRDefault="00156329" w:rsidP="00156329">
          <w:pPr>
            <w:spacing w:before="100" w:beforeAutospacing="1" w:after="100" w:afterAutospacing="1"/>
          </w:pPr>
          <w:r>
            <w:t> </w:t>
          </w:r>
        </w:p>
        <w:p w:rsidR="003F5942" w:rsidRDefault="00156329" w:rsidP="00156329">
          <w:pPr>
            <w:pStyle w:val="TOCHeading"/>
            <w:bidi/>
            <w:jc w:val="both"/>
          </w:pPr>
          <w:r>
            <w:rPr>
              <w:rFonts w:ascii="Calibri Light" w:hAnsi="Calibri Light"/>
              <w:color w:val="800000"/>
              <w:rtl/>
            </w:rPr>
            <w:t>فهرست مطالب</w:t>
          </w:r>
          <w:bookmarkEnd w:id="67"/>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68"/>
          <w:bookmarkEnd w:id="69"/>
          <w:r>
            <w:rPr>
              <w:rFonts w:ascii="Calibri Light" w:hAnsi="Calibri Light"/>
              <w:color w:val="800000"/>
            </w:rPr>
            <w:t>:</w:t>
          </w:r>
          <w:bookmarkStart w:id="72" w:name="_GoBack"/>
          <w:bookmarkEnd w:id="72"/>
        </w:p>
        <w:p w:rsidR="003F5942" w:rsidRDefault="003F5942" w:rsidP="003F5942">
          <w:pPr>
            <w:pStyle w:val="TOC1"/>
            <w:tabs>
              <w:tab w:val="right" w:leader="dot" w:pos="9350"/>
            </w:tabs>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8215470" w:history="1">
            <w:r w:rsidRPr="005A2F3A">
              <w:rPr>
                <w:rStyle w:val="Hyperlink"/>
                <w:rFonts w:hint="eastAsia"/>
                <w:noProof/>
                <w:rtl/>
              </w:rPr>
              <w:t>توج</w:t>
            </w:r>
            <w:r w:rsidRPr="005A2F3A">
              <w:rPr>
                <w:rStyle w:val="Hyperlink"/>
                <w:rFonts w:hint="cs"/>
                <w:noProof/>
                <w:rtl/>
              </w:rPr>
              <w:t>ی</w:t>
            </w:r>
            <w:r w:rsidRPr="005A2F3A">
              <w:rPr>
                <w:rStyle w:val="Hyperlink"/>
                <w:rFonts w:hint="eastAsia"/>
                <w:noProof/>
                <w:rtl/>
              </w:rPr>
              <w:t>ه</w:t>
            </w:r>
            <w:r w:rsidRPr="005A2F3A">
              <w:rPr>
                <w:rStyle w:val="Hyperlink"/>
                <w:noProof/>
                <w:rtl/>
              </w:rPr>
              <w:t xml:space="preserve"> </w:t>
            </w:r>
            <w:r w:rsidRPr="005A2F3A">
              <w:rPr>
                <w:rStyle w:val="Hyperlink"/>
                <w:rFonts w:hint="eastAsia"/>
                <w:noProof/>
                <w:rtl/>
              </w:rPr>
              <w:t>حج</w:t>
            </w:r>
            <w:r w:rsidRPr="005A2F3A">
              <w:rPr>
                <w:rStyle w:val="Hyperlink"/>
                <w:rFonts w:hint="cs"/>
                <w:noProof/>
                <w:rtl/>
              </w:rPr>
              <w:t>ی</w:t>
            </w:r>
            <w:r w:rsidRPr="005A2F3A">
              <w:rPr>
                <w:rStyle w:val="Hyperlink"/>
                <w:rFonts w:hint="eastAsia"/>
                <w:noProof/>
                <w:rtl/>
              </w:rPr>
              <w:t>ت</w:t>
            </w:r>
            <w:r w:rsidRPr="005A2F3A">
              <w:rPr>
                <w:rStyle w:val="Hyperlink"/>
                <w:noProof/>
                <w:rtl/>
              </w:rPr>
              <w:t xml:space="preserve"> </w:t>
            </w:r>
            <w:r w:rsidRPr="005A2F3A">
              <w:rPr>
                <w:rStyle w:val="Hyperlink"/>
                <w:rFonts w:hint="eastAsia"/>
                <w:noProof/>
                <w:rtl/>
              </w:rPr>
              <w:t>فتوا</w:t>
            </w:r>
            <w:r w:rsidRPr="005A2F3A">
              <w:rPr>
                <w:rStyle w:val="Hyperlink"/>
                <w:rFonts w:hint="cs"/>
                <w:noProof/>
                <w:rtl/>
              </w:rPr>
              <w:t>ی</w:t>
            </w:r>
            <w:r w:rsidRPr="005A2F3A">
              <w:rPr>
                <w:rStyle w:val="Hyperlink"/>
                <w:noProof/>
                <w:rtl/>
              </w:rPr>
              <w:t xml:space="preserve"> </w:t>
            </w:r>
            <w:r w:rsidRPr="005A2F3A">
              <w:rPr>
                <w:rStyle w:val="Hyperlink"/>
                <w:rFonts w:hint="eastAsia"/>
                <w:noProof/>
                <w:rtl/>
              </w:rPr>
              <w:t>مجتهد</w:t>
            </w:r>
            <w:r w:rsidRPr="005A2F3A">
              <w:rPr>
                <w:rStyle w:val="Hyperlink"/>
                <w:noProof/>
                <w:rtl/>
              </w:rPr>
              <w:t xml:space="preserve"> </w:t>
            </w:r>
            <w:r w:rsidRPr="005A2F3A">
              <w:rPr>
                <w:rStyle w:val="Hyperlink"/>
                <w:rFonts w:hint="eastAsia"/>
                <w:noProof/>
                <w:rtl/>
              </w:rPr>
              <w:t>برا</w:t>
            </w:r>
            <w:r w:rsidRPr="005A2F3A">
              <w:rPr>
                <w:rStyle w:val="Hyperlink"/>
                <w:rFonts w:hint="cs"/>
                <w:noProof/>
                <w:rtl/>
              </w:rPr>
              <w:t>ی</w:t>
            </w:r>
            <w:r w:rsidRPr="005A2F3A">
              <w:rPr>
                <w:rStyle w:val="Hyperlink"/>
                <w:noProof/>
                <w:rtl/>
              </w:rPr>
              <w:t xml:space="preserve"> </w:t>
            </w:r>
            <w:r w:rsidRPr="005A2F3A">
              <w:rPr>
                <w:rStyle w:val="Hyperlink"/>
                <w:rFonts w:hint="eastAsia"/>
                <w:noProof/>
                <w:rtl/>
              </w:rPr>
              <w:t>مقلد</w:t>
            </w:r>
            <w:r w:rsidRPr="005A2F3A">
              <w:rPr>
                <w:rStyle w:val="Hyperlink"/>
                <w:noProof/>
                <w:rtl/>
              </w:rPr>
              <w:t xml:space="preserve"> </w:t>
            </w:r>
            <w:r w:rsidRPr="005A2F3A">
              <w:rPr>
                <w:rStyle w:val="Hyperlink"/>
                <w:rFonts w:hint="eastAsia"/>
                <w:noProof/>
                <w:rtl/>
              </w:rPr>
              <w:t>در</w:t>
            </w:r>
            <w:r w:rsidRPr="005A2F3A">
              <w:rPr>
                <w:rStyle w:val="Hyperlink"/>
                <w:noProof/>
                <w:rtl/>
              </w:rPr>
              <w:t xml:space="preserve"> </w:t>
            </w:r>
            <w:r w:rsidRPr="005A2F3A">
              <w:rPr>
                <w:rStyle w:val="Hyperlink"/>
                <w:rFonts w:hint="eastAsia"/>
                <w:noProof/>
                <w:rtl/>
              </w:rPr>
              <w:t>موارد</w:t>
            </w:r>
            <w:r w:rsidRPr="005A2F3A">
              <w:rPr>
                <w:rStyle w:val="Hyperlink"/>
                <w:noProof/>
                <w:rtl/>
              </w:rPr>
              <w:t xml:space="preserve"> </w:t>
            </w:r>
            <w:r w:rsidRPr="005A2F3A">
              <w:rPr>
                <w:rStyle w:val="Hyperlink"/>
                <w:rFonts w:hint="eastAsia"/>
                <w:noProof/>
                <w:rtl/>
              </w:rPr>
              <w:t>عدم</w:t>
            </w:r>
            <w:r w:rsidRPr="005A2F3A">
              <w:rPr>
                <w:rStyle w:val="Hyperlink"/>
                <w:noProof/>
                <w:rtl/>
              </w:rPr>
              <w:t xml:space="preserve"> </w:t>
            </w:r>
            <w:r w:rsidRPr="005A2F3A">
              <w:rPr>
                <w:rStyle w:val="Hyperlink"/>
                <w:rFonts w:hint="eastAsia"/>
                <w:noProof/>
                <w:rtl/>
              </w:rPr>
              <w:t>علم</w:t>
            </w:r>
            <w:r w:rsidRPr="005A2F3A">
              <w:rPr>
                <w:rStyle w:val="Hyperlink"/>
                <w:noProof/>
                <w:rtl/>
              </w:rPr>
              <w:t xml:space="preserve"> </w:t>
            </w:r>
            <w:r w:rsidRPr="005A2F3A">
              <w:rPr>
                <w:rStyle w:val="Hyperlink"/>
                <w:rFonts w:hint="eastAsia"/>
                <w:noProof/>
                <w:rtl/>
              </w:rPr>
              <w:t>وجدان</w:t>
            </w:r>
            <w:r w:rsidRPr="005A2F3A">
              <w:rPr>
                <w:rStyle w:val="Hyperlink"/>
                <w:rFonts w:hint="cs"/>
                <w:noProof/>
                <w:rtl/>
              </w:rPr>
              <w:t>ی</w:t>
            </w:r>
            <w:r w:rsidRPr="005A2F3A">
              <w:rPr>
                <w:rStyle w:val="Hyperlink"/>
                <w:noProof/>
                <w:rtl/>
              </w:rPr>
              <w:t xml:space="preserve"> </w:t>
            </w:r>
            <w:r w:rsidRPr="005A2F3A">
              <w:rPr>
                <w:rStyle w:val="Hyperlink"/>
                <w:rFonts w:hint="eastAsia"/>
                <w:noProof/>
                <w:rtl/>
              </w:rPr>
              <w:t>مجتهد</w:t>
            </w:r>
            <w:r w:rsidRPr="005A2F3A">
              <w:rPr>
                <w:rStyle w:val="Hyperlink"/>
                <w:noProof/>
                <w:rtl/>
              </w:rPr>
              <w:t xml:space="preserve"> </w:t>
            </w:r>
            <w:r w:rsidRPr="005A2F3A">
              <w:rPr>
                <w:rStyle w:val="Hyperlink"/>
                <w:rFonts w:hint="eastAsia"/>
                <w:noProof/>
                <w:rtl/>
              </w:rPr>
              <w:t>به</w:t>
            </w:r>
            <w:r w:rsidRPr="005A2F3A">
              <w:rPr>
                <w:rStyle w:val="Hyperlink"/>
                <w:noProof/>
                <w:rtl/>
              </w:rPr>
              <w:t xml:space="preserve"> </w:t>
            </w:r>
            <w:r w:rsidRPr="005A2F3A">
              <w:rPr>
                <w:rStyle w:val="Hyperlink"/>
                <w:rFonts w:hint="eastAsia"/>
                <w:noProof/>
                <w:rtl/>
              </w:rPr>
              <w:t>حکم</w:t>
            </w:r>
            <w:r w:rsidRPr="005A2F3A">
              <w:rPr>
                <w:rStyle w:val="Hyperlink"/>
                <w:noProof/>
                <w:rtl/>
              </w:rPr>
              <w:t xml:space="preserve"> </w:t>
            </w:r>
            <w:r w:rsidRPr="005A2F3A">
              <w:rPr>
                <w:rStyle w:val="Hyperlink"/>
                <w:rFonts w:hint="eastAsia"/>
                <w:noProof/>
                <w:rtl/>
              </w:rPr>
              <w:t>شرع</w:t>
            </w:r>
            <w:r w:rsidRPr="005A2F3A">
              <w:rPr>
                <w:rStyle w:val="Hyperlink"/>
                <w:rFonts w:hint="cs"/>
                <w:noProof/>
                <w:rtl/>
              </w:rPr>
              <w:t>ی</w:t>
            </w:r>
            <w:r>
              <w:rPr>
                <w:noProof/>
                <w:webHidden/>
              </w:rPr>
              <w:tab/>
            </w:r>
            <w:r>
              <w:rPr>
                <w:noProof/>
                <w:webHidden/>
              </w:rPr>
              <w:fldChar w:fldCharType="begin"/>
            </w:r>
            <w:r>
              <w:rPr>
                <w:noProof/>
                <w:webHidden/>
              </w:rPr>
              <w:instrText xml:space="preserve"> PAGEREF _Toc128215470 \h </w:instrText>
            </w:r>
            <w:r>
              <w:rPr>
                <w:noProof/>
                <w:webHidden/>
              </w:rPr>
            </w:r>
            <w:r>
              <w:rPr>
                <w:noProof/>
                <w:webHidden/>
              </w:rPr>
              <w:fldChar w:fldCharType="separate"/>
            </w:r>
            <w:r w:rsidR="00DE5346">
              <w:rPr>
                <w:noProof/>
                <w:webHidden/>
                <w:rtl/>
              </w:rPr>
              <w:t>1</w:t>
            </w:r>
            <w:r>
              <w:rPr>
                <w:noProof/>
                <w:webHidden/>
              </w:rPr>
              <w:fldChar w:fldCharType="end"/>
            </w:r>
          </w:hyperlink>
        </w:p>
        <w:p w:rsidR="003F5942" w:rsidRDefault="00156329" w:rsidP="003F5942">
          <w:pPr>
            <w:pStyle w:val="TOC2"/>
            <w:tabs>
              <w:tab w:val="right" w:leader="dot" w:pos="9350"/>
            </w:tabs>
            <w:rPr>
              <w:rFonts w:asciiTheme="minorHAnsi" w:eastAsiaTheme="minorEastAsia" w:hAnsiTheme="minorHAnsi" w:cstheme="minorBidi"/>
              <w:noProof/>
              <w:szCs w:val="22"/>
              <w:lang w:bidi="ar-SA"/>
            </w:rPr>
          </w:pPr>
          <w:hyperlink w:anchor="_Toc128215471" w:history="1">
            <w:r w:rsidR="003F5942" w:rsidRPr="005A2F3A">
              <w:rPr>
                <w:rStyle w:val="Hyperlink"/>
                <w:rFonts w:hint="eastAsia"/>
                <w:noProof/>
                <w:rtl/>
              </w:rPr>
              <w:t>نکته</w:t>
            </w:r>
            <w:r w:rsidR="003F5942" w:rsidRPr="005A2F3A">
              <w:rPr>
                <w:rStyle w:val="Hyperlink"/>
                <w:noProof/>
                <w:rtl/>
              </w:rPr>
              <w:t xml:space="preserve"> </w:t>
            </w:r>
            <w:r w:rsidR="003F5942" w:rsidRPr="005A2F3A">
              <w:rPr>
                <w:rStyle w:val="Hyperlink"/>
                <w:rFonts w:hint="eastAsia"/>
                <w:noProof/>
                <w:rtl/>
              </w:rPr>
              <w:t>ا</w:t>
            </w:r>
            <w:r w:rsidR="003F5942" w:rsidRPr="005A2F3A">
              <w:rPr>
                <w:rStyle w:val="Hyperlink"/>
                <w:rFonts w:hint="cs"/>
                <w:noProof/>
                <w:rtl/>
              </w:rPr>
              <w:t>ی</w:t>
            </w:r>
            <w:r w:rsidR="003F5942" w:rsidRPr="005A2F3A">
              <w:rPr>
                <w:rStyle w:val="Hyperlink"/>
                <w:noProof/>
                <w:rtl/>
              </w:rPr>
              <w:t xml:space="preserve"> </w:t>
            </w:r>
            <w:r w:rsidR="003F5942" w:rsidRPr="005A2F3A">
              <w:rPr>
                <w:rStyle w:val="Hyperlink"/>
                <w:rFonts w:hint="eastAsia"/>
                <w:noProof/>
                <w:rtl/>
              </w:rPr>
              <w:t>در</w:t>
            </w:r>
            <w:r w:rsidR="003F5942" w:rsidRPr="005A2F3A">
              <w:rPr>
                <w:rStyle w:val="Hyperlink"/>
                <w:noProof/>
                <w:rtl/>
              </w:rPr>
              <w:t xml:space="preserve"> </w:t>
            </w:r>
            <w:r w:rsidR="003F5942" w:rsidRPr="005A2F3A">
              <w:rPr>
                <w:rStyle w:val="Hyperlink"/>
                <w:rFonts w:hint="eastAsia"/>
                <w:noProof/>
                <w:rtl/>
              </w:rPr>
              <w:t>مورد</w:t>
            </w:r>
            <w:r w:rsidR="003F5942" w:rsidRPr="005A2F3A">
              <w:rPr>
                <w:rStyle w:val="Hyperlink"/>
                <w:noProof/>
                <w:rtl/>
              </w:rPr>
              <w:t xml:space="preserve"> </w:t>
            </w:r>
            <w:r w:rsidR="003F5942" w:rsidRPr="005A2F3A">
              <w:rPr>
                <w:rStyle w:val="Hyperlink"/>
                <w:rFonts w:hint="eastAsia"/>
                <w:noProof/>
                <w:rtl/>
              </w:rPr>
              <w:t>فتوا</w:t>
            </w:r>
            <w:r w:rsidR="003F5942" w:rsidRPr="005A2F3A">
              <w:rPr>
                <w:rStyle w:val="Hyperlink"/>
                <w:rFonts w:hint="cs"/>
                <w:noProof/>
                <w:rtl/>
              </w:rPr>
              <w:t>ی</w:t>
            </w:r>
            <w:r w:rsidR="003F5942" w:rsidRPr="005A2F3A">
              <w:rPr>
                <w:rStyle w:val="Hyperlink"/>
                <w:noProof/>
                <w:rtl/>
              </w:rPr>
              <w:t xml:space="preserve"> </w:t>
            </w:r>
            <w:r w:rsidR="003F5942" w:rsidRPr="005A2F3A">
              <w:rPr>
                <w:rStyle w:val="Hyperlink"/>
                <w:rFonts w:hint="eastAsia"/>
                <w:noProof/>
                <w:rtl/>
              </w:rPr>
              <w:t>فق</w:t>
            </w:r>
            <w:r w:rsidR="003F5942" w:rsidRPr="005A2F3A">
              <w:rPr>
                <w:rStyle w:val="Hyperlink"/>
                <w:rFonts w:hint="cs"/>
                <w:noProof/>
                <w:rtl/>
              </w:rPr>
              <w:t>ی</w:t>
            </w:r>
            <w:r w:rsidR="003F5942" w:rsidRPr="005A2F3A">
              <w:rPr>
                <w:rStyle w:val="Hyperlink"/>
                <w:rFonts w:hint="eastAsia"/>
                <w:noProof/>
                <w:rtl/>
              </w:rPr>
              <w:t>ه</w:t>
            </w:r>
            <w:r w:rsidR="003F5942" w:rsidRPr="005A2F3A">
              <w:rPr>
                <w:rStyle w:val="Hyperlink"/>
                <w:noProof/>
                <w:rtl/>
              </w:rPr>
              <w:t xml:space="preserve"> </w:t>
            </w:r>
            <w:r w:rsidR="003F5942" w:rsidRPr="005A2F3A">
              <w:rPr>
                <w:rStyle w:val="Hyperlink"/>
                <w:rFonts w:hint="eastAsia"/>
                <w:noProof/>
                <w:rtl/>
              </w:rPr>
              <w:t>بر</w:t>
            </w:r>
            <w:r w:rsidR="003F5942" w:rsidRPr="005A2F3A">
              <w:rPr>
                <w:rStyle w:val="Hyperlink"/>
                <w:noProof/>
                <w:rtl/>
              </w:rPr>
              <w:t xml:space="preserve"> </w:t>
            </w:r>
            <w:r w:rsidR="003F5942" w:rsidRPr="005A2F3A">
              <w:rPr>
                <w:rStyle w:val="Hyperlink"/>
                <w:rFonts w:hint="eastAsia"/>
                <w:noProof/>
                <w:rtl/>
              </w:rPr>
              <w:t>اساس</w:t>
            </w:r>
            <w:r w:rsidR="003F5942" w:rsidRPr="005A2F3A">
              <w:rPr>
                <w:rStyle w:val="Hyperlink"/>
                <w:noProof/>
                <w:rtl/>
              </w:rPr>
              <w:t xml:space="preserve"> </w:t>
            </w:r>
            <w:r w:rsidR="003F5942" w:rsidRPr="005A2F3A">
              <w:rPr>
                <w:rStyle w:val="Hyperlink"/>
                <w:rFonts w:hint="eastAsia"/>
                <w:noProof/>
                <w:rtl/>
              </w:rPr>
              <w:t>استصحاب</w:t>
            </w:r>
            <w:r w:rsidR="003F5942">
              <w:rPr>
                <w:noProof/>
                <w:webHidden/>
              </w:rPr>
              <w:tab/>
            </w:r>
            <w:r w:rsidR="003F5942">
              <w:rPr>
                <w:noProof/>
                <w:webHidden/>
              </w:rPr>
              <w:fldChar w:fldCharType="begin"/>
            </w:r>
            <w:r w:rsidR="003F5942">
              <w:rPr>
                <w:noProof/>
                <w:webHidden/>
              </w:rPr>
              <w:instrText xml:space="preserve"> PAGEREF _Toc128215471 \h </w:instrText>
            </w:r>
            <w:r w:rsidR="003F5942">
              <w:rPr>
                <w:noProof/>
                <w:webHidden/>
              </w:rPr>
            </w:r>
            <w:r w:rsidR="003F5942">
              <w:rPr>
                <w:noProof/>
                <w:webHidden/>
              </w:rPr>
              <w:fldChar w:fldCharType="separate"/>
            </w:r>
            <w:r w:rsidR="00DE5346">
              <w:rPr>
                <w:noProof/>
                <w:webHidden/>
                <w:rtl/>
              </w:rPr>
              <w:t>1</w:t>
            </w:r>
            <w:r w:rsidR="003F5942">
              <w:rPr>
                <w:noProof/>
                <w:webHidden/>
              </w:rPr>
              <w:fldChar w:fldCharType="end"/>
            </w:r>
          </w:hyperlink>
        </w:p>
        <w:p w:rsidR="003F5942" w:rsidRDefault="00156329" w:rsidP="003F5942">
          <w:pPr>
            <w:pStyle w:val="TOC2"/>
            <w:tabs>
              <w:tab w:val="right" w:leader="dot" w:pos="9350"/>
            </w:tabs>
            <w:rPr>
              <w:rFonts w:asciiTheme="minorHAnsi" w:eastAsiaTheme="minorEastAsia" w:hAnsiTheme="minorHAnsi" w:cstheme="minorBidi"/>
              <w:noProof/>
              <w:szCs w:val="22"/>
              <w:lang w:bidi="ar-SA"/>
            </w:rPr>
          </w:pPr>
          <w:hyperlink w:anchor="_Toc128215472" w:history="1">
            <w:r w:rsidR="003F5942" w:rsidRPr="005A2F3A">
              <w:rPr>
                <w:rStyle w:val="Hyperlink"/>
                <w:rFonts w:hint="eastAsia"/>
                <w:noProof/>
                <w:rtl/>
              </w:rPr>
              <w:t>بررس</w:t>
            </w:r>
            <w:r w:rsidR="003F5942" w:rsidRPr="005A2F3A">
              <w:rPr>
                <w:rStyle w:val="Hyperlink"/>
                <w:rFonts w:hint="cs"/>
                <w:noProof/>
                <w:rtl/>
              </w:rPr>
              <w:t>ی</w:t>
            </w:r>
            <w:r w:rsidR="003F5942" w:rsidRPr="005A2F3A">
              <w:rPr>
                <w:rStyle w:val="Hyperlink"/>
                <w:noProof/>
                <w:rtl/>
              </w:rPr>
              <w:t xml:space="preserve"> </w:t>
            </w:r>
            <w:r w:rsidR="003F5942" w:rsidRPr="005A2F3A">
              <w:rPr>
                <w:rStyle w:val="Hyperlink"/>
                <w:rFonts w:hint="eastAsia"/>
                <w:noProof/>
                <w:rtl/>
              </w:rPr>
              <w:t>دلالت</w:t>
            </w:r>
            <w:r w:rsidR="003F5942" w:rsidRPr="005A2F3A">
              <w:rPr>
                <w:rStyle w:val="Hyperlink"/>
                <w:noProof/>
                <w:rtl/>
              </w:rPr>
              <w:t xml:space="preserve"> </w:t>
            </w:r>
            <w:r w:rsidR="003F5942" w:rsidRPr="005A2F3A">
              <w:rPr>
                <w:rStyle w:val="Hyperlink"/>
                <w:rFonts w:hint="eastAsia"/>
                <w:noProof/>
                <w:rtl/>
              </w:rPr>
              <w:t>صح</w:t>
            </w:r>
            <w:r w:rsidR="003F5942" w:rsidRPr="005A2F3A">
              <w:rPr>
                <w:rStyle w:val="Hyperlink"/>
                <w:rFonts w:hint="cs"/>
                <w:noProof/>
                <w:rtl/>
              </w:rPr>
              <w:t>ی</w:t>
            </w:r>
            <w:r w:rsidR="003F5942" w:rsidRPr="005A2F3A">
              <w:rPr>
                <w:rStyle w:val="Hyperlink"/>
                <w:rFonts w:hint="eastAsia"/>
                <w:noProof/>
                <w:rtl/>
              </w:rPr>
              <w:t>حه</w:t>
            </w:r>
            <w:r w:rsidR="003F5942" w:rsidRPr="005A2F3A">
              <w:rPr>
                <w:rStyle w:val="Hyperlink"/>
                <w:noProof/>
                <w:rtl/>
              </w:rPr>
              <w:t xml:space="preserve"> </w:t>
            </w:r>
            <w:r w:rsidR="003F5942" w:rsidRPr="005A2F3A">
              <w:rPr>
                <w:rStyle w:val="Hyperlink"/>
                <w:rFonts w:hint="eastAsia"/>
                <w:noProof/>
                <w:rtl/>
              </w:rPr>
              <w:t>عبد</w:t>
            </w:r>
            <w:r w:rsidR="003F5942" w:rsidRPr="005A2F3A">
              <w:rPr>
                <w:rStyle w:val="Hyperlink"/>
                <w:noProof/>
                <w:rtl/>
              </w:rPr>
              <w:t xml:space="preserve"> </w:t>
            </w:r>
            <w:r w:rsidR="003F5942" w:rsidRPr="005A2F3A">
              <w:rPr>
                <w:rStyle w:val="Hyperlink"/>
                <w:rFonts w:hint="eastAsia"/>
                <w:noProof/>
                <w:rtl/>
              </w:rPr>
              <w:t>الله</w:t>
            </w:r>
            <w:r w:rsidR="003F5942" w:rsidRPr="005A2F3A">
              <w:rPr>
                <w:rStyle w:val="Hyperlink"/>
                <w:noProof/>
                <w:rtl/>
              </w:rPr>
              <w:t xml:space="preserve"> </w:t>
            </w:r>
            <w:r w:rsidR="003F5942" w:rsidRPr="005A2F3A">
              <w:rPr>
                <w:rStyle w:val="Hyperlink"/>
                <w:rFonts w:hint="eastAsia"/>
                <w:noProof/>
                <w:rtl/>
              </w:rPr>
              <w:t>بن</w:t>
            </w:r>
            <w:r w:rsidR="003F5942" w:rsidRPr="005A2F3A">
              <w:rPr>
                <w:rStyle w:val="Hyperlink"/>
                <w:noProof/>
                <w:rtl/>
              </w:rPr>
              <w:t xml:space="preserve"> </w:t>
            </w:r>
            <w:r w:rsidR="003F5942" w:rsidRPr="005A2F3A">
              <w:rPr>
                <w:rStyle w:val="Hyperlink"/>
                <w:rFonts w:hint="eastAsia"/>
                <w:noProof/>
                <w:rtl/>
              </w:rPr>
              <w:t>سنان</w:t>
            </w:r>
            <w:r w:rsidR="003F5942" w:rsidRPr="005A2F3A">
              <w:rPr>
                <w:rStyle w:val="Hyperlink"/>
                <w:noProof/>
                <w:rtl/>
              </w:rPr>
              <w:t xml:space="preserve"> </w:t>
            </w:r>
            <w:r w:rsidR="003F5942" w:rsidRPr="005A2F3A">
              <w:rPr>
                <w:rStyle w:val="Hyperlink"/>
                <w:rFonts w:hint="eastAsia"/>
                <w:noProof/>
                <w:rtl/>
              </w:rPr>
              <w:t>بر</w:t>
            </w:r>
            <w:r w:rsidR="003F5942" w:rsidRPr="005A2F3A">
              <w:rPr>
                <w:rStyle w:val="Hyperlink"/>
                <w:noProof/>
                <w:rtl/>
              </w:rPr>
              <w:t xml:space="preserve"> </w:t>
            </w:r>
            <w:r w:rsidR="003F5942" w:rsidRPr="005A2F3A">
              <w:rPr>
                <w:rStyle w:val="Hyperlink"/>
                <w:rFonts w:hint="eastAsia"/>
                <w:noProof/>
                <w:rtl/>
              </w:rPr>
              <w:t>رکن</w:t>
            </w:r>
            <w:r w:rsidR="003F5942" w:rsidRPr="005A2F3A">
              <w:rPr>
                <w:rStyle w:val="Hyperlink"/>
                <w:rFonts w:hint="cs"/>
                <w:noProof/>
                <w:rtl/>
              </w:rPr>
              <w:t>ی</w:t>
            </w:r>
            <w:r w:rsidR="003F5942" w:rsidRPr="005A2F3A">
              <w:rPr>
                <w:rStyle w:val="Hyperlink"/>
                <w:rFonts w:hint="eastAsia"/>
                <w:noProof/>
                <w:rtl/>
              </w:rPr>
              <w:t>ت</w:t>
            </w:r>
            <w:r w:rsidR="003F5942" w:rsidRPr="005A2F3A">
              <w:rPr>
                <w:rStyle w:val="Hyperlink"/>
                <w:noProof/>
                <w:rtl/>
              </w:rPr>
              <w:t xml:space="preserve"> </w:t>
            </w:r>
            <w:r w:rsidR="003F5942" w:rsidRPr="005A2F3A">
              <w:rPr>
                <w:rStyle w:val="Hyperlink"/>
                <w:rFonts w:hint="eastAsia"/>
                <w:noProof/>
                <w:rtl/>
              </w:rPr>
              <w:t>واقع</w:t>
            </w:r>
            <w:r w:rsidR="003F5942" w:rsidRPr="005A2F3A">
              <w:rPr>
                <w:rStyle w:val="Hyperlink"/>
                <w:noProof/>
                <w:rtl/>
              </w:rPr>
              <w:t xml:space="preserve"> </w:t>
            </w:r>
            <w:r w:rsidR="003F5942" w:rsidRPr="005A2F3A">
              <w:rPr>
                <w:rStyle w:val="Hyperlink"/>
                <w:rFonts w:hint="eastAsia"/>
                <w:noProof/>
                <w:rtl/>
              </w:rPr>
              <w:t>الحدوث</w:t>
            </w:r>
            <w:r w:rsidR="003F5942" w:rsidRPr="005A2F3A">
              <w:rPr>
                <w:rStyle w:val="Hyperlink"/>
                <w:noProof/>
                <w:rtl/>
              </w:rPr>
              <w:t xml:space="preserve"> </w:t>
            </w:r>
            <w:r w:rsidR="003F5942" w:rsidRPr="005A2F3A">
              <w:rPr>
                <w:rStyle w:val="Hyperlink"/>
                <w:rFonts w:hint="eastAsia"/>
                <w:noProof/>
                <w:rtl/>
              </w:rPr>
              <w:t>برا</w:t>
            </w:r>
            <w:r w:rsidR="003F5942" w:rsidRPr="005A2F3A">
              <w:rPr>
                <w:rStyle w:val="Hyperlink"/>
                <w:rFonts w:hint="cs"/>
                <w:noProof/>
                <w:rtl/>
              </w:rPr>
              <w:t>ی</w:t>
            </w:r>
            <w:r w:rsidR="003F5942" w:rsidRPr="005A2F3A">
              <w:rPr>
                <w:rStyle w:val="Hyperlink"/>
                <w:noProof/>
                <w:rtl/>
              </w:rPr>
              <w:t xml:space="preserve"> </w:t>
            </w:r>
            <w:r w:rsidR="003F5942" w:rsidRPr="005A2F3A">
              <w:rPr>
                <w:rStyle w:val="Hyperlink"/>
                <w:rFonts w:hint="eastAsia"/>
                <w:noProof/>
                <w:rtl/>
              </w:rPr>
              <w:t>استصحاب</w:t>
            </w:r>
            <w:r w:rsidR="003F5942">
              <w:rPr>
                <w:noProof/>
                <w:webHidden/>
              </w:rPr>
              <w:tab/>
            </w:r>
            <w:r w:rsidR="003F5942">
              <w:rPr>
                <w:noProof/>
                <w:webHidden/>
              </w:rPr>
              <w:fldChar w:fldCharType="begin"/>
            </w:r>
            <w:r w:rsidR="003F5942">
              <w:rPr>
                <w:noProof/>
                <w:webHidden/>
              </w:rPr>
              <w:instrText xml:space="preserve"> PAGEREF _Toc128215472 \h </w:instrText>
            </w:r>
            <w:r w:rsidR="003F5942">
              <w:rPr>
                <w:noProof/>
                <w:webHidden/>
              </w:rPr>
            </w:r>
            <w:r w:rsidR="003F5942">
              <w:rPr>
                <w:noProof/>
                <w:webHidden/>
              </w:rPr>
              <w:fldChar w:fldCharType="separate"/>
            </w:r>
            <w:r w:rsidR="00DE5346">
              <w:rPr>
                <w:noProof/>
                <w:webHidden/>
                <w:rtl/>
              </w:rPr>
              <w:t>2</w:t>
            </w:r>
            <w:r w:rsidR="003F5942">
              <w:rPr>
                <w:noProof/>
                <w:webHidden/>
              </w:rPr>
              <w:fldChar w:fldCharType="end"/>
            </w:r>
          </w:hyperlink>
        </w:p>
        <w:p w:rsidR="003F5942" w:rsidRDefault="00156329" w:rsidP="003F5942">
          <w:pPr>
            <w:pStyle w:val="TOC2"/>
            <w:tabs>
              <w:tab w:val="right" w:leader="dot" w:pos="9350"/>
            </w:tabs>
            <w:rPr>
              <w:rFonts w:asciiTheme="minorHAnsi" w:eastAsiaTheme="minorEastAsia" w:hAnsiTheme="minorHAnsi" w:cstheme="minorBidi"/>
              <w:noProof/>
              <w:szCs w:val="22"/>
              <w:lang w:bidi="ar-SA"/>
            </w:rPr>
          </w:pPr>
          <w:hyperlink w:anchor="_Toc128215473" w:history="1">
            <w:r w:rsidR="003F5942" w:rsidRPr="005A2F3A">
              <w:rPr>
                <w:rStyle w:val="Hyperlink"/>
                <w:rFonts w:hint="eastAsia"/>
                <w:noProof/>
                <w:rtl/>
              </w:rPr>
              <w:t>صورت</w:t>
            </w:r>
            <w:r w:rsidR="003F5942" w:rsidRPr="005A2F3A">
              <w:rPr>
                <w:rStyle w:val="Hyperlink"/>
                <w:noProof/>
                <w:rtl/>
              </w:rPr>
              <w:t xml:space="preserve"> </w:t>
            </w:r>
            <w:r w:rsidR="003F5942" w:rsidRPr="005A2F3A">
              <w:rPr>
                <w:rStyle w:val="Hyperlink"/>
                <w:rFonts w:hint="eastAsia"/>
                <w:noProof/>
                <w:rtl/>
              </w:rPr>
              <w:t>چهارم</w:t>
            </w:r>
            <w:r w:rsidR="003F5942" w:rsidRPr="005A2F3A">
              <w:rPr>
                <w:rStyle w:val="Hyperlink"/>
                <w:noProof/>
                <w:rtl/>
              </w:rPr>
              <w:t xml:space="preserve">:  </w:t>
            </w:r>
            <w:r w:rsidR="003F5942" w:rsidRPr="005A2F3A">
              <w:rPr>
                <w:rStyle w:val="Hyperlink"/>
                <w:rFonts w:hint="eastAsia"/>
                <w:noProof/>
                <w:rtl/>
              </w:rPr>
              <w:t>توج</w:t>
            </w:r>
            <w:r w:rsidR="003F5942" w:rsidRPr="005A2F3A">
              <w:rPr>
                <w:rStyle w:val="Hyperlink"/>
                <w:rFonts w:hint="cs"/>
                <w:noProof/>
                <w:rtl/>
              </w:rPr>
              <w:t>ی</w:t>
            </w:r>
            <w:r w:rsidR="003F5942" w:rsidRPr="005A2F3A">
              <w:rPr>
                <w:rStyle w:val="Hyperlink"/>
                <w:rFonts w:hint="eastAsia"/>
                <w:noProof/>
                <w:rtl/>
              </w:rPr>
              <w:t>ه</w:t>
            </w:r>
            <w:r w:rsidR="003F5942" w:rsidRPr="005A2F3A">
              <w:rPr>
                <w:rStyle w:val="Hyperlink"/>
                <w:noProof/>
                <w:rtl/>
              </w:rPr>
              <w:t xml:space="preserve"> </w:t>
            </w:r>
            <w:r w:rsidR="003F5942" w:rsidRPr="005A2F3A">
              <w:rPr>
                <w:rStyle w:val="Hyperlink"/>
                <w:rFonts w:hint="eastAsia"/>
                <w:noProof/>
                <w:rtl/>
              </w:rPr>
              <w:t>حج</w:t>
            </w:r>
            <w:r w:rsidR="003F5942" w:rsidRPr="005A2F3A">
              <w:rPr>
                <w:rStyle w:val="Hyperlink"/>
                <w:rFonts w:hint="cs"/>
                <w:noProof/>
                <w:rtl/>
              </w:rPr>
              <w:t>ی</w:t>
            </w:r>
            <w:r w:rsidR="003F5942" w:rsidRPr="005A2F3A">
              <w:rPr>
                <w:rStyle w:val="Hyperlink"/>
                <w:rFonts w:hint="eastAsia"/>
                <w:noProof/>
                <w:rtl/>
              </w:rPr>
              <w:t>ت</w:t>
            </w:r>
            <w:r w:rsidR="003F5942" w:rsidRPr="005A2F3A">
              <w:rPr>
                <w:rStyle w:val="Hyperlink"/>
                <w:noProof/>
                <w:rtl/>
              </w:rPr>
              <w:t xml:space="preserve"> </w:t>
            </w:r>
            <w:r w:rsidR="003F5942" w:rsidRPr="005A2F3A">
              <w:rPr>
                <w:rStyle w:val="Hyperlink"/>
                <w:rFonts w:hint="eastAsia"/>
                <w:noProof/>
                <w:rtl/>
              </w:rPr>
              <w:t>فتوا</w:t>
            </w:r>
            <w:r w:rsidR="003F5942" w:rsidRPr="005A2F3A">
              <w:rPr>
                <w:rStyle w:val="Hyperlink"/>
                <w:rFonts w:hint="cs"/>
                <w:noProof/>
                <w:rtl/>
              </w:rPr>
              <w:t>ی</w:t>
            </w:r>
            <w:r w:rsidR="003F5942" w:rsidRPr="005A2F3A">
              <w:rPr>
                <w:rStyle w:val="Hyperlink"/>
                <w:noProof/>
                <w:rtl/>
              </w:rPr>
              <w:t xml:space="preserve"> </w:t>
            </w:r>
            <w:r w:rsidR="003F5942" w:rsidRPr="005A2F3A">
              <w:rPr>
                <w:rStyle w:val="Hyperlink"/>
                <w:rFonts w:hint="eastAsia"/>
                <w:noProof/>
                <w:rtl/>
              </w:rPr>
              <w:t>مجتهد</w:t>
            </w:r>
            <w:r w:rsidR="003F5942" w:rsidRPr="005A2F3A">
              <w:rPr>
                <w:rStyle w:val="Hyperlink"/>
                <w:noProof/>
                <w:rtl/>
              </w:rPr>
              <w:t xml:space="preserve"> </w:t>
            </w:r>
            <w:r w:rsidR="003F5942" w:rsidRPr="005A2F3A">
              <w:rPr>
                <w:rStyle w:val="Hyperlink"/>
                <w:rFonts w:hint="eastAsia"/>
                <w:noProof/>
                <w:rtl/>
              </w:rPr>
              <w:t>مستند</w:t>
            </w:r>
            <w:r w:rsidR="003F5942" w:rsidRPr="005A2F3A">
              <w:rPr>
                <w:rStyle w:val="Hyperlink"/>
                <w:noProof/>
                <w:rtl/>
              </w:rPr>
              <w:t xml:space="preserve"> </w:t>
            </w:r>
            <w:r w:rsidR="003F5942" w:rsidRPr="005A2F3A">
              <w:rPr>
                <w:rStyle w:val="Hyperlink"/>
                <w:rFonts w:hint="eastAsia"/>
                <w:noProof/>
                <w:rtl/>
              </w:rPr>
              <w:t>به</w:t>
            </w:r>
            <w:r w:rsidR="003F5942" w:rsidRPr="005A2F3A">
              <w:rPr>
                <w:rStyle w:val="Hyperlink"/>
                <w:noProof/>
                <w:rtl/>
              </w:rPr>
              <w:t xml:space="preserve"> </w:t>
            </w:r>
            <w:r w:rsidR="003F5942" w:rsidRPr="005A2F3A">
              <w:rPr>
                <w:rStyle w:val="Hyperlink"/>
                <w:rFonts w:hint="eastAsia"/>
                <w:noProof/>
                <w:rtl/>
              </w:rPr>
              <w:t>علم</w:t>
            </w:r>
            <w:r w:rsidR="003F5942" w:rsidRPr="005A2F3A">
              <w:rPr>
                <w:rStyle w:val="Hyperlink"/>
                <w:noProof/>
                <w:rtl/>
              </w:rPr>
              <w:t xml:space="preserve"> </w:t>
            </w:r>
            <w:r w:rsidR="003F5942" w:rsidRPr="005A2F3A">
              <w:rPr>
                <w:rStyle w:val="Hyperlink"/>
                <w:rFonts w:hint="eastAsia"/>
                <w:noProof/>
                <w:rtl/>
              </w:rPr>
              <w:t>اجمال</w:t>
            </w:r>
            <w:r w:rsidR="003F5942" w:rsidRPr="005A2F3A">
              <w:rPr>
                <w:rStyle w:val="Hyperlink"/>
                <w:rFonts w:hint="cs"/>
                <w:noProof/>
                <w:rtl/>
              </w:rPr>
              <w:t>ی</w:t>
            </w:r>
            <w:r w:rsidR="003F5942">
              <w:rPr>
                <w:noProof/>
                <w:webHidden/>
              </w:rPr>
              <w:tab/>
            </w:r>
            <w:r w:rsidR="003F5942">
              <w:rPr>
                <w:noProof/>
                <w:webHidden/>
              </w:rPr>
              <w:fldChar w:fldCharType="begin"/>
            </w:r>
            <w:r w:rsidR="003F5942">
              <w:rPr>
                <w:noProof/>
                <w:webHidden/>
              </w:rPr>
              <w:instrText xml:space="preserve"> PAGEREF _Toc128215473 \h </w:instrText>
            </w:r>
            <w:r w:rsidR="003F5942">
              <w:rPr>
                <w:noProof/>
                <w:webHidden/>
              </w:rPr>
            </w:r>
            <w:r w:rsidR="003F5942">
              <w:rPr>
                <w:noProof/>
                <w:webHidden/>
              </w:rPr>
              <w:fldChar w:fldCharType="separate"/>
            </w:r>
            <w:r w:rsidR="00DE5346">
              <w:rPr>
                <w:noProof/>
                <w:webHidden/>
                <w:rtl/>
              </w:rPr>
              <w:t>4</w:t>
            </w:r>
            <w:r w:rsidR="003F5942">
              <w:rPr>
                <w:noProof/>
                <w:webHidden/>
              </w:rPr>
              <w:fldChar w:fldCharType="end"/>
            </w:r>
          </w:hyperlink>
        </w:p>
        <w:p w:rsidR="003F5942" w:rsidRDefault="00156329" w:rsidP="003F5942">
          <w:pPr>
            <w:pStyle w:val="TOC2"/>
            <w:tabs>
              <w:tab w:val="right" w:leader="dot" w:pos="9350"/>
            </w:tabs>
            <w:rPr>
              <w:rFonts w:asciiTheme="minorHAnsi" w:eastAsiaTheme="minorEastAsia" w:hAnsiTheme="minorHAnsi" w:cstheme="minorBidi"/>
              <w:noProof/>
              <w:szCs w:val="22"/>
              <w:lang w:bidi="ar-SA"/>
            </w:rPr>
          </w:pPr>
          <w:hyperlink w:anchor="_Toc128215474" w:history="1">
            <w:r w:rsidR="003F5942" w:rsidRPr="005A2F3A">
              <w:rPr>
                <w:rStyle w:val="Hyperlink"/>
                <w:rFonts w:hint="eastAsia"/>
                <w:noProof/>
                <w:rtl/>
              </w:rPr>
              <w:t>ب</w:t>
            </w:r>
            <w:r w:rsidR="003F5942" w:rsidRPr="005A2F3A">
              <w:rPr>
                <w:rStyle w:val="Hyperlink"/>
                <w:rFonts w:hint="cs"/>
                <w:noProof/>
                <w:rtl/>
              </w:rPr>
              <w:t>ی</w:t>
            </w:r>
            <w:r w:rsidR="003F5942" w:rsidRPr="005A2F3A">
              <w:rPr>
                <w:rStyle w:val="Hyperlink"/>
                <w:rFonts w:hint="eastAsia"/>
                <w:noProof/>
                <w:rtl/>
              </w:rPr>
              <w:t>ان</w:t>
            </w:r>
            <w:r w:rsidR="003F5942" w:rsidRPr="005A2F3A">
              <w:rPr>
                <w:rStyle w:val="Hyperlink"/>
                <w:noProof/>
                <w:rtl/>
              </w:rPr>
              <w:t xml:space="preserve"> </w:t>
            </w:r>
            <w:r w:rsidR="003F5942" w:rsidRPr="005A2F3A">
              <w:rPr>
                <w:rStyle w:val="Hyperlink"/>
                <w:rFonts w:hint="eastAsia"/>
                <w:noProof/>
                <w:rtl/>
              </w:rPr>
              <w:t>چند</w:t>
            </w:r>
            <w:r w:rsidR="003F5942" w:rsidRPr="005A2F3A">
              <w:rPr>
                <w:rStyle w:val="Hyperlink"/>
                <w:noProof/>
                <w:rtl/>
              </w:rPr>
              <w:t xml:space="preserve"> </w:t>
            </w:r>
            <w:r w:rsidR="003F5942" w:rsidRPr="005A2F3A">
              <w:rPr>
                <w:rStyle w:val="Hyperlink"/>
                <w:rFonts w:hint="eastAsia"/>
                <w:noProof/>
                <w:rtl/>
              </w:rPr>
              <w:t>مورد</w:t>
            </w:r>
            <w:r w:rsidR="003F5942" w:rsidRPr="005A2F3A">
              <w:rPr>
                <w:rStyle w:val="Hyperlink"/>
                <w:noProof/>
                <w:rtl/>
              </w:rPr>
              <w:t xml:space="preserve"> </w:t>
            </w:r>
            <w:r w:rsidR="003F5942" w:rsidRPr="005A2F3A">
              <w:rPr>
                <w:rStyle w:val="Hyperlink"/>
                <w:rFonts w:hint="eastAsia"/>
                <w:noProof/>
                <w:rtl/>
              </w:rPr>
              <w:t>که</w:t>
            </w:r>
            <w:r w:rsidR="003F5942" w:rsidRPr="005A2F3A">
              <w:rPr>
                <w:rStyle w:val="Hyperlink"/>
                <w:noProof/>
                <w:rtl/>
              </w:rPr>
              <w:t xml:space="preserve"> </w:t>
            </w:r>
            <w:r w:rsidR="003F5942" w:rsidRPr="005A2F3A">
              <w:rPr>
                <w:rStyle w:val="Hyperlink"/>
                <w:rFonts w:hint="eastAsia"/>
                <w:noProof/>
                <w:rtl/>
              </w:rPr>
              <w:t>مجتهد</w:t>
            </w:r>
            <w:r w:rsidR="003F5942" w:rsidRPr="005A2F3A">
              <w:rPr>
                <w:rStyle w:val="Hyperlink"/>
                <w:rFonts w:hint="cs"/>
                <w:noProof/>
                <w:rtl/>
              </w:rPr>
              <w:t>ی</w:t>
            </w:r>
            <w:r w:rsidR="003F5942" w:rsidRPr="005A2F3A">
              <w:rPr>
                <w:rStyle w:val="Hyperlink"/>
                <w:rFonts w:hint="eastAsia"/>
                <w:noProof/>
                <w:rtl/>
              </w:rPr>
              <w:t>ن</w:t>
            </w:r>
            <w:r w:rsidR="003F5942" w:rsidRPr="005A2F3A">
              <w:rPr>
                <w:rStyle w:val="Hyperlink"/>
                <w:noProof/>
                <w:rtl/>
              </w:rPr>
              <w:t xml:space="preserve"> </w:t>
            </w:r>
            <w:r w:rsidR="003F5942" w:rsidRPr="005A2F3A">
              <w:rPr>
                <w:rStyle w:val="Hyperlink"/>
                <w:rFonts w:hint="eastAsia"/>
                <w:noProof/>
                <w:rtl/>
              </w:rPr>
              <w:t>براساس</w:t>
            </w:r>
            <w:r w:rsidR="003F5942" w:rsidRPr="005A2F3A">
              <w:rPr>
                <w:rStyle w:val="Hyperlink"/>
                <w:noProof/>
                <w:rtl/>
              </w:rPr>
              <w:t xml:space="preserve"> </w:t>
            </w:r>
            <w:r w:rsidR="003F5942" w:rsidRPr="005A2F3A">
              <w:rPr>
                <w:rStyle w:val="Hyperlink"/>
                <w:rFonts w:hint="eastAsia"/>
                <w:noProof/>
                <w:rtl/>
              </w:rPr>
              <w:t>علم</w:t>
            </w:r>
            <w:r w:rsidR="003F5942" w:rsidRPr="005A2F3A">
              <w:rPr>
                <w:rStyle w:val="Hyperlink"/>
                <w:noProof/>
                <w:rtl/>
              </w:rPr>
              <w:t xml:space="preserve"> </w:t>
            </w:r>
            <w:r w:rsidR="003F5942" w:rsidRPr="005A2F3A">
              <w:rPr>
                <w:rStyle w:val="Hyperlink"/>
                <w:rFonts w:hint="eastAsia"/>
                <w:noProof/>
                <w:rtl/>
              </w:rPr>
              <w:t>اجمال</w:t>
            </w:r>
            <w:r w:rsidR="003F5942" w:rsidRPr="005A2F3A">
              <w:rPr>
                <w:rStyle w:val="Hyperlink"/>
                <w:rFonts w:hint="cs"/>
                <w:noProof/>
                <w:rtl/>
              </w:rPr>
              <w:t>ی</w:t>
            </w:r>
            <w:r w:rsidR="003F5942" w:rsidRPr="005A2F3A">
              <w:rPr>
                <w:rStyle w:val="Hyperlink"/>
                <w:noProof/>
                <w:rtl/>
              </w:rPr>
              <w:t xml:space="preserve"> </w:t>
            </w:r>
            <w:r w:rsidR="003F5942" w:rsidRPr="005A2F3A">
              <w:rPr>
                <w:rStyle w:val="Hyperlink"/>
                <w:rFonts w:hint="eastAsia"/>
                <w:noProof/>
                <w:rtl/>
              </w:rPr>
              <w:t>خود</w:t>
            </w:r>
            <w:r w:rsidR="003F5942" w:rsidRPr="005A2F3A">
              <w:rPr>
                <w:rStyle w:val="Hyperlink"/>
                <w:noProof/>
                <w:rtl/>
              </w:rPr>
              <w:t xml:space="preserve"> </w:t>
            </w:r>
            <w:r w:rsidR="003F5942" w:rsidRPr="005A2F3A">
              <w:rPr>
                <w:rStyle w:val="Hyperlink"/>
                <w:rFonts w:hint="eastAsia"/>
                <w:noProof/>
                <w:rtl/>
              </w:rPr>
              <w:t>فتوا</w:t>
            </w:r>
            <w:r w:rsidR="003F5942" w:rsidRPr="005A2F3A">
              <w:rPr>
                <w:rStyle w:val="Hyperlink"/>
                <w:noProof/>
                <w:rtl/>
              </w:rPr>
              <w:t xml:space="preserve"> </w:t>
            </w:r>
            <w:r w:rsidR="003F5942" w:rsidRPr="005A2F3A">
              <w:rPr>
                <w:rStyle w:val="Hyperlink"/>
                <w:rFonts w:hint="eastAsia"/>
                <w:noProof/>
                <w:rtl/>
              </w:rPr>
              <w:t>به</w:t>
            </w:r>
            <w:r w:rsidR="003F5942" w:rsidRPr="005A2F3A">
              <w:rPr>
                <w:rStyle w:val="Hyperlink"/>
                <w:noProof/>
                <w:rtl/>
              </w:rPr>
              <w:t xml:space="preserve"> </w:t>
            </w:r>
            <w:r w:rsidR="003F5942" w:rsidRPr="005A2F3A">
              <w:rPr>
                <w:rStyle w:val="Hyperlink"/>
                <w:rFonts w:hint="eastAsia"/>
                <w:noProof/>
                <w:rtl/>
              </w:rPr>
              <w:t>احت</w:t>
            </w:r>
            <w:r w:rsidR="003F5942" w:rsidRPr="005A2F3A">
              <w:rPr>
                <w:rStyle w:val="Hyperlink"/>
                <w:rFonts w:hint="cs"/>
                <w:noProof/>
                <w:rtl/>
              </w:rPr>
              <w:t>ی</w:t>
            </w:r>
            <w:r w:rsidR="003F5942" w:rsidRPr="005A2F3A">
              <w:rPr>
                <w:rStyle w:val="Hyperlink"/>
                <w:rFonts w:hint="eastAsia"/>
                <w:noProof/>
                <w:rtl/>
              </w:rPr>
              <w:t>اط</w:t>
            </w:r>
            <w:r w:rsidR="003F5942" w:rsidRPr="005A2F3A">
              <w:rPr>
                <w:rStyle w:val="Hyperlink"/>
                <w:noProof/>
                <w:rtl/>
              </w:rPr>
              <w:t xml:space="preserve"> </w:t>
            </w:r>
            <w:r w:rsidR="003F5942" w:rsidRPr="005A2F3A">
              <w:rPr>
                <w:rStyle w:val="Hyperlink"/>
                <w:rFonts w:hint="eastAsia"/>
                <w:noProof/>
                <w:rtl/>
              </w:rPr>
              <w:t>دادهاند</w:t>
            </w:r>
            <w:r w:rsidR="003F5942">
              <w:rPr>
                <w:noProof/>
                <w:webHidden/>
              </w:rPr>
              <w:tab/>
            </w:r>
            <w:r w:rsidR="003F5942">
              <w:rPr>
                <w:noProof/>
                <w:webHidden/>
              </w:rPr>
              <w:fldChar w:fldCharType="begin"/>
            </w:r>
            <w:r w:rsidR="003F5942">
              <w:rPr>
                <w:noProof/>
                <w:webHidden/>
              </w:rPr>
              <w:instrText xml:space="preserve"> PAGEREF _Toc128215474 \h </w:instrText>
            </w:r>
            <w:r w:rsidR="003F5942">
              <w:rPr>
                <w:noProof/>
                <w:webHidden/>
              </w:rPr>
            </w:r>
            <w:r w:rsidR="003F5942">
              <w:rPr>
                <w:noProof/>
                <w:webHidden/>
              </w:rPr>
              <w:fldChar w:fldCharType="separate"/>
            </w:r>
            <w:r w:rsidR="00DE5346">
              <w:rPr>
                <w:noProof/>
                <w:webHidden/>
                <w:rtl/>
              </w:rPr>
              <w:t>4</w:t>
            </w:r>
            <w:r w:rsidR="003F5942">
              <w:rPr>
                <w:noProof/>
                <w:webHidden/>
              </w:rPr>
              <w:fldChar w:fldCharType="end"/>
            </w:r>
          </w:hyperlink>
        </w:p>
        <w:p w:rsidR="003F5942" w:rsidRDefault="00156329" w:rsidP="003F5942">
          <w:pPr>
            <w:pStyle w:val="TOC3"/>
            <w:tabs>
              <w:tab w:val="right" w:leader="dot" w:pos="9350"/>
            </w:tabs>
            <w:rPr>
              <w:rFonts w:asciiTheme="minorHAnsi" w:eastAsiaTheme="minorEastAsia" w:hAnsiTheme="minorHAnsi" w:cstheme="minorBidi"/>
              <w:noProof/>
              <w:szCs w:val="22"/>
              <w:lang w:bidi="ar-SA"/>
            </w:rPr>
          </w:pPr>
          <w:hyperlink w:anchor="_Toc128215475" w:history="1">
            <w:r w:rsidR="003F5942" w:rsidRPr="005A2F3A">
              <w:rPr>
                <w:rStyle w:val="Hyperlink"/>
                <w:rFonts w:hint="eastAsia"/>
                <w:noProof/>
                <w:rtl/>
              </w:rPr>
              <w:t>مثال</w:t>
            </w:r>
            <w:r w:rsidR="003F5942" w:rsidRPr="005A2F3A">
              <w:rPr>
                <w:rStyle w:val="Hyperlink"/>
                <w:noProof/>
                <w:rtl/>
              </w:rPr>
              <w:t xml:space="preserve"> </w:t>
            </w:r>
            <w:r w:rsidR="003F5942" w:rsidRPr="005A2F3A">
              <w:rPr>
                <w:rStyle w:val="Hyperlink"/>
                <w:rFonts w:hint="eastAsia"/>
                <w:noProof/>
                <w:rtl/>
              </w:rPr>
              <w:t>اول</w:t>
            </w:r>
            <w:r w:rsidR="003F5942">
              <w:rPr>
                <w:noProof/>
                <w:webHidden/>
              </w:rPr>
              <w:tab/>
            </w:r>
            <w:r w:rsidR="003F5942">
              <w:rPr>
                <w:noProof/>
                <w:webHidden/>
              </w:rPr>
              <w:fldChar w:fldCharType="begin"/>
            </w:r>
            <w:r w:rsidR="003F5942">
              <w:rPr>
                <w:noProof/>
                <w:webHidden/>
              </w:rPr>
              <w:instrText xml:space="preserve"> PAGEREF _Toc128215475 \h </w:instrText>
            </w:r>
            <w:r w:rsidR="003F5942">
              <w:rPr>
                <w:noProof/>
                <w:webHidden/>
              </w:rPr>
            </w:r>
            <w:r w:rsidR="003F5942">
              <w:rPr>
                <w:noProof/>
                <w:webHidden/>
              </w:rPr>
              <w:fldChar w:fldCharType="separate"/>
            </w:r>
            <w:r w:rsidR="00DE5346">
              <w:rPr>
                <w:noProof/>
                <w:webHidden/>
                <w:rtl/>
              </w:rPr>
              <w:t>4</w:t>
            </w:r>
            <w:r w:rsidR="003F5942">
              <w:rPr>
                <w:noProof/>
                <w:webHidden/>
              </w:rPr>
              <w:fldChar w:fldCharType="end"/>
            </w:r>
          </w:hyperlink>
        </w:p>
        <w:p w:rsidR="003F5942" w:rsidRDefault="00156329" w:rsidP="003F5942">
          <w:pPr>
            <w:pStyle w:val="TOC3"/>
            <w:tabs>
              <w:tab w:val="right" w:leader="dot" w:pos="9350"/>
            </w:tabs>
            <w:rPr>
              <w:rFonts w:asciiTheme="minorHAnsi" w:eastAsiaTheme="minorEastAsia" w:hAnsiTheme="minorHAnsi" w:cstheme="minorBidi"/>
              <w:noProof/>
              <w:szCs w:val="22"/>
              <w:lang w:bidi="ar-SA"/>
            </w:rPr>
          </w:pPr>
          <w:hyperlink w:anchor="_Toc128215476" w:history="1">
            <w:r w:rsidR="003F5942" w:rsidRPr="005A2F3A">
              <w:rPr>
                <w:rStyle w:val="Hyperlink"/>
                <w:rFonts w:hint="eastAsia"/>
                <w:noProof/>
                <w:rtl/>
              </w:rPr>
              <w:t>مثال</w:t>
            </w:r>
            <w:r w:rsidR="003F5942" w:rsidRPr="005A2F3A">
              <w:rPr>
                <w:rStyle w:val="Hyperlink"/>
                <w:noProof/>
                <w:rtl/>
              </w:rPr>
              <w:t xml:space="preserve"> </w:t>
            </w:r>
            <w:r w:rsidR="003F5942" w:rsidRPr="005A2F3A">
              <w:rPr>
                <w:rStyle w:val="Hyperlink"/>
                <w:rFonts w:hint="eastAsia"/>
                <w:noProof/>
                <w:rtl/>
              </w:rPr>
              <w:t>دوم</w:t>
            </w:r>
            <w:r w:rsidR="003F5942">
              <w:rPr>
                <w:noProof/>
                <w:webHidden/>
              </w:rPr>
              <w:tab/>
            </w:r>
            <w:r w:rsidR="003F5942">
              <w:rPr>
                <w:noProof/>
                <w:webHidden/>
              </w:rPr>
              <w:fldChar w:fldCharType="begin"/>
            </w:r>
            <w:r w:rsidR="003F5942">
              <w:rPr>
                <w:noProof/>
                <w:webHidden/>
              </w:rPr>
              <w:instrText xml:space="preserve"> PAGEREF _Toc128215476 \h </w:instrText>
            </w:r>
            <w:r w:rsidR="003F5942">
              <w:rPr>
                <w:noProof/>
                <w:webHidden/>
              </w:rPr>
            </w:r>
            <w:r w:rsidR="003F5942">
              <w:rPr>
                <w:noProof/>
                <w:webHidden/>
              </w:rPr>
              <w:fldChar w:fldCharType="separate"/>
            </w:r>
            <w:r w:rsidR="00DE5346">
              <w:rPr>
                <w:noProof/>
                <w:webHidden/>
                <w:rtl/>
              </w:rPr>
              <w:t>4</w:t>
            </w:r>
            <w:r w:rsidR="003F5942">
              <w:rPr>
                <w:noProof/>
                <w:webHidden/>
              </w:rPr>
              <w:fldChar w:fldCharType="end"/>
            </w:r>
          </w:hyperlink>
        </w:p>
        <w:p w:rsidR="003F5942" w:rsidRDefault="00156329" w:rsidP="003F5942">
          <w:pPr>
            <w:pStyle w:val="TOC1"/>
            <w:tabs>
              <w:tab w:val="right" w:leader="dot" w:pos="9350"/>
            </w:tabs>
            <w:rPr>
              <w:rFonts w:asciiTheme="minorHAnsi" w:eastAsiaTheme="minorEastAsia" w:hAnsiTheme="minorHAnsi" w:cstheme="minorBidi"/>
              <w:noProof/>
              <w:szCs w:val="22"/>
              <w:lang w:bidi="ar-SA"/>
            </w:rPr>
          </w:pPr>
          <w:hyperlink w:anchor="_Toc128215477" w:history="1">
            <w:r w:rsidR="003F5942" w:rsidRPr="005A2F3A">
              <w:rPr>
                <w:rStyle w:val="Hyperlink"/>
                <w:rFonts w:hint="eastAsia"/>
                <w:noProof/>
                <w:rtl/>
              </w:rPr>
              <w:t>مطلب</w:t>
            </w:r>
            <w:r w:rsidR="003F5942" w:rsidRPr="005A2F3A">
              <w:rPr>
                <w:rStyle w:val="Hyperlink"/>
                <w:noProof/>
                <w:rtl/>
              </w:rPr>
              <w:t xml:space="preserve"> </w:t>
            </w:r>
            <w:r w:rsidR="003F5942" w:rsidRPr="005A2F3A">
              <w:rPr>
                <w:rStyle w:val="Hyperlink"/>
                <w:rFonts w:hint="eastAsia"/>
                <w:noProof/>
                <w:rtl/>
              </w:rPr>
              <w:t>چهارم</w:t>
            </w:r>
            <w:r w:rsidR="003F5942" w:rsidRPr="005A2F3A">
              <w:rPr>
                <w:rStyle w:val="Hyperlink"/>
                <w:noProof/>
                <w:rtl/>
              </w:rPr>
              <w:t xml:space="preserve">: </w:t>
            </w:r>
            <w:r w:rsidR="003F5942" w:rsidRPr="005A2F3A">
              <w:rPr>
                <w:rStyle w:val="Hyperlink"/>
                <w:rFonts w:hint="eastAsia"/>
                <w:noProof/>
                <w:rtl/>
              </w:rPr>
              <w:t>ثلاث</w:t>
            </w:r>
            <w:r w:rsidR="003F5942" w:rsidRPr="005A2F3A">
              <w:rPr>
                <w:rStyle w:val="Hyperlink"/>
                <w:rFonts w:hint="cs"/>
                <w:noProof/>
                <w:rtl/>
              </w:rPr>
              <w:t>ی</w:t>
            </w:r>
            <w:r w:rsidR="003F5942" w:rsidRPr="005A2F3A">
              <w:rPr>
                <w:rStyle w:val="Hyperlink"/>
                <w:noProof/>
                <w:rtl/>
              </w:rPr>
              <w:t xml:space="preserve"> </w:t>
            </w:r>
            <w:r w:rsidR="003F5942" w:rsidRPr="005A2F3A">
              <w:rPr>
                <w:rStyle w:val="Hyperlink"/>
                <w:rFonts w:hint="cs"/>
                <w:noProof/>
                <w:rtl/>
              </w:rPr>
              <w:t>ی</w:t>
            </w:r>
            <w:r w:rsidR="003F5942" w:rsidRPr="005A2F3A">
              <w:rPr>
                <w:rStyle w:val="Hyperlink"/>
                <w:rFonts w:hint="eastAsia"/>
                <w:noProof/>
                <w:rtl/>
              </w:rPr>
              <w:t>ا</w:t>
            </w:r>
            <w:r w:rsidR="003F5942" w:rsidRPr="005A2F3A">
              <w:rPr>
                <w:rStyle w:val="Hyperlink"/>
                <w:noProof/>
                <w:rtl/>
              </w:rPr>
              <w:t xml:space="preserve"> </w:t>
            </w:r>
            <w:r w:rsidR="003F5942" w:rsidRPr="005A2F3A">
              <w:rPr>
                <w:rStyle w:val="Hyperlink"/>
                <w:rFonts w:hint="eastAsia"/>
                <w:noProof/>
                <w:rtl/>
              </w:rPr>
              <w:t>ثنا</w:t>
            </w:r>
            <w:r w:rsidR="003F5942" w:rsidRPr="005A2F3A">
              <w:rPr>
                <w:rStyle w:val="Hyperlink"/>
                <w:rFonts w:hint="cs"/>
                <w:noProof/>
                <w:rtl/>
              </w:rPr>
              <w:t>یی</w:t>
            </w:r>
            <w:r w:rsidR="003F5942" w:rsidRPr="005A2F3A">
              <w:rPr>
                <w:rStyle w:val="Hyperlink"/>
                <w:noProof/>
                <w:rtl/>
              </w:rPr>
              <w:t xml:space="preserve"> </w:t>
            </w:r>
            <w:r w:rsidR="003F5942" w:rsidRPr="005A2F3A">
              <w:rPr>
                <w:rStyle w:val="Hyperlink"/>
                <w:rFonts w:hint="eastAsia"/>
                <w:noProof/>
                <w:rtl/>
              </w:rPr>
              <w:t>بودن</w:t>
            </w:r>
            <w:r w:rsidR="003F5942" w:rsidRPr="005A2F3A">
              <w:rPr>
                <w:rStyle w:val="Hyperlink"/>
                <w:noProof/>
                <w:rtl/>
              </w:rPr>
              <w:t xml:space="preserve"> </w:t>
            </w:r>
            <w:r w:rsidR="003F5942" w:rsidRPr="005A2F3A">
              <w:rPr>
                <w:rStyle w:val="Hyperlink"/>
                <w:rFonts w:hint="eastAsia"/>
                <w:noProof/>
                <w:rtl/>
              </w:rPr>
              <w:t>تقس</w:t>
            </w:r>
            <w:r w:rsidR="003F5942" w:rsidRPr="005A2F3A">
              <w:rPr>
                <w:rStyle w:val="Hyperlink"/>
                <w:rFonts w:hint="cs"/>
                <w:noProof/>
                <w:rtl/>
              </w:rPr>
              <w:t>ی</w:t>
            </w:r>
            <w:r w:rsidR="003F5942" w:rsidRPr="005A2F3A">
              <w:rPr>
                <w:rStyle w:val="Hyperlink"/>
                <w:rFonts w:hint="eastAsia"/>
                <w:noProof/>
                <w:rtl/>
              </w:rPr>
              <w:t>م</w:t>
            </w:r>
            <w:r w:rsidR="003F5942">
              <w:rPr>
                <w:noProof/>
                <w:webHidden/>
              </w:rPr>
              <w:tab/>
            </w:r>
            <w:r w:rsidR="003F5942">
              <w:rPr>
                <w:noProof/>
                <w:webHidden/>
              </w:rPr>
              <w:fldChar w:fldCharType="begin"/>
            </w:r>
            <w:r w:rsidR="003F5942">
              <w:rPr>
                <w:noProof/>
                <w:webHidden/>
              </w:rPr>
              <w:instrText xml:space="preserve"> PAGEREF _Toc128215477 \h </w:instrText>
            </w:r>
            <w:r w:rsidR="003F5942">
              <w:rPr>
                <w:noProof/>
                <w:webHidden/>
              </w:rPr>
            </w:r>
            <w:r w:rsidR="003F5942">
              <w:rPr>
                <w:noProof/>
                <w:webHidden/>
              </w:rPr>
              <w:fldChar w:fldCharType="separate"/>
            </w:r>
            <w:r w:rsidR="00DE5346">
              <w:rPr>
                <w:noProof/>
                <w:webHidden/>
                <w:rtl/>
              </w:rPr>
              <w:t>6</w:t>
            </w:r>
            <w:r w:rsidR="003F5942">
              <w:rPr>
                <w:noProof/>
                <w:webHidden/>
              </w:rPr>
              <w:fldChar w:fldCharType="end"/>
            </w:r>
          </w:hyperlink>
        </w:p>
        <w:p w:rsidR="003F5942" w:rsidRDefault="003F5942" w:rsidP="003F5942">
          <w:pPr>
            <w:jc w:val="both"/>
          </w:pPr>
          <w:r>
            <w:rPr>
              <w:b/>
              <w:bCs/>
              <w:noProof/>
            </w:rPr>
            <w:fldChar w:fldCharType="end"/>
          </w:r>
        </w:p>
      </w:sdtContent>
    </w:sdt>
    <w:p w:rsidR="003F5942" w:rsidRDefault="003F5942" w:rsidP="003F5942">
      <w:pPr>
        <w:pStyle w:val="Heading1"/>
        <w:jc w:val="both"/>
        <w:rPr>
          <w:rtl/>
        </w:rPr>
      </w:pPr>
      <w:bookmarkStart w:id="73" w:name="_Toc128215470"/>
      <w:bookmarkEnd w:id="0"/>
      <w:r>
        <w:rPr>
          <w:rFonts w:hint="cs"/>
          <w:rtl/>
        </w:rPr>
        <w:t xml:space="preserve">توجیه </w:t>
      </w:r>
      <w:r w:rsidRPr="0076612E">
        <w:rPr>
          <w:rFonts w:hint="cs"/>
          <w:rtl/>
        </w:rPr>
        <w:t xml:space="preserve">حجیت فتوای مجتهد برای </w:t>
      </w:r>
      <w:r w:rsidRPr="00112310">
        <w:rPr>
          <w:rFonts w:hint="cs"/>
          <w:rtl/>
        </w:rPr>
        <w:t xml:space="preserve">مقلد </w:t>
      </w:r>
      <w:r>
        <w:rPr>
          <w:rFonts w:hint="cs"/>
          <w:rtl/>
        </w:rPr>
        <w:t>در موارد عدم علم وجدانی مجتهد به حکم شرعی</w:t>
      </w:r>
      <w:bookmarkEnd w:id="73"/>
    </w:p>
    <w:p w:rsidR="003F5942" w:rsidRDefault="003F5942" w:rsidP="003F5942">
      <w:pPr>
        <w:jc w:val="both"/>
        <w:rPr>
          <w:rtl/>
        </w:rPr>
      </w:pPr>
      <w:r>
        <w:rPr>
          <w:rFonts w:ascii="NoorLotus" w:hAnsi="NoorLotus" w:hint="cs"/>
          <w:sz w:val="28"/>
          <w:rtl/>
        </w:rPr>
        <w:t xml:space="preserve">بحث در توجیه حجیت فتوای فقیه در مواردی که فتوای او بدون علم وجدانی به حکم شرعی و بر اساس امارات و اصول عملیه باشد، بود. در صورتی که مستند فقیه بر حکم شرعی اماره باشد جواز افتاء </w:t>
      </w:r>
      <w:r>
        <w:rPr>
          <w:rFonts w:hint="cs"/>
          <w:rtl/>
        </w:rPr>
        <w:t xml:space="preserve">به حکم شرعی از باب جواز افتاء بر اساس طریق معتبر است. </w:t>
      </w:r>
    </w:p>
    <w:p w:rsidR="003F5942" w:rsidRDefault="003F5942" w:rsidP="003F5942">
      <w:pPr>
        <w:pStyle w:val="Heading2"/>
        <w:jc w:val="both"/>
        <w:rPr>
          <w:rtl/>
        </w:rPr>
      </w:pPr>
      <w:bookmarkStart w:id="74" w:name="_Toc128215471"/>
      <w:r>
        <w:rPr>
          <w:rFonts w:hint="cs"/>
          <w:rtl/>
        </w:rPr>
        <w:t>نکته ای در مورد فتوای فقیه بر اساس استصحاب</w:t>
      </w:r>
      <w:bookmarkEnd w:id="74"/>
    </w:p>
    <w:p w:rsidR="003F5942" w:rsidRPr="00A453E0" w:rsidRDefault="003F5942" w:rsidP="003F5942">
      <w:pPr>
        <w:jc w:val="both"/>
        <w:rPr>
          <w:rtl/>
        </w:rPr>
      </w:pPr>
      <w:r>
        <w:rPr>
          <w:rFonts w:hint="cs"/>
          <w:rtl/>
        </w:rPr>
        <w:t>در موردی که مستند او استصحاب باشد، چون استصحاب اصل عملی است و طریق معتبر به واقع نیست توجیه حجیت فتوای فقیه مشکل است.</w:t>
      </w:r>
    </w:p>
    <w:p w:rsidR="003F5942" w:rsidRDefault="003F5942" w:rsidP="003F5942">
      <w:pPr>
        <w:pStyle w:val="Heading2"/>
        <w:jc w:val="both"/>
        <w:rPr>
          <w:rtl/>
        </w:rPr>
      </w:pPr>
      <w:bookmarkStart w:id="75" w:name="_Toc128215472"/>
      <w:r>
        <w:rPr>
          <w:rFonts w:hint="cs"/>
          <w:rtl/>
        </w:rPr>
        <w:t>بررسی دلالت صحیحه عبد الله بن سنان بر رکنیت واقع الحدوث برای استصحاب</w:t>
      </w:r>
      <w:bookmarkEnd w:id="75"/>
    </w:p>
    <w:p w:rsidR="003F5942" w:rsidRDefault="003F5942" w:rsidP="003F5942">
      <w:pPr>
        <w:jc w:val="both"/>
        <w:rPr>
          <w:rtl/>
        </w:rPr>
      </w:pPr>
      <w:r>
        <w:rPr>
          <w:rFonts w:hint="cs"/>
          <w:rtl/>
        </w:rPr>
        <w:t>شهید صدر</w:t>
      </w:r>
      <w:r w:rsidRPr="001A5FDB">
        <w:rPr>
          <w:rStyle w:val="FootnoteReference"/>
          <w:rFonts w:ascii="NoorLotus" w:eastAsia="Batang" w:hAnsi="NoorLotus"/>
          <w:sz w:val="28"/>
          <w:rtl/>
        </w:rPr>
        <w:footnoteReference w:id="1"/>
      </w:r>
      <w:r>
        <w:rPr>
          <w:rFonts w:hint="cs"/>
          <w:rtl/>
        </w:rPr>
        <w:t xml:space="preserve"> رحمه الله و آیت الله زنجانی حفظه الله فرموده‌اند: مستفاد از صحیحه عبدالله بن سنان این است که رکن استصحاب واقع حدوث است نه یقین به حدوث، و عامی ولو یقین به حدوث وجوب نماز جمعه در عصر حضور ندارد ولی همین که واقع حدوث ثابت است کافی است برای این که عامی نیز مشمول دلیل استصحاب شود البته خودش متوجه نیست ولی مجتهد به او خبر می‌دهد که نماز جمعه به مقتضای استصحابی که در حق تو جاری است، بر تو واجب است </w:t>
      </w:r>
    </w:p>
    <w:p w:rsidR="003F5942" w:rsidRDefault="003F5942" w:rsidP="003F5942">
      <w:pPr>
        <w:jc w:val="both"/>
        <w:rPr>
          <w:rtl/>
        </w:rPr>
      </w:pPr>
      <w:r>
        <w:rPr>
          <w:rFonts w:hint="cs"/>
          <w:rtl/>
        </w:rPr>
        <w:lastRenderedPageBreak/>
        <w:t>ولی این کلام تمام نیست چون اولا: مفاد این صحیحه مسلم نیست که استصحاب باشد بلکه شاید قاعده طهارت باشد. ثانیا: بر فرض تمامیت دلالت آن بر استصحاب، شاید مراد از «</w:t>
      </w:r>
      <w:r>
        <w:rPr>
          <w:rFonts w:ascii="NoorLotus" w:hAnsi="NoorLotus"/>
          <w:sz w:val="28"/>
          <w:rtl/>
        </w:rPr>
        <w:t>ان اعرته ایاه و هو طاهر</w:t>
      </w:r>
      <w:r>
        <w:rPr>
          <w:rFonts w:hint="cs"/>
          <w:rtl/>
        </w:rPr>
        <w:t>»</w:t>
      </w:r>
      <w:r w:rsidRPr="001A5FDB">
        <w:rPr>
          <w:rStyle w:val="FootnoteReference"/>
          <w:rFonts w:ascii="NoorLotus" w:eastAsia="Batang" w:hAnsi="NoorLotus"/>
          <w:sz w:val="28"/>
          <w:rtl/>
        </w:rPr>
        <w:footnoteReference w:id="2"/>
      </w:r>
      <w:r>
        <w:rPr>
          <w:rFonts w:hint="cs"/>
          <w:rtl/>
        </w:rPr>
        <w:t xml:space="preserve"> تنبیه به این است که تو قطعا یقین به طهارت داشتی و شاهد این مطلب روایات دیگری است که یقین به حدوث را به عنوان رکن استصحاب بیان کرده است. </w:t>
      </w:r>
    </w:p>
    <w:p w:rsidR="003F5942" w:rsidRDefault="003F5942" w:rsidP="003F5942">
      <w:pPr>
        <w:jc w:val="both"/>
        <w:rPr>
          <w:rtl/>
        </w:rPr>
      </w:pPr>
      <w:r>
        <w:rPr>
          <w:rFonts w:hint="cs"/>
          <w:rtl/>
        </w:rPr>
        <w:t>آیت الله سیستانی فرموده‌اند: دلالت این صحیحه بر استصحاب و رکنیت واقع الحدوث تمام است ولی این روایت معارض با صحیحه‌ی دیگری از ابن سنان است که در آن آمده «</w:t>
      </w:r>
      <w:r w:rsidRPr="00BF0994">
        <w:rPr>
          <w:rFonts w:ascii="NoorLotus" w:hAnsi="NoorLotus"/>
          <w:sz w:val="28"/>
          <w:rtl/>
        </w:rPr>
        <w:t>لاتصل فیه حتی تغسله</w:t>
      </w:r>
      <w:r>
        <w:rPr>
          <w:rFonts w:hint="cs"/>
          <w:rtl/>
        </w:rPr>
        <w:t>»</w:t>
      </w:r>
      <w:r>
        <w:rPr>
          <w:rStyle w:val="FootnoteReference"/>
          <w:rtl/>
        </w:rPr>
        <w:footnoteReference w:id="3"/>
      </w:r>
      <w:r>
        <w:rPr>
          <w:rFonts w:hint="cs"/>
          <w:rtl/>
        </w:rPr>
        <w:t xml:space="preserve"> و مفاد آن عدم اعتناء به طهارت سابق است، و مورد آن نیز این است که لباسش را به ذمی می‌دهد و شک می کند که آن را نجس کرده است یا نه. و از این جهت نمی‌توان به مفاد صحیحه اولی ابن سنان اخذ کرد.</w:t>
      </w:r>
    </w:p>
    <w:p w:rsidR="003F5942" w:rsidRDefault="003F5942" w:rsidP="003F5942">
      <w:pPr>
        <w:jc w:val="both"/>
        <w:rPr>
          <w:rtl/>
        </w:rPr>
      </w:pPr>
      <w:r>
        <w:rPr>
          <w:rFonts w:hint="cs"/>
          <w:rtl/>
        </w:rPr>
        <w:t>این کلام نیز تمام نیست زیرا اگر این دو صحیحه حاکی از یک حدیث باشند که بعید نیز نیست، اطمینان پیدا می‌کنیم به این که صحیحه اولی درست است چون بعید است که راوی این همه اشتباه در نقل داشته باشد و امام علیه السلام فرموده باشند: «لاتصل فیه حتی تغسله» و ابن سنان بگوید: امام علیه السلام فرموده‌اند «</w:t>
      </w:r>
      <w:r w:rsidRPr="00112310">
        <w:rPr>
          <w:rFonts w:ascii="NoorLotus" w:hAnsi="NoorLotus"/>
          <w:sz w:val="28"/>
          <w:rtl/>
        </w:rPr>
        <w:t xml:space="preserve"> </w:t>
      </w:r>
      <w:r w:rsidRPr="00BF0994">
        <w:rPr>
          <w:rFonts w:ascii="NoorLotus" w:hAnsi="NoorLotus"/>
          <w:sz w:val="28"/>
          <w:rtl/>
        </w:rPr>
        <w:t>لاتغسله من اجل ذلک فانک اعرته ایاه و هو طاهر و لم تستیقن انه نجسه فلابأس ان تصلی فیه حتی تستیقن انه نجسه</w:t>
      </w:r>
      <w:r>
        <w:rPr>
          <w:rFonts w:ascii="NoorLotus" w:hAnsi="NoorLotus" w:hint="cs"/>
          <w:sz w:val="28"/>
          <w:rtl/>
        </w:rPr>
        <w:t>.</w:t>
      </w:r>
      <w:r>
        <w:rPr>
          <w:rFonts w:hint="cs"/>
          <w:rtl/>
        </w:rPr>
        <w:t>» و اگر دو حدیث از امام علیه السلام صادر شده باشد نیز با هم تعارض ندارند زیرا جمع عرفی دارند و جمع عرفی آن دو  به حمل صحیحه ثانیه بر کراهت است.</w:t>
      </w:r>
    </w:p>
    <w:p w:rsidR="003F5942" w:rsidRDefault="003F5942" w:rsidP="003F5942">
      <w:pPr>
        <w:jc w:val="both"/>
        <w:rPr>
          <w:rtl/>
        </w:rPr>
      </w:pPr>
      <w:r>
        <w:rPr>
          <w:rFonts w:hint="cs"/>
          <w:rtl/>
        </w:rPr>
        <w:t xml:space="preserve">بنابراین صحیحه اولی ابن سنان از این جهت مشکل ندارد و مشکل در اصل دلالت آن بر رکنیت واقع الحدوث در استصحاب است. </w:t>
      </w:r>
    </w:p>
    <w:p w:rsidR="003F5942" w:rsidRDefault="003F5942" w:rsidP="003F5942">
      <w:pPr>
        <w:jc w:val="both"/>
        <w:rPr>
          <w:rtl/>
        </w:rPr>
      </w:pPr>
      <w:r>
        <w:rPr>
          <w:rFonts w:hint="cs"/>
          <w:rtl/>
        </w:rPr>
        <w:t xml:space="preserve">لذا با توجه به این که دلیلی بر مسلک نیابت وجود ندارد تنها توجیه فتوای مجتهد در این مورد، تقلید طولی است و </w:t>
      </w:r>
      <w:r w:rsidRPr="00BF0994">
        <w:rPr>
          <w:rFonts w:ascii="NoorLotus" w:hAnsi="NoorLotus"/>
          <w:sz w:val="28"/>
          <w:rtl/>
        </w:rPr>
        <w:t xml:space="preserve">مجتهدی که ملتفت است </w:t>
      </w:r>
      <w:r>
        <w:rPr>
          <w:rFonts w:ascii="NoorLotus" w:hAnsi="NoorLotus" w:hint="cs"/>
          <w:sz w:val="28"/>
          <w:rtl/>
        </w:rPr>
        <w:t xml:space="preserve">باید </w:t>
      </w:r>
      <w:r>
        <w:rPr>
          <w:rFonts w:ascii="NoorLotus" w:hAnsi="NoorLotus"/>
          <w:sz w:val="28"/>
          <w:rtl/>
        </w:rPr>
        <w:t>در رساله عملیه</w:t>
      </w:r>
      <w:r>
        <w:rPr>
          <w:rFonts w:ascii="NoorLotus" w:hAnsi="NoorLotus" w:hint="cs"/>
          <w:sz w:val="28"/>
          <w:rtl/>
        </w:rPr>
        <w:t xml:space="preserve"> خود</w:t>
      </w:r>
      <w:r w:rsidRPr="00BF0994">
        <w:rPr>
          <w:rFonts w:ascii="NoorLotus" w:hAnsi="NoorLotus"/>
          <w:sz w:val="28"/>
          <w:rtl/>
        </w:rPr>
        <w:t xml:space="preserve"> </w:t>
      </w:r>
      <w:r>
        <w:rPr>
          <w:rFonts w:ascii="NoorLotus" w:hAnsi="NoorLotus"/>
          <w:sz w:val="28"/>
          <w:rtl/>
        </w:rPr>
        <w:t>اشاره کند به حالت سابقه این حکم</w:t>
      </w:r>
      <w:r>
        <w:rPr>
          <w:rFonts w:ascii="NoorLotus" w:hAnsi="NoorLotus" w:hint="cs"/>
          <w:sz w:val="28"/>
          <w:rtl/>
        </w:rPr>
        <w:t xml:space="preserve"> و</w:t>
      </w:r>
      <w:r w:rsidRPr="00BF0994">
        <w:rPr>
          <w:rFonts w:ascii="NoorLotus" w:hAnsi="NoorLotus"/>
          <w:sz w:val="28"/>
          <w:rtl/>
        </w:rPr>
        <w:t xml:space="preserve"> بگوید </w:t>
      </w:r>
      <w:r>
        <w:rPr>
          <w:rFonts w:ascii="NoorLotus" w:hAnsi="NoorLotus" w:hint="cs"/>
          <w:sz w:val="28"/>
          <w:rtl/>
        </w:rPr>
        <w:t>«</w:t>
      </w:r>
      <w:r w:rsidRPr="00BF0994">
        <w:rPr>
          <w:rFonts w:ascii="NoorLotus" w:hAnsi="NoorLotus"/>
          <w:sz w:val="28"/>
          <w:rtl/>
        </w:rPr>
        <w:t>همان گونه که نماز جمعه در عصر حضور واجب بوده است در عصر غیبت هم واجب است.</w:t>
      </w:r>
      <w:r>
        <w:rPr>
          <w:rFonts w:ascii="NoorLotus" w:hAnsi="NoorLotus" w:hint="cs"/>
          <w:sz w:val="28"/>
          <w:rtl/>
        </w:rPr>
        <w:t>»</w:t>
      </w:r>
    </w:p>
    <w:p w:rsidR="003F5942" w:rsidRDefault="003F5942" w:rsidP="003F5942">
      <w:pPr>
        <w:jc w:val="both"/>
        <w:rPr>
          <w:rtl/>
        </w:rPr>
      </w:pPr>
      <w:r>
        <w:rPr>
          <w:rFonts w:hint="cs"/>
          <w:rtl/>
        </w:rPr>
        <w:t>ان قلت: بنابر مسلک تقلید طولی وقتی مقلد قبل از فتوای طولی مجتهد موضوع برائت است چرا مجتهد با بیان حالت سابقه برای او، موجب می‌شود که او موضوع استصحاب شود و به زحمت بیفتد، و مقتضای شریعت سهله بودن اسلام نیز این است که مجتهد با عدم بیان حالت سابقه به عوام موجب آسان شدن امور بر آن‌ها شود.</w:t>
      </w:r>
    </w:p>
    <w:p w:rsidR="003F5942" w:rsidRDefault="003F5942" w:rsidP="003F5942">
      <w:pPr>
        <w:jc w:val="both"/>
        <w:rPr>
          <w:rtl/>
        </w:rPr>
      </w:pPr>
      <w:r>
        <w:rPr>
          <w:rFonts w:hint="cs"/>
          <w:rtl/>
        </w:rPr>
        <w:t xml:space="preserve"> قلت: در صورتی که مجتهد اطمینان دارد که هیچ مجتهدی در عالم حاضر نیست حالت سابقه را حتی در صورت درخواست خود عوام به آن‌ها بیان کند، و همچنین ملتزم شویم که فحص و یاس عامی به فحص و یأس از فتوای معتبر است، می‌توان به مجتهد گفت شما نیز حالت سابقه را به مکلف بیان نکنید تا او عاجز از تعلم اماره بر حدوث تکلیف و همچنین تعلم از اماره بر بقاء تکلیف در عصر غیبت شود، زیرا در این صورت عامی موضوع برای برائت می‌شود چون او فحص کرد و یاس از فتوای معتبر پیدا کرده است. زیرا همانطور که آیت الله تبریزی رحمه الله و آیت الله سیستانی حفظه الله در بحث استدلالی خود فرموده‌اند: متعلق «هلاتعلمت» در حق عامی، تعلم از فتوای معتبر است لذا اگر عامی در حرمت حلق لحیه شک کند و هیچ مجتهدی حاضر به بیان حکم او نشود، و یا فتوای دو مجتهد مساوی در این مسأله با هم </w:t>
      </w:r>
      <w:r>
        <w:rPr>
          <w:rFonts w:hint="cs"/>
          <w:rtl/>
        </w:rPr>
        <w:lastRenderedPageBreak/>
        <w:t xml:space="preserve">تنافی داشته باشد یکی قائل به حرمت و دیگری قائل به حلیت باشد، او موضوع برای برائت می‌شود زیرا فحص کرد و فتوای معتبره بلامعارض پیدا نکرد. </w:t>
      </w:r>
    </w:p>
    <w:p w:rsidR="003F5942" w:rsidRDefault="003F5942" w:rsidP="003F5942">
      <w:pPr>
        <w:jc w:val="both"/>
        <w:rPr>
          <w:rtl/>
        </w:rPr>
      </w:pPr>
      <w:r>
        <w:rPr>
          <w:rFonts w:hint="cs"/>
          <w:rtl/>
        </w:rPr>
        <w:t>ولی اولا: تضمینی برای اباء تمام مجتهدین از بیان حدوث تکلیف به عامی وجود ندارد و اگر یک مجتهد حاضر به بیان حدوث تکلیف در سابق به عامی شود او مشمول دلیل برائت نیست. ثانیا: همانطور که مرحوم سید یزدی و محقق خویی رحمهما الله فرموده‌اند: هلاتعلمت اطلاق دارد و ظاهر آن این است که شبهه حکمیه قبل از فحص مشمول دلیل برائت نمی‌شود، و فحص عامی صرف فحص از فتوای معتبر نیست بلکه در صورت اباء مجتهدین از بیان فتوا اگر احتمال داده شود که با درس خواندن و بررسی روایات کتاب وسایل الشیعه ممکن است به اماره متعبره‌ای بر حرمت حلق لحیه دست پیدا کند، دیگر مشمول دلیل برائت  نمی‌شود.</w:t>
      </w:r>
    </w:p>
    <w:p w:rsidR="003F5942" w:rsidRPr="00A453E0" w:rsidRDefault="003F5942" w:rsidP="003F5942">
      <w:pPr>
        <w:pStyle w:val="Heading2"/>
        <w:jc w:val="both"/>
        <w:rPr>
          <w:rtl/>
        </w:rPr>
      </w:pPr>
      <w:bookmarkStart w:id="76" w:name="_Toc128215473"/>
      <w:r>
        <w:rPr>
          <w:rFonts w:hint="cs"/>
          <w:rtl/>
        </w:rPr>
        <w:t>صورت چهارم:  توجیه حجیت فتوای مجتهد مستند به علم اجمالی</w:t>
      </w:r>
      <w:bookmarkEnd w:id="76"/>
      <w:r>
        <w:rPr>
          <w:rFonts w:hint="cs"/>
          <w:rtl/>
        </w:rPr>
        <w:t xml:space="preserve"> </w:t>
      </w:r>
    </w:p>
    <w:p w:rsidR="003F5942" w:rsidRDefault="003F5942" w:rsidP="003F5942">
      <w:pPr>
        <w:jc w:val="both"/>
        <w:rPr>
          <w:rtl/>
        </w:rPr>
      </w:pPr>
      <w:r>
        <w:rPr>
          <w:rFonts w:hint="cs"/>
          <w:rtl/>
        </w:rPr>
        <w:t xml:space="preserve">در مواردی که مجتهد براساس علم اجمالی خود فتوا به احتیاط می‌دهد که دأب علماء نیز همین است این حکم خود او است که علم اجمالی دارد و عامی که چنین علم اجمالی ندارد موضوع برای اصل احتیاط نیست. و اصلا گاهی آن علم اجمالی حتی به ذهن بسیاری از علماء نیز نرسیده است چه رسد به عوام و فقط به ذهن او رسیده است. </w:t>
      </w:r>
    </w:p>
    <w:p w:rsidR="003F5942" w:rsidRDefault="003F5942" w:rsidP="003F5942">
      <w:pPr>
        <w:pStyle w:val="Heading2"/>
        <w:jc w:val="both"/>
        <w:rPr>
          <w:rtl/>
        </w:rPr>
      </w:pPr>
      <w:bookmarkStart w:id="77" w:name="_Toc128215474"/>
      <w:r>
        <w:rPr>
          <w:rFonts w:hint="cs"/>
          <w:rtl/>
        </w:rPr>
        <w:t>بیان چند مورد که مجتهدین براساس علم اجمالی خود فتوا به احتیاط داده</w:t>
      </w:r>
      <w:r>
        <w:rPr>
          <w:rtl/>
        </w:rPr>
        <w:softHyphen/>
      </w:r>
      <w:r>
        <w:rPr>
          <w:rFonts w:hint="cs"/>
          <w:rtl/>
        </w:rPr>
        <w:t>اند</w:t>
      </w:r>
      <w:bookmarkEnd w:id="77"/>
    </w:p>
    <w:p w:rsidR="003F5942" w:rsidRDefault="003F5942" w:rsidP="003F5942">
      <w:pPr>
        <w:pStyle w:val="Heading3"/>
        <w:jc w:val="both"/>
        <w:rPr>
          <w:rtl/>
        </w:rPr>
      </w:pPr>
      <w:bookmarkStart w:id="78" w:name="_Toc128215475"/>
      <w:r>
        <w:rPr>
          <w:rFonts w:hint="cs"/>
          <w:rtl/>
        </w:rPr>
        <w:t>مثال اول</w:t>
      </w:r>
      <w:bookmarkEnd w:id="78"/>
    </w:p>
    <w:p w:rsidR="003F5942" w:rsidRDefault="003F5942" w:rsidP="003F5942">
      <w:pPr>
        <w:jc w:val="both"/>
        <w:rPr>
          <w:rtl/>
        </w:rPr>
      </w:pPr>
      <w:r>
        <w:rPr>
          <w:rFonts w:hint="cs"/>
          <w:rtl/>
        </w:rPr>
        <w:t>محقق خویی رحمه الله فرموده‌اند: در مواردی که صائم نمی‌داند فلان قول را خداوند بیان کرد یا بیان نکرد اگر بگوید خداوند این قول را گفت و یا بگوید این قول را نگفت، روزه او باطل است. زیرا گرچه کذب علی الله مبطل صوم است و قول به غیر علم کذب نیست ولی چون در موارد قول به غیر علم مکلف علم اجمالی دارد به این که یا اخبار به این که خداوند این را فرموده است کذب علی الله و مبطل صوم است و یا اخبار به این که خداوند این را بیان نکرده است کذب علی الله و مبطل صوم است، و هر قول به غیر علمی چنین است. و این علم اجمالی منجز است و موجب می‌شود که مکلف هر طرف را انتخاب کند و بگوید، روزه‌اش باطل شود زیرا به نظر مشهور کذب علی الله و علی رسوله مبطل صوم است.</w:t>
      </w:r>
    </w:p>
    <w:p w:rsidR="003F5942" w:rsidRDefault="003F5942" w:rsidP="003F5942">
      <w:pPr>
        <w:jc w:val="both"/>
        <w:rPr>
          <w:rtl/>
        </w:rPr>
      </w:pPr>
      <w:r>
        <w:rPr>
          <w:rFonts w:hint="cs"/>
          <w:rtl/>
        </w:rPr>
        <w:t>در حالی که چنین علم اجمالی در ذهن عوام وجود ندارد و بدون این که ابتدا آن‌ها را متوجه وجود چنین علمی کنید و به آن‌ها بگویید: «</w:t>
      </w:r>
      <w:r w:rsidRPr="00BF0994">
        <w:rPr>
          <w:rFonts w:ascii="NoorLotus" w:hAnsi="NoorLotus"/>
          <w:sz w:val="28"/>
          <w:rtl/>
        </w:rPr>
        <w:t>یوجد هنا علم اجمالی و لاجل ذلک نقول بلزوم الاحتیاط</w:t>
      </w:r>
      <w:r>
        <w:rPr>
          <w:rFonts w:ascii="NoorLotus" w:hAnsi="NoorLotus" w:hint="cs"/>
          <w:sz w:val="28"/>
          <w:rtl/>
        </w:rPr>
        <w:t>»</w:t>
      </w:r>
      <w:r>
        <w:rPr>
          <w:rFonts w:hint="cs"/>
          <w:rtl/>
        </w:rPr>
        <w:t xml:space="preserve"> تا آن‌ها نیز علم اجمالی پیدا کنند</w:t>
      </w:r>
      <w:r w:rsidRPr="00BF0994">
        <w:rPr>
          <w:rFonts w:ascii="NoorLotus" w:hAnsi="NoorLotus"/>
          <w:sz w:val="28"/>
          <w:rtl/>
        </w:rPr>
        <w:t xml:space="preserve"> </w:t>
      </w:r>
      <w:r>
        <w:rPr>
          <w:rFonts w:ascii="NoorLotus" w:hAnsi="NoorLotus" w:hint="cs"/>
          <w:sz w:val="28"/>
          <w:rtl/>
        </w:rPr>
        <w:t>و</w:t>
      </w:r>
      <w:r w:rsidRPr="00BF0994">
        <w:rPr>
          <w:rFonts w:ascii="NoorLotus" w:hAnsi="NoorLotus"/>
          <w:sz w:val="28"/>
          <w:rtl/>
        </w:rPr>
        <w:t xml:space="preserve"> تقلید طولی</w:t>
      </w:r>
      <w:r>
        <w:rPr>
          <w:rFonts w:hint="cs"/>
          <w:rtl/>
        </w:rPr>
        <w:t xml:space="preserve"> شود، فتوا به احتیاط دهید، درست نیست.</w:t>
      </w:r>
    </w:p>
    <w:p w:rsidR="003F5942" w:rsidRDefault="003F5942" w:rsidP="003F5942">
      <w:pPr>
        <w:pStyle w:val="Heading3"/>
        <w:jc w:val="both"/>
        <w:rPr>
          <w:rtl/>
        </w:rPr>
      </w:pPr>
      <w:bookmarkStart w:id="79" w:name="_Toc128215476"/>
      <w:r w:rsidRPr="00877096">
        <w:rPr>
          <w:rFonts w:hint="cs"/>
          <w:rtl/>
        </w:rPr>
        <w:t>مثال دوم</w:t>
      </w:r>
      <w:bookmarkEnd w:id="79"/>
    </w:p>
    <w:p w:rsidR="003F5942" w:rsidRDefault="003F5942" w:rsidP="003F5942">
      <w:pPr>
        <w:jc w:val="both"/>
        <w:rPr>
          <w:rFonts w:ascii="NoorLotus" w:hAnsi="NoorLotus"/>
          <w:sz w:val="28"/>
          <w:rtl/>
        </w:rPr>
      </w:pPr>
      <w:r>
        <w:rPr>
          <w:rFonts w:hint="cs"/>
          <w:rtl/>
        </w:rPr>
        <w:t xml:space="preserve">شخصی جنب بود و نماز خواند و بعد از نماز شک کرد که با غسل نماز خوانده یا بدون غسل، محقق خویی رحمه الله فرموده‌اند: در صورتی که محدث به حدث اصغر نشده باشد نسبت به این نماز قاعده فراغ و نسبت به نمازهای بعدی استحصاب بقاء جنابت جاری می‌شود لذا برای نمازهای بعدی باید غسل کند. ولی اگر محدث به حدث اصغر باشد، علم اجمالی وجود دارد </w:t>
      </w:r>
      <w:r>
        <w:rPr>
          <w:rFonts w:ascii="NoorLotus" w:hAnsi="NoorLotus" w:hint="cs"/>
          <w:sz w:val="28"/>
          <w:rtl/>
        </w:rPr>
        <w:t>به این که</w:t>
      </w:r>
      <w:r>
        <w:rPr>
          <w:rFonts w:ascii="NoorLotus" w:hAnsi="NoorLotus"/>
          <w:sz w:val="28"/>
          <w:rtl/>
        </w:rPr>
        <w:t xml:space="preserve"> یا قبل از این نماز که خواند غسل نکرده است پس </w:t>
      </w:r>
      <w:r>
        <w:rPr>
          <w:rFonts w:ascii="NoorLotus" w:hAnsi="NoorLotus" w:hint="cs"/>
          <w:sz w:val="28"/>
          <w:rtl/>
        </w:rPr>
        <w:t xml:space="preserve">اعاده آن </w:t>
      </w:r>
      <w:r>
        <w:rPr>
          <w:rFonts w:ascii="NoorLotus" w:hAnsi="NoorLotus"/>
          <w:sz w:val="28"/>
          <w:rtl/>
        </w:rPr>
        <w:t>واجب است، یا قبل از این نماز غسل کرده است پس برای نماز بعدی</w:t>
      </w:r>
      <w:r>
        <w:rPr>
          <w:rFonts w:ascii="NoorLotus" w:hAnsi="NoorLotus" w:hint="cs"/>
          <w:sz w:val="28"/>
          <w:rtl/>
        </w:rPr>
        <w:t xml:space="preserve"> وضوء واجب است</w:t>
      </w:r>
      <w:r>
        <w:rPr>
          <w:rFonts w:ascii="NoorLotus" w:hAnsi="NoorLotus"/>
          <w:sz w:val="28"/>
          <w:rtl/>
        </w:rPr>
        <w:t>،‌</w:t>
      </w:r>
      <w:r>
        <w:rPr>
          <w:rFonts w:ascii="NoorLotus" w:hAnsi="NoorLotus" w:hint="cs"/>
          <w:sz w:val="28"/>
          <w:rtl/>
        </w:rPr>
        <w:t xml:space="preserve"> </w:t>
      </w:r>
      <w:r>
        <w:rPr>
          <w:rFonts w:ascii="NoorLotus" w:hAnsi="NoorLotus"/>
          <w:sz w:val="28"/>
          <w:rtl/>
        </w:rPr>
        <w:t>و غسل احتیاطی برای نماز بعدی کافی نیست،</w:t>
      </w:r>
      <w:r>
        <w:rPr>
          <w:rFonts w:ascii="NoorLotus" w:hAnsi="NoorLotus" w:hint="cs"/>
          <w:sz w:val="28"/>
          <w:rtl/>
        </w:rPr>
        <w:t xml:space="preserve"> و در این صورت</w:t>
      </w:r>
      <w:r>
        <w:rPr>
          <w:rFonts w:ascii="NoorLotus" w:hAnsi="NoorLotus"/>
          <w:sz w:val="28"/>
          <w:rtl/>
        </w:rPr>
        <w:t xml:space="preserve"> قاعده فراغ در نماز قبلی با استصحاب بقاء جنابت که اثرش این است که این غسل احتیاطی که </w:t>
      </w:r>
      <w:r>
        <w:rPr>
          <w:rFonts w:ascii="NoorLotus" w:hAnsi="NoorLotus" w:hint="cs"/>
          <w:sz w:val="28"/>
          <w:rtl/>
        </w:rPr>
        <w:t>بعد از نماز می‌خواهد انجام دهد</w:t>
      </w:r>
      <w:r>
        <w:rPr>
          <w:rFonts w:ascii="NoorLotus" w:hAnsi="NoorLotus"/>
          <w:sz w:val="28"/>
          <w:rtl/>
        </w:rPr>
        <w:t xml:space="preserve"> </w:t>
      </w:r>
      <w:r>
        <w:rPr>
          <w:rFonts w:ascii="NoorLotus" w:hAnsi="NoorLotus" w:hint="cs"/>
          <w:sz w:val="28"/>
          <w:rtl/>
        </w:rPr>
        <w:t>مغ</w:t>
      </w:r>
      <w:r>
        <w:rPr>
          <w:rFonts w:ascii="NoorLotus" w:hAnsi="NoorLotus"/>
          <w:sz w:val="28"/>
          <w:rtl/>
        </w:rPr>
        <w:t>نی</w:t>
      </w:r>
      <w:r>
        <w:rPr>
          <w:rFonts w:ascii="NoorLotus" w:hAnsi="NoorLotus" w:hint="cs"/>
          <w:sz w:val="28"/>
          <w:rtl/>
        </w:rPr>
        <w:t xml:space="preserve"> از وضوء است و دیگر برای نمازهای بعدی وضوء واجب نیست، </w:t>
      </w:r>
      <w:r>
        <w:rPr>
          <w:rFonts w:ascii="NoorLotus" w:hAnsi="NoorLotus"/>
          <w:sz w:val="28"/>
          <w:rtl/>
        </w:rPr>
        <w:t xml:space="preserve">تعارض </w:t>
      </w:r>
      <w:r>
        <w:rPr>
          <w:rFonts w:ascii="NoorLotus" w:hAnsi="NoorLotus" w:hint="cs"/>
          <w:sz w:val="28"/>
          <w:rtl/>
        </w:rPr>
        <w:t xml:space="preserve">و </w:t>
      </w:r>
      <w:r>
        <w:rPr>
          <w:rFonts w:ascii="NoorLotus" w:hAnsi="NoorLotus"/>
          <w:sz w:val="28"/>
          <w:rtl/>
        </w:rPr>
        <w:t>تساقط می</w:t>
      </w:r>
      <w:r>
        <w:rPr>
          <w:rFonts w:ascii="NoorLotus" w:hAnsi="NoorLotus" w:hint="cs"/>
          <w:sz w:val="28"/>
          <w:rtl/>
        </w:rPr>
        <w:t>‌</w:t>
      </w:r>
      <w:r>
        <w:rPr>
          <w:rFonts w:ascii="NoorLotus" w:hAnsi="NoorLotus"/>
          <w:sz w:val="28"/>
          <w:rtl/>
        </w:rPr>
        <w:t xml:space="preserve">کنند، </w:t>
      </w:r>
      <w:r>
        <w:rPr>
          <w:rFonts w:ascii="NoorLotus" w:hAnsi="NoorLotus" w:hint="cs"/>
          <w:sz w:val="28"/>
          <w:rtl/>
        </w:rPr>
        <w:t xml:space="preserve">لذا باید احتیاط کند. </w:t>
      </w:r>
    </w:p>
    <w:p w:rsidR="003F5942" w:rsidRDefault="003F5942" w:rsidP="003F5942">
      <w:pPr>
        <w:jc w:val="both"/>
        <w:rPr>
          <w:rtl/>
        </w:rPr>
      </w:pPr>
      <w:r>
        <w:rPr>
          <w:rFonts w:hint="cs"/>
          <w:rtl/>
        </w:rPr>
        <w:t xml:space="preserve">و براین اساس ایشان فتوا می‌دهند به این که باید غسل کند و صلاتی که خوانده است را اعاده نماید. در حالی که علماء نیز به سختی متوجه این علم اجمالی می‌شوند، و شما براساس آن فتوا به وجوب احتیاط می‌دهید در حالی که موضوع وجوب احتیاط در حق دیگران محقق نشده است. </w:t>
      </w:r>
    </w:p>
    <w:p w:rsidR="003F5942" w:rsidRDefault="003F5942" w:rsidP="003F5942">
      <w:pPr>
        <w:jc w:val="both"/>
        <w:rPr>
          <w:rtl/>
        </w:rPr>
      </w:pPr>
      <w:r>
        <w:rPr>
          <w:rFonts w:hint="cs"/>
          <w:rtl/>
        </w:rPr>
        <w:t>ممکن است در توجیه این فتوای مجتهد گفته شود خود عامی نیز علم اجمالی دارد ولو خودش متوجه نیست، در این صورت عامی نیز موضوع قاعده‌ی احتیاط است. ولی در نوع موارد چنین نیست و عامی متوجه این علم اجمالی نیست.</w:t>
      </w:r>
    </w:p>
    <w:p w:rsidR="003F5942" w:rsidRDefault="003F5942" w:rsidP="003F5942">
      <w:pPr>
        <w:jc w:val="both"/>
        <w:rPr>
          <w:rtl/>
        </w:rPr>
      </w:pPr>
      <w:r>
        <w:rPr>
          <w:rFonts w:hint="cs"/>
          <w:rtl/>
        </w:rPr>
        <w:t xml:space="preserve">لذا جواب اول همان مسلک تقلید طولی است که مجتهد به نحوی به عامی بفهماند که چنین علم اجمالی وجود دارد. جواب دیگر نیز مسلک نیابت است که مجتهد علم اجمالی خود را نازل منزله علم اجمالی سایرین می داند که البته آن دلیل ندارد. </w:t>
      </w:r>
    </w:p>
    <w:p w:rsidR="003F5942" w:rsidRDefault="003F5942" w:rsidP="003F5942">
      <w:pPr>
        <w:jc w:val="both"/>
        <w:rPr>
          <w:rtl/>
        </w:rPr>
      </w:pPr>
      <w:r>
        <w:rPr>
          <w:rFonts w:hint="cs"/>
          <w:rtl/>
        </w:rPr>
        <w:t>جواب دیگر این است که گفته شود در شبهه حکمیه مثل مثال غسل جنابت، رای مجتهد به وجود تکلیف اجمالی، بر عامی حجت است یعنی فتوای او براساس علم اجمالی، موجب تنجز آن علم اجمالی بر عامی می‌شود، و این رای اجمالی مجتهد موضوع وجوب احتیاط بر عامی می‌شود و این وجوب احتیاط نسبت به مجتهد عقلی است زیرا موضوع آن علم اجمالی مجتهد است ولی نسبت به عامی شرعی است نه عقلی زیرا وجوب آن از باب حجیت رای اجمالیه مجتهد در حق عامی است نه علم اجمالی خود عامی.</w:t>
      </w:r>
    </w:p>
    <w:p w:rsidR="003F5942" w:rsidRDefault="003F5942" w:rsidP="003F5942">
      <w:pPr>
        <w:jc w:val="both"/>
        <w:rPr>
          <w:rtl/>
        </w:rPr>
      </w:pPr>
      <w:r>
        <w:rPr>
          <w:rFonts w:hint="cs"/>
          <w:rtl/>
        </w:rPr>
        <w:t xml:space="preserve">البته این در صورتی است که مجتهد غیر اعلم در این مورد، قائل به انحلال علم اجمالی نباشد و الا اگر مجتهد غیر اعلم قائل به انحلال علم اجمالی در این مورد باشد مثل این که در مثال غسل جنابت بعضی قائل هستند اعاده نماز قبلی مطلقا لازم نیست، فتوای او حجت تفصیلیه است برای عامی بر انحلال علم اجمالی و جریان قاعده‌ی فراغ نسبت به صلاتی که خوانده شد و لزوم غسل برای نمازهای بعدی، مگر این که مجتهد اعلم او را تخطئه کند و بگوید علم اجمالی منحل نمی‌شود و این ها نیاز به تقلید طولی یا نیابت دارد. </w:t>
      </w:r>
    </w:p>
    <w:p w:rsidR="003F5942" w:rsidRDefault="003F5942" w:rsidP="003F5942">
      <w:pPr>
        <w:jc w:val="both"/>
        <w:rPr>
          <w:rtl/>
        </w:rPr>
      </w:pPr>
      <w:r>
        <w:rPr>
          <w:rFonts w:hint="cs"/>
          <w:rtl/>
        </w:rPr>
        <w:t>مرحوم شاهرودی رحمه الله در حاشیه بحوث فرموده‌اند: رای اجمالی این مجتهد اعلم حجت است ولو آن را ابراز نکند.</w:t>
      </w:r>
      <w:r w:rsidRPr="00CB5DD5">
        <w:rPr>
          <w:rStyle w:val="Heading3Char"/>
          <w:rtl/>
        </w:rPr>
        <w:t xml:space="preserve"> </w:t>
      </w:r>
      <w:r>
        <w:rPr>
          <w:rStyle w:val="FootnoteReference"/>
          <w:rtl/>
        </w:rPr>
        <w:footnoteReference w:id="4"/>
      </w:r>
    </w:p>
    <w:p w:rsidR="003F5942" w:rsidRDefault="003F5942" w:rsidP="003F5942">
      <w:pPr>
        <w:jc w:val="both"/>
        <w:rPr>
          <w:rtl/>
        </w:rPr>
      </w:pPr>
      <w:r>
        <w:rPr>
          <w:rFonts w:hint="cs"/>
          <w:rtl/>
        </w:rPr>
        <w:t>این کلام صحیح است ولی به شرط این که «</w:t>
      </w:r>
      <w:r>
        <w:rPr>
          <w:rFonts w:ascii="NoorLotus" w:hAnsi="NoorLotus"/>
          <w:sz w:val="28"/>
          <w:rtl/>
        </w:rPr>
        <w:t>لو سئل لابرز رأیه</w:t>
      </w:r>
      <w:r>
        <w:rPr>
          <w:rFonts w:hint="cs"/>
          <w:rtl/>
        </w:rPr>
        <w:t>» چون بعضی از اعلام هستند که حاضر به بیان رای خود نیستند وحتی اگر از آن‌ها سوال نیز شود رای خودشان را بیان نمی‌کنند.</w:t>
      </w:r>
    </w:p>
    <w:p w:rsidR="003F5942" w:rsidRDefault="003F5942" w:rsidP="003F5942">
      <w:pPr>
        <w:jc w:val="both"/>
        <w:rPr>
          <w:rtl/>
        </w:rPr>
      </w:pPr>
      <w:r>
        <w:rPr>
          <w:rFonts w:hint="cs"/>
          <w:rtl/>
        </w:rPr>
        <w:t xml:space="preserve">آیت الله سیستانی حفظه الله فرموده‌اند: رای مجتهد حجت نیست بلکه فتوای او یعنی ابراز رای او حجت است.  </w:t>
      </w:r>
    </w:p>
    <w:p w:rsidR="003F5942" w:rsidRDefault="003F5942" w:rsidP="003F5942">
      <w:pPr>
        <w:jc w:val="both"/>
        <w:rPr>
          <w:rtl/>
        </w:rPr>
      </w:pPr>
      <w:r>
        <w:rPr>
          <w:rFonts w:hint="cs"/>
          <w:rtl/>
        </w:rPr>
        <w:t xml:space="preserve">ولی این کلام تمام نیست و آنی که حجت است رای مجتهد است و فتوا و ابراز رای فقط طریقیت محضه دارد. </w:t>
      </w:r>
    </w:p>
    <w:p w:rsidR="003F5942" w:rsidRDefault="003F5942" w:rsidP="003F5942">
      <w:pPr>
        <w:pStyle w:val="Heading1"/>
        <w:jc w:val="both"/>
        <w:rPr>
          <w:rtl/>
        </w:rPr>
      </w:pPr>
      <w:bookmarkStart w:id="80" w:name="_Toc128215477"/>
      <w:r>
        <w:rPr>
          <w:rFonts w:hint="cs"/>
          <w:rtl/>
        </w:rPr>
        <w:t>مطلب چهارم: ثلاثی یا ثنایی بودن تقسیم</w:t>
      </w:r>
      <w:bookmarkEnd w:id="80"/>
      <w:r>
        <w:rPr>
          <w:rFonts w:hint="cs"/>
          <w:rtl/>
        </w:rPr>
        <w:t xml:space="preserve">  </w:t>
      </w:r>
    </w:p>
    <w:p w:rsidR="003F5942" w:rsidRDefault="003F5942" w:rsidP="003F5942">
      <w:pPr>
        <w:jc w:val="both"/>
        <w:rPr>
          <w:rtl/>
        </w:rPr>
      </w:pPr>
      <w:r>
        <w:rPr>
          <w:rFonts w:hint="cs"/>
          <w:rtl/>
        </w:rPr>
        <w:t>تعریف شیخ انصاری رحمه الله متضمن سه قسم است و فرموده‌اند: «</w:t>
      </w:r>
      <w:r>
        <w:rPr>
          <w:rFonts w:ascii="NoorLotus" w:hAnsi="NoorLotus"/>
          <w:sz w:val="28"/>
          <w:rtl/>
        </w:rPr>
        <w:t>المکلف اذا التفت إما یحصل له الشک فی الحکم الشرعی او الظن او القط</w:t>
      </w:r>
      <w:r>
        <w:rPr>
          <w:rFonts w:ascii="NoorLotus" w:hAnsi="NoorLotus" w:hint="cs"/>
          <w:sz w:val="28"/>
          <w:rtl/>
        </w:rPr>
        <w:t>ع.</w:t>
      </w:r>
      <w:r>
        <w:rPr>
          <w:rFonts w:hint="cs"/>
          <w:rtl/>
        </w:rPr>
        <w:t>»</w:t>
      </w:r>
      <w:r>
        <w:rPr>
          <w:rStyle w:val="FootnoteReference"/>
          <w:rtl/>
        </w:rPr>
        <w:footnoteReference w:id="5"/>
      </w:r>
    </w:p>
    <w:p w:rsidR="003F5942" w:rsidRDefault="003F5942" w:rsidP="003F5942">
      <w:pPr>
        <w:jc w:val="both"/>
        <w:rPr>
          <w:rtl/>
        </w:rPr>
      </w:pPr>
      <w:r>
        <w:rPr>
          <w:rFonts w:hint="cs"/>
          <w:rtl/>
        </w:rPr>
        <w:t>ولی صاحب کفایه رحمه الله از این تقسیم عدول کردند و تقسیم ثنایی مطرح کردند و فرموده‌اند: منجزیت قطع اختصاص به حکم شرعی واقعی ندارد بلکه شامل حکم ظاهری نیز می‌شود و مکلف یا قطع به حکم شرعی اعم از واقعی و ظاهری دارد و یا قطع ندارد.</w:t>
      </w:r>
      <w:r>
        <w:rPr>
          <w:rStyle w:val="FootnoteReference"/>
          <w:rFonts w:ascii="NoorLotus" w:eastAsia="Batang" w:hAnsi="NoorLotus"/>
          <w:sz w:val="28"/>
          <w:rtl/>
        </w:rPr>
        <w:footnoteReference w:id="6"/>
      </w:r>
      <w:r>
        <w:rPr>
          <w:rFonts w:hint="cs"/>
          <w:rtl/>
        </w:rPr>
        <w:t xml:space="preserve"> </w:t>
      </w:r>
    </w:p>
    <w:p w:rsidR="003F5942" w:rsidRDefault="003F5942" w:rsidP="003F5942">
      <w:pPr>
        <w:jc w:val="both"/>
        <w:rPr>
          <w:rtl/>
        </w:rPr>
      </w:pPr>
      <w:r>
        <w:rPr>
          <w:rFonts w:hint="cs"/>
          <w:rtl/>
        </w:rPr>
        <w:t>ولی این کلام صاحب کفایه رحمه الله تمام نیست چون اولا: خلاف منهج خودشان در کفایه است. ثانیا: خلاف منهج تدوین یک علم است زیرا منهج تدوین یک علم به این نحو است که ابتدا موضوع تکوینی آن علم را بیان می‌کنند و بعد احکام آن موضوع را بیان می‌نمایند. مثل این که می‌گویند: «</w:t>
      </w:r>
      <w:r>
        <w:rPr>
          <w:rFonts w:ascii="NoorLotus" w:hAnsi="NoorLotus"/>
          <w:sz w:val="28"/>
          <w:rtl/>
        </w:rPr>
        <w:t>الانسان إما مشرک او کتابی او مسلم</w:t>
      </w:r>
      <w:r>
        <w:rPr>
          <w:rFonts w:hint="cs"/>
          <w:rtl/>
        </w:rPr>
        <w:t xml:space="preserve">» و بعد می گویند کتابی ذمی در احترام مال ملحق به مسلم است و کتابی غیر ذمی در احترام مال ملحق به غیر مسلم است، ولی ابتدا تقسیم تکوینی انسان را بیان می‌کنند و بعد احکام هر قسم را ذکر می‌کنند ولی ایشان احکام را در تقسیم‌بندی اشراب کرده است. </w:t>
      </w:r>
    </w:p>
    <w:p w:rsidR="003F5942" w:rsidRPr="00945CC8" w:rsidRDefault="003F5942" w:rsidP="003F5942">
      <w:pPr>
        <w:jc w:val="both"/>
        <w:rPr>
          <w:rtl/>
        </w:rPr>
      </w:pPr>
      <w:r>
        <w:rPr>
          <w:rFonts w:hint="cs"/>
          <w:rtl/>
        </w:rPr>
        <w:t>اما اصل مطلب ایشان که فرموده‌اند: « شک در حکم اعم از ظاهری و واقعی موضوع اصول عملیه است» را باید بررسی کنیم که آیا این کلام درست است یعنی واقعا همانطور که شک در حکم واقعی موضوع اصول عملیه است، شک در حکم ظاهری نیز موضوع اصول عملیه است و خود حکم ظاهری مشکوک نیز مجرای اصول عملیه است، مثلا شک در وجوب احتیاط مجرای برائت از وجوب احتیاط است. یا این کلام صحیح نیست و  حکم ظاهری مشکوک نمی‌تواند مجرای اصول عملیه باشد.</w:t>
      </w:r>
    </w:p>
    <w:p w:rsidR="0094090A" w:rsidRPr="00945CC8" w:rsidRDefault="0094090A" w:rsidP="003F5942">
      <w:pPr>
        <w:rPr>
          <w:rtl/>
        </w:rPr>
      </w:pPr>
    </w:p>
    <w:sectPr w:rsidR="0094090A" w:rsidRPr="00945CC8" w:rsidSect="00565DC1">
      <w:headerReference w:type="default" r:id="rId8"/>
      <w:footerReference w:type="default" r:id="rId9"/>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854" w:rsidRDefault="003F0854" w:rsidP="000D5465">
      <w:pPr>
        <w:spacing w:after="0"/>
      </w:pPr>
      <w:r>
        <w:separator/>
      </w:r>
    </w:p>
  </w:endnote>
  <w:endnote w:type="continuationSeparator" w:id="0">
    <w:p w:rsidR="003F0854" w:rsidRDefault="003F0854" w:rsidP="000D54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altName w:val="Arial"/>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77265622"/>
      <w:docPartObj>
        <w:docPartGallery w:val="Page Numbers (Bottom of Page)"/>
        <w:docPartUnique/>
      </w:docPartObj>
    </w:sdtPr>
    <w:sdtEndPr>
      <w:rPr>
        <w:noProof/>
      </w:rPr>
    </w:sdtEndPr>
    <w:sdtContent>
      <w:p w:rsidR="00565DC1" w:rsidRDefault="009C7440">
        <w:pPr>
          <w:pStyle w:val="Footer"/>
          <w:jc w:val="center"/>
        </w:pPr>
        <w:r>
          <w:fldChar w:fldCharType="begin"/>
        </w:r>
        <w:r>
          <w:instrText xml:space="preserve"> PAGE   \* MERGEFORMAT </w:instrText>
        </w:r>
        <w:r>
          <w:fldChar w:fldCharType="separate"/>
        </w:r>
        <w:r w:rsidR="00156329">
          <w:rPr>
            <w:noProof/>
            <w:rtl/>
          </w:rPr>
          <w:t>1</w:t>
        </w:r>
        <w:r>
          <w:rPr>
            <w:noProof/>
          </w:rPr>
          <w:fldChar w:fldCharType="end"/>
        </w:r>
      </w:p>
    </w:sdtContent>
  </w:sdt>
  <w:p w:rsidR="00565DC1" w:rsidRDefault="00156329">
    <w:pPr>
      <w:pStyle w:val="Footer"/>
    </w:pPr>
  </w:p>
  <w:p w:rsidR="00565DC1" w:rsidRDefault="001563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854" w:rsidRDefault="003F0854" w:rsidP="000D5465">
      <w:pPr>
        <w:spacing w:after="0"/>
      </w:pPr>
      <w:r>
        <w:separator/>
      </w:r>
    </w:p>
  </w:footnote>
  <w:footnote w:type="continuationSeparator" w:id="0">
    <w:p w:rsidR="003F0854" w:rsidRDefault="003F0854" w:rsidP="000D5465">
      <w:pPr>
        <w:spacing w:after="0"/>
      </w:pPr>
      <w:r>
        <w:continuationSeparator/>
      </w:r>
    </w:p>
  </w:footnote>
  <w:footnote w:id="1">
    <w:p w:rsidR="003F5942" w:rsidRPr="000D356F" w:rsidRDefault="003F5942" w:rsidP="003F5942">
      <w:pPr>
        <w:pStyle w:val="FootnoteText"/>
        <w:rPr>
          <w:rtl/>
        </w:rPr>
      </w:pPr>
      <w:r w:rsidRPr="000D356F">
        <w:rPr>
          <w:rStyle w:val="FootnoteReference"/>
          <w:rtl/>
        </w:rPr>
        <w:footnoteRef/>
      </w:r>
      <w:r w:rsidRPr="000D356F">
        <w:rPr>
          <w:rStyle w:val="FootnoteReference"/>
          <w:rtl/>
        </w:rPr>
        <w:t xml:space="preserve"> </w:t>
      </w:r>
      <w:r>
        <w:rPr>
          <w:rFonts w:hint="cs"/>
          <w:rtl/>
        </w:rPr>
        <w:t xml:space="preserve"> ب</w:t>
      </w:r>
      <w:r w:rsidRPr="000D356F">
        <w:rPr>
          <w:rtl/>
        </w:rPr>
        <w:t>حوث في علم الاصول</w:t>
      </w:r>
      <w:r>
        <w:rPr>
          <w:rFonts w:hint="cs"/>
          <w:rtl/>
        </w:rPr>
        <w:t>، صدر، محمد باقر،</w:t>
      </w:r>
      <w:r w:rsidRPr="000D356F">
        <w:rPr>
          <w:rtl/>
        </w:rPr>
        <w:t xml:space="preserve"> ج6</w:t>
      </w:r>
      <w:r>
        <w:rPr>
          <w:rFonts w:hint="cs"/>
          <w:rtl/>
        </w:rPr>
        <w:t xml:space="preserve">، </w:t>
      </w:r>
      <w:r>
        <w:rPr>
          <w:rtl/>
        </w:rPr>
        <w:t>ص</w:t>
      </w:r>
      <w:r>
        <w:t>94</w:t>
      </w:r>
      <w:r>
        <w:rPr>
          <w:rFonts w:hint="cs"/>
          <w:rtl/>
        </w:rPr>
        <w:t>.</w:t>
      </w:r>
    </w:p>
  </w:footnote>
  <w:footnote w:id="2">
    <w:p w:rsidR="003F5942" w:rsidRPr="000D356F" w:rsidRDefault="003F5942" w:rsidP="003F5942">
      <w:pPr>
        <w:pStyle w:val="FootnoteText"/>
        <w:rPr>
          <w:rtl/>
        </w:rPr>
      </w:pPr>
      <w:r w:rsidRPr="000D356F">
        <w:rPr>
          <w:rStyle w:val="FootnoteReference"/>
          <w:rtl/>
        </w:rPr>
        <w:footnoteRef/>
      </w:r>
      <w:r w:rsidRPr="000D356F">
        <w:rPr>
          <w:rStyle w:val="FootnoteReference"/>
          <w:rtl/>
        </w:rPr>
        <w:t xml:space="preserve"> </w:t>
      </w:r>
      <w:r w:rsidRPr="000D356F">
        <w:rPr>
          <w:rtl/>
        </w:rPr>
        <w:t xml:space="preserve"> وسائل الشيعة</w:t>
      </w:r>
      <w:r>
        <w:rPr>
          <w:rFonts w:hint="cs"/>
          <w:rtl/>
        </w:rPr>
        <w:t>، شیخ حر عاملی، محمد بن حسن،</w:t>
      </w:r>
      <w:r w:rsidRPr="000D356F">
        <w:rPr>
          <w:rtl/>
        </w:rPr>
        <w:t xml:space="preserve"> ج3</w:t>
      </w:r>
      <w:r>
        <w:rPr>
          <w:rFonts w:hint="cs"/>
          <w:rtl/>
        </w:rPr>
        <w:t xml:space="preserve">، </w:t>
      </w:r>
      <w:r w:rsidRPr="000D356F">
        <w:rPr>
          <w:rtl/>
        </w:rPr>
        <w:t>ص521</w:t>
      </w:r>
      <w:r>
        <w:rPr>
          <w:rFonts w:hint="cs"/>
          <w:rtl/>
        </w:rPr>
        <w:t>، ح1.</w:t>
      </w:r>
      <w:r w:rsidRPr="000D356F">
        <w:rPr>
          <w:rtl/>
        </w:rPr>
        <w:t xml:space="preserve"> </w:t>
      </w:r>
    </w:p>
  </w:footnote>
  <w:footnote w:id="3">
    <w:p w:rsidR="003F5942" w:rsidRDefault="003F5942" w:rsidP="003F5942">
      <w:pPr>
        <w:pStyle w:val="FootnoteText"/>
      </w:pPr>
      <w:r>
        <w:rPr>
          <w:rStyle w:val="FootnoteReference"/>
        </w:rPr>
        <w:footnoteRef/>
      </w:r>
      <w:r>
        <w:rPr>
          <w:rtl/>
        </w:rPr>
        <w:t xml:space="preserve"> </w:t>
      </w:r>
      <w:r>
        <w:rPr>
          <w:rFonts w:hint="cs"/>
          <w:rtl/>
        </w:rPr>
        <w:t>الکافی(ط- الاسلامیة)، کلینی، محمد بن یعقوب، ج3، ص405، ح5.</w:t>
      </w:r>
    </w:p>
  </w:footnote>
  <w:footnote w:id="4">
    <w:p w:rsidR="003F5942" w:rsidRDefault="003F5942" w:rsidP="003F5942">
      <w:pPr>
        <w:pStyle w:val="FootnoteText"/>
        <w:rPr>
          <w:rtl/>
        </w:rPr>
      </w:pPr>
      <w:r>
        <w:rPr>
          <w:rStyle w:val="FootnoteReference"/>
        </w:rPr>
        <w:footnoteRef/>
      </w:r>
      <w:r>
        <w:rPr>
          <w:rtl/>
        </w:rPr>
        <w:t xml:space="preserve"> </w:t>
      </w:r>
      <w:r>
        <w:rPr>
          <w:rFonts w:hint="cs"/>
          <w:rtl/>
        </w:rPr>
        <w:t>بحوث فی علم الاصول (تعلیقه)، صدر، محمد باقر، ج4، ص16-17.</w:t>
      </w:r>
    </w:p>
  </w:footnote>
  <w:footnote w:id="5">
    <w:p w:rsidR="003F5942" w:rsidRDefault="003F5942" w:rsidP="003F5942">
      <w:pPr>
        <w:pStyle w:val="FootnoteText"/>
        <w:rPr>
          <w:rtl/>
        </w:rPr>
      </w:pPr>
      <w:r>
        <w:rPr>
          <w:rStyle w:val="FootnoteReference"/>
        </w:rPr>
        <w:footnoteRef/>
      </w:r>
      <w:r>
        <w:rPr>
          <w:rtl/>
        </w:rPr>
        <w:t xml:space="preserve"> </w:t>
      </w:r>
      <w:r>
        <w:rPr>
          <w:rFonts w:hint="cs"/>
          <w:rtl/>
        </w:rPr>
        <w:t>فرائد الاصول(طبع انتشارات اسلامی)، انصاری، مرتضی بن محمدامین، ج1، ص2.</w:t>
      </w:r>
    </w:p>
  </w:footnote>
  <w:footnote w:id="6">
    <w:p w:rsidR="003F5942" w:rsidRDefault="003F5942" w:rsidP="003F5942">
      <w:pPr>
        <w:pStyle w:val="FootnoteText"/>
      </w:pPr>
      <w:r>
        <w:rPr>
          <w:rStyle w:val="FootnoteReference"/>
        </w:rPr>
        <w:footnoteRef/>
      </w:r>
      <w:r>
        <w:rPr>
          <w:rtl/>
        </w:rPr>
        <w:t xml:space="preserve"> </w:t>
      </w:r>
      <w:r>
        <w:rPr>
          <w:rFonts w:hint="cs"/>
          <w:rtl/>
        </w:rPr>
        <w:t>کفایة الاصول (طبع آل البیت)، آخوند خراسانی، محمد کاظم بن حسین، ص257.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C1" w:rsidRDefault="009C7440" w:rsidP="00565DC1">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565DC1" w:rsidRPr="00C40253" w:rsidRDefault="009C7440" w:rsidP="00112310">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w:t>
    </w:r>
    <w:r w:rsidR="00112310">
      <w:rPr>
        <w:rFonts w:ascii="NoorLotus" w:hAnsi="NoorLotus" w:hint="cs"/>
        <w:sz w:val="18"/>
        <w:szCs w:val="18"/>
        <w:rtl/>
      </w:rPr>
      <w:t>:103</w:t>
    </w:r>
    <w:r>
      <w:rPr>
        <w:rFonts w:ascii="NoorLotus" w:hAnsi="NoorLotus" w:hint="cs"/>
        <w:sz w:val="18"/>
        <w:szCs w:val="18"/>
        <w:rtl/>
      </w:rPr>
      <w:t xml:space="preserve"> </w:t>
    </w:r>
    <w:r>
      <w:rPr>
        <w:rFonts w:ascii="NoorLotus" w:hAnsi="NoorLotus"/>
        <w:sz w:val="18"/>
        <w:szCs w:val="18"/>
        <w:rtl/>
      </w:rPr>
      <w:t>(تاریخ</w:t>
    </w:r>
    <w:r>
      <w:rPr>
        <w:rFonts w:ascii="NoorLotus" w:hAnsi="NoorLotus" w:hint="cs"/>
        <w:sz w:val="18"/>
        <w:szCs w:val="18"/>
        <w:rtl/>
      </w:rPr>
      <w:t>:</w:t>
    </w:r>
    <w:r w:rsidR="00112310">
      <w:rPr>
        <w:rFonts w:ascii="NoorLotus" w:hAnsi="NoorLotus" w:hint="cs"/>
        <w:sz w:val="18"/>
        <w:szCs w:val="18"/>
        <w:rtl/>
      </w:rPr>
      <w:t>7</w:t>
    </w:r>
    <w:r>
      <w:rPr>
        <w:rFonts w:ascii="NoorLotus" w:hAnsi="NoorLotus" w:hint="cs"/>
        <w:sz w:val="18"/>
        <w:szCs w:val="18"/>
        <w:rtl/>
      </w:rPr>
      <w:t>/12</w:t>
    </w:r>
    <w:r>
      <w:rPr>
        <w:rFonts w:ascii="NoorLotus" w:hAnsi="NoorLotus"/>
        <w:sz w:val="18"/>
        <w:szCs w:val="18"/>
        <w:rtl/>
      </w:rPr>
      <w:t>/1401)</w:t>
    </w:r>
  </w:p>
  <w:p w:rsidR="00565DC1" w:rsidRDefault="0015632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65"/>
    <w:rsid w:val="0005199F"/>
    <w:rsid w:val="000D5465"/>
    <w:rsid w:val="000F0F62"/>
    <w:rsid w:val="00112310"/>
    <w:rsid w:val="00156329"/>
    <w:rsid w:val="003F0854"/>
    <w:rsid w:val="003F5942"/>
    <w:rsid w:val="00564B66"/>
    <w:rsid w:val="00675080"/>
    <w:rsid w:val="00690F83"/>
    <w:rsid w:val="006930AD"/>
    <w:rsid w:val="006F45C2"/>
    <w:rsid w:val="00737E94"/>
    <w:rsid w:val="007D23DF"/>
    <w:rsid w:val="00851088"/>
    <w:rsid w:val="00877096"/>
    <w:rsid w:val="008B78ED"/>
    <w:rsid w:val="0094090A"/>
    <w:rsid w:val="00945CC8"/>
    <w:rsid w:val="009A5546"/>
    <w:rsid w:val="009C7440"/>
    <w:rsid w:val="009E1DF6"/>
    <w:rsid w:val="00A453E0"/>
    <w:rsid w:val="00AF0B56"/>
    <w:rsid w:val="00AF3983"/>
    <w:rsid w:val="00C65015"/>
    <w:rsid w:val="00CC5C30"/>
    <w:rsid w:val="00CF486A"/>
    <w:rsid w:val="00D75DDE"/>
    <w:rsid w:val="00DE5346"/>
    <w:rsid w:val="00ED6C3D"/>
    <w:rsid w:val="00F131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65"/>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112310"/>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0D5465"/>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0D5465"/>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310"/>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0D5465"/>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0D5465"/>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rsid w:val="000D5465"/>
    <w:pPr>
      <w:spacing w:after="0"/>
    </w:pPr>
    <w:rPr>
      <w:sz w:val="20"/>
      <w:szCs w:val="20"/>
    </w:rPr>
  </w:style>
  <w:style w:type="character" w:customStyle="1" w:styleId="FootnoteTextChar">
    <w:name w:val="Footnote Text Char"/>
    <w:basedOn w:val="DefaultParagraphFont"/>
    <w:link w:val="FootnoteText"/>
    <w:rsid w:val="000D5465"/>
    <w:rPr>
      <w:rFonts w:ascii="Calibri" w:eastAsia="Calibri" w:hAnsi="Calibri" w:cs="NoorLotus"/>
      <w:sz w:val="20"/>
      <w:szCs w:val="20"/>
      <w:lang w:bidi="fa-IR"/>
    </w:rPr>
  </w:style>
  <w:style w:type="character" w:styleId="FootnoteReference">
    <w:name w:val="footnote reference"/>
    <w:basedOn w:val="DefaultParagraphFont"/>
    <w:unhideWhenUsed/>
    <w:rsid w:val="000D5465"/>
    <w:rPr>
      <w:vertAlign w:val="superscript"/>
    </w:rPr>
  </w:style>
  <w:style w:type="paragraph" w:styleId="Header">
    <w:name w:val="header"/>
    <w:basedOn w:val="Normal"/>
    <w:link w:val="HeaderChar"/>
    <w:uiPriority w:val="99"/>
    <w:unhideWhenUsed/>
    <w:rsid w:val="000D5465"/>
    <w:pPr>
      <w:tabs>
        <w:tab w:val="center" w:pos="4680"/>
        <w:tab w:val="right" w:pos="9360"/>
      </w:tabs>
      <w:spacing w:after="0"/>
    </w:pPr>
  </w:style>
  <w:style w:type="character" w:customStyle="1" w:styleId="HeaderChar">
    <w:name w:val="Header Char"/>
    <w:basedOn w:val="DefaultParagraphFont"/>
    <w:link w:val="Header"/>
    <w:uiPriority w:val="99"/>
    <w:rsid w:val="000D5465"/>
    <w:rPr>
      <w:rFonts w:ascii="Calibri" w:eastAsia="Calibri" w:hAnsi="Calibri" w:cs="NoorLotus"/>
      <w:szCs w:val="28"/>
      <w:lang w:bidi="fa-IR"/>
    </w:rPr>
  </w:style>
  <w:style w:type="paragraph" w:styleId="Footer">
    <w:name w:val="footer"/>
    <w:basedOn w:val="Normal"/>
    <w:link w:val="FooterChar"/>
    <w:uiPriority w:val="99"/>
    <w:unhideWhenUsed/>
    <w:rsid w:val="000D5465"/>
    <w:pPr>
      <w:tabs>
        <w:tab w:val="center" w:pos="4680"/>
        <w:tab w:val="right" w:pos="9360"/>
      </w:tabs>
      <w:spacing w:after="0"/>
    </w:pPr>
  </w:style>
  <w:style w:type="character" w:customStyle="1" w:styleId="FooterChar">
    <w:name w:val="Footer Char"/>
    <w:basedOn w:val="DefaultParagraphFont"/>
    <w:link w:val="Footer"/>
    <w:uiPriority w:val="99"/>
    <w:rsid w:val="000D5465"/>
    <w:rPr>
      <w:rFonts w:ascii="Calibri" w:eastAsia="Calibri" w:hAnsi="Calibri" w:cs="NoorLotus"/>
      <w:szCs w:val="28"/>
      <w:lang w:bidi="fa-IR"/>
    </w:rPr>
  </w:style>
  <w:style w:type="paragraph" w:styleId="TOCHeading">
    <w:name w:val="TOC Heading"/>
    <w:basedOn w:val="Heading1"/>
    <w:next w:val="Normal"/>
    <w:uiPriority w:val="39"/>
    <w:unhideWhenUsed/>
    <w:qFormat/>
    <w:rsid w:val="000D5465"/>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0D5465"/>
    <w:pPr>
      <w:spacing w:after="100"/>
      <w:ind w:left="220"/>
    </w:pPr>
  </w:style>
  <w:style w:type="paragraph" w:styleId="TOC3">
    <w:name w:val="toc 3"/>
    <w:basedOn w:val="Normal"/>
    <w:next w:val="Normal"/>
    <w:autoRedefine/>
    <w:uiPriority w:val="39"/>
    <w:unhideWhenUsed/>
    <w:rsid w:val="000D5465"/>
    <w:pPr>
      <w:spacing w:after="100"/>
      <w:ind w:left="440"/>
    </w:pPr>
  </w:style>
  <w:style w:type="character" w:styleId="Hyperlink">
    <w:name w:val="Hyperlink"/>
    <w:basedOn w:val="DefaultParagraphFont"/>
    <w:uiPriority w:val="99"/>
    <w:unhideWhenUsed/>
    <w:rsid w:val="000D5465"/>
    <w:rPr>
      <w:color w:val="0000FF" w:themeColor="hyperlink"/>
      <w:u w:val="single"/>
    </w:rPr>
  </w:style>
  <w:style w:type="paragraph" w:styleId="BalloonText">
    <w:name w:val="Balloon Text"/>
    <w:basedOn w:val="Normal"/>
    <w:link w:val="BalloonTextChar"/>
    <w:uiPriority w:val="99"/>
    <w:semiHidden/>
    <w:unhideWhenUsed/>
    <w:rsid w:val="000D54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465"/>
    <w:rPr>
      <w:rFonts w:ascii="Tahoma" w:eastAsia="Calibri" w:hAnsi="Tahoma" w:cs="Tahoma"/>
      <w:sz w:val="16"/>
      <w:szCs w:val="16"/>
      <w:lang w:bidi="fa-IR"/>
    </w:rPr>
  </w:style>
  <w:style w:type="paragraph" w:styleId="NoSpacing">
    <w:name w:val="No Spacing"/>
    <w:uiPriority w:val="1"/>
    <w:qFormat/>
    <w:rsid w:val="00564B66"/>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564B66"/>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465"/>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112310"/>
    <w:pPr>
      <w:spacing w:line="256" w:lineRule="auto"/>
      <w:outlineLvl w:val="0"/>
    </w:pPr>
    <w:rPr>
      <w:rFonts w:ascii="B Titr" w:hAnsi="B Titr" w:cs="B Titr"/>
      <w:bCs/>
      <w:color w:val="00B0F0"/>
      <w:sz w:val="32"/>
      <w:szCs w:val="32"/>
    </w:rPr>
  </w:style>
  <w:style w:type="paragraph" w:styleId="Heading2">
    <w:name w:val="heading 2"/>
    <w:basedOn w:val="Normal"/>
    <w:next w:val="Normal"/>
    <w:link w:val="Heading2Char"/>
    <w:uiPriority w:val="9"/>
    <w:unhideWhenUsed/>
    <w:qFormat/>
    <w:rsid w:val="000D5465"/>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0D5465"/>
    <w:pPr>
      <w:keepNext/>
      <w:keepLines/>
      <w:spacing w:before="200" w:after="0"/>
      <w:outlineLvl w:val="2"/>
    </w:pPr>
    <w:rPr>
      <w:rFonts w:asciiTheme="majorHAnsi" w:eastAsiaTheme="majorEastAsia" w:hAnsiTheme="majorHAnsi" w:cstheme="majorBidi"/>
      <w:b/>
      <w:bCs/>
      <w:color w:val="00B0F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310"/>
    <w:rPr>
      <w:rFonts w:ascii="B Titr" w:eastAsia="Calibri" w:hAnsi="B Titr" w:cs="B Titr"/>
      <w:bCs/>
      <w:color w:val="00B0F0"/>
      <w:sz w:val="32"/>
      <w:szCs w:val="32"/>
      <w:lang w:bidi="fa-IR"/>
    </w:rPr>
  </w:style>
  <w:style w:type="character" w:customStyle="1" w:styleId="Heading2Char">
    <w:name w:val="Heading 2 Char"/>
    <w:basedOn w:val="DefaultParagraphFont"/>
    <w:link w:val="Heading2"/>
    <w:uiPriority w:val="9"/>
    <w:rsid w:val="000D5465"/>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0D5465"/>
    <w:rPr>
      <w:rFonts w:asciiTheme="majorHAnsi" w:eastAsiaTheme="majorEastAsia" w:hAnsiTheme="majorHAnsi" w:cstheme="majorBidi"/>
      <w:b/>
      <w:bCs/>
      <w:color w:val="00B0F0"/>
      <w:szCs w:val="28"/>
      <w:lang w:bidi="fa-IR"/>
    </w:rPr>
  </w:style>
  <w:style w:type="paragraph" w:styleId="FootnoteText">
    <w:name w:val="footnote text"/>
    <w:basedOn w:val="Normal"/>
    <w:link w:val="FootnoteTextChar"/>
    <w:unhideWhenUsed/>
    <w:rsid w:val="000D5465"/>
    <w:pPr>
      <w:spacing w:after="0"/>
    </w:pPr>
    <w:rPr>
      <w:sz w:val="20"/>
      <w:szCs w:val="20"/>
    </w:rPr>
  </w:style>
  <w:style w:type="character" w:customStyle="1" w:styleId="FootnoteTextChar">
    <w:name w:val="Footnote Text Char"/>
    <w:basedOn w:val="DefaultParagraphFont"/>
    <w:link w:val="FootnoteText"/>
    <w:rsid w:val="000D5465"/>
    <w:rPr>
      <w:rFonts w:ascii="Calibri" w:eastAsia="Calibri" w:hAnsi="Calibri" w:cs="NoorLotus"/>
      <w:sz w:val="20"/>
      <w:szCs w:val="20"/>
      <w:lang w:bidi="fa-IR"/>
    </w:rPr>
  </w:style>
  <w:style w:type="character" w:styleId="FootnoteReference">
    <w:name w:val="footnote reference"/>
    <w:basedOn w:val="DefaultParagraphFont"/>
    <w:unhideWhenUsed/>
    <w:rsid w:val="000D5465"/>
    <w:rPr>
      <w:vertAlign w:val="superscript"/>
    </w:rPr>
  </w:style>
  <w:style w:type="paragraph" w:styleId="Header">
    <w:name w:val="header"/>
    <w:basedOn w:val="Normal"/>
    <w:link w:val="HeaderChar"/>
    <w:uiPriority w:val="99"/>
    <w:unhideWhenUsed/>
    <w:rsid w:val="000D5465"/>
    <w:pPr>
      <w:tabs>
        <w:tab w:val="center" w:pos="4680"/>
        <w:tab w:val="right" w:pos="9360"/>
      </w:tabs>
      <w:spacing w:after="0"/>
    </w:pPr>
  </w:style>
  <w:style w:type="character" w:customStyle="1" w:styleId="HeaderChar">
    <w:name w:val="Header Char"/>
    <w:basedOn w:val="DefaultParagraphFont"/>
    <w:link w:val="Header"/>
    <w:uiPriority w:val="99"/>
    <w:rsid w:val="000D5465"/>
    <w:rPr>
      <w:rFonts w:ascii="Calibri" w:eastAsia="Calibri" w:hAnsi="Calibri" w:cs="NoorLotus"/>
      <w:szCs w:val="28"/>
      <w:lang w:bidi="fa-IR"/>
    </w:rPr>
  </w:style>
  <w:style w:type="paragraph" w:styleId="Footer">
    <w:name w:val="footer"/>
    <w:basedOn w:val="Normal"/>
    <w:link w:val="FooterChar"/>
    <w:uiPriority w:val="99"/>
    <w:unhideWhenUsed/>
    <w:rsid w:val="000D5465"/>
    <w:pPr>
      <w:tabs>
        <w:tab w:val="center" w:pos="4680"/>
        <w:tab w:val="right" w:pos="9360"/>
      </w:tabs>
      <w:spacing w:after="0"/>
    </w:pPr>
  </w:style>
  <w:style w:type="character" w:customStyle="1" w:styleId="FooterChar">
    <w:name w:val="Footer Char"/>
    <w:basedOn w:val="DefaultParagraphFont"/>
    <w:link w:val="Footer"/>
    <w:uiPriority w:val="99"/>
    <w:rsid w:val="000D5465"/>
    <w:rPr>
      <w:rFonts w:ascii="Calibri" w:eastAsia="Calibri" w:hAnsi="Calibri" w:cs="NoorLotus"/>
      <w:szCs w:val="28"/>
      <w:lang w:bidi="fa-IR"/>
    </w:rPr>
  </w:style>
  <w:style w:type="paragraph" w:styleId="TOCHeading">
    <w:name w:val="TOC Heading"/>
    <w:basedOn w:val="Heading1"/>
    <w:next w:val="Normal"/>
    <w:uiPriority w:val="39"/>
    <w:unhideWhenUsed/>
    <w:qFormat/>
    <w:rsid w:val="000D5465"/>
    <w:pPr>
      <w:keepNext/>
      <w:keepLines/>
      <w:bidi w:val="0"/>
      <w:spacing w:before="480" w:after="0" w:line="276" w:lineRule="auto"/>
      <w:outlineLvl w:val="9"/>
    </w:pPr>
    <w:rPr>
      <w:rFonts w:asciiTheme="majorHAnsi" w:eastAsiaTheme="majorEastAsia" w:hAnsiTheme="majorHAnsi" w:cstheme="majorBidi"/>
      <w:b/>
      <w:color w:val="365F91" w:themeColor="accent1" w:themeShade="BF"/>
      <w:sz w:val="28"/>
      <w:szCs w:val="28"/>
      <w:lang w:eastAsia="ja-JP" w:bidi="ar-SA"/>
    </w:rPr>
  </w:style>
  <w:style w:type="paragraph" w:styleId="TOC2">
    <w:name w:val="toc 2"/>
    <w:basedOn w:val="Normal"/>
    <w:next w:val="Normal"/>
    <w:autoRedefine/>
    <w:uiPriority w:val="39"/>
    <w:unhideWhenUsed/>
    <w:rsid w:val="000D5465"/>
    <w:pPr>
      <w:spacing w:after="100"/>
      <w:ind w:left="220"/>
    </w:pPr>
  </w:style>
  <w:style w:type="paragraph" w:styleId="TOC3">
    <w:name w:val="toc 3"/>
    <w:basedOn w:val="Normal"/>
    <w:next w:val="Normal"/>
    <w:autoRedefine/>
    <w:uiPriority w:val="39"/>
    <w:unhideWhenUsed/>
    <w:rsid w:val="000D5465"/>
    <w:pPr>
      <w:spacing w:after="100"/>
      <w:ind w:left="440"/>
    </w:pPr>
  </w:style>
  <w:style w:type="character" w:styleId="Hyperlink">
    <w:name w:val="Hyperlink"/>
    <w:basedOn w:val="DefaultParagraphFont"/>
    <w:uiPriority w:val="99"/>
    <w:unhideWhenUsed/>
    <w:rsid w:val="000D5465"/>
    <w:rPr>
      <w:color w:val="0000FF" w:themeColor="hyperlink"/>
      <w:u w:val="single"/>
    </w:rPr>
  </w:style>
  <w:style w:type="paragraph" w:styleId="BalloonText">
    <w:name w:val="Balloon Text"/>
    <w:basedOn w:val="Normal"/>
    <w:link w:val="BalloonTextChar"/>
    <w:uiPriority w:val="99"/>
    <w:semiHidden/>
    <w:unhideWhenUsed/>
    <w:rsid w:val="000D54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465"/>
    <w:rPr>
      <w:rFonts w:ascii="Tahoma" w:eastAsia="Calibri" w:hAnsi="Tahoma" w:cs="Tahoma"/>
      <w:sz w:val="16"/>
      <w:szCs w:val="16"/>
      <w:lang w:bidi="fa-IR"/>
    </w:rPr>
  </w:style>
  <w:style w:type="paragraph" w:styleId="NoSpacing">
    <w:name w:val="No Spacing"/>
    <w:uiPriority w:val="1"/>
    <w:qFormat/>
    <w:rsid w:val="00564B66"/>
    <w:pPr>
      <w:bidi/>
      <w:spacing w:after="0" w:line="240" w:lineRule="auto"/>
    </w:pPr>
    <w:rPr>
      <w:rFonts w:ascii="Calibri" w:eastAsia="Calibri" w:hAnsi="Calibri" w:cs="NoorLotus"/>
      <w:szCs w:val="28"/>
      <w:lang w:bidi="fa-IR"/>
    </w:rPr>
  </w:style>
  <w:style w:type="paragraph" w:styleId="TOC1">
    <w:name w:val="toc 1"/>
    <w:basedOn w:val="Normal"/>
    <w:next w:val="Normal"/>
    <w:autoRedefine/>
    <w:uiPriority w:val="39"/>
    <w:unhideWhenUsed/>
    <w:rsid w:val="00564B6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34CDB-CB00-4B5E-8BCE-14AA248C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5</Pages>
  <Words>1601</Words>
  <Characters>9131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7</cp:revision>
  <cp:lastPrinted>2023-02-25T19:05:00Z</cp:lastPrinted>
  <dcterms:created xsi:type="dcterms:W3CDTF">2023-02-26T04:53:00Z</dcterms:created>
  <dcterms:modified xsi:type="dcterms:W3CDTF">2023-03-01T12:59:00Z</dcterms:modified>
</cp:coreProperties>
</file>