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1821A4">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821A4" w:rsidRPr="001821A4" w:rsidRDefault="001821A4" w:rsidP="001821A4">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10011997" w:history="1">
        <w:r w:rsidRPr="001821A4">
          <w:rPr>
            <w:rStyle w:val="Hyperlink"/>
            <w:noProof/>
            <w:rtl/>
          </w:rPr>
          <w:t>مرجحات باب تزاحم</w:t>
        </w:r>
        <w:r w:rsidRPr="001821A4">
          <w:rPr>
            <w:noProof/>
            <w:webHidden/>
            <w:rtl/>
          </w:rPr>
          <w:tab/>
        </w:r>
        <w:r w:rsidRPr="001821A4">
          <w:rPr>
            <w:noProof/>
            <w:webHidden/>
            <w:rtl/>
          </w:rPr>
          <w:fldChar w:fldCharType="begin"/>
        </w:r>
        <w:r w:rsidRPr="001821A4">
          <w:rPr>
            <w:noProof/>
            <w:webHidden/>
            <w:rtl/>
          </w:rPr>
          <w:instrText xml:space="preserve"> </w:instrText>
        </w:r>
        <w:r w:rsidRPr="001821A4">
          <w:rPr>
            <w:noProof/>
            <w:webHidden/>
          </w:rPr>
          <w:instrText xml:space="preserve">PAGEREF </w:instrText>
        </w:r>
        <w:r w:rsidRPr="001821A4">
          <w:rPr>
            <w:noProof/>
            <w:webHidden/>
            <w:rtl/>
          </w:rPr>
          <w:instrText>_</w:instrText>
        </w:r>
        <w:r w:rsidRPr="001821A4">
          <w:rPr>
            <w:noProof/>
            <w:webHidden/>
          </w:rPr>
          <w:instrText>Toc</w:instrText>
        </w:r>
        <w:r w:rsidRPr="001821A4">
          <w:rPr>
            <w:noProof/>
            <w:webHidden/>
            <w:rtl/>
          </w:rPr>
          <w:instrText xml:space="preserve">510011997 </w:instrText>
        </w:r>
        <w:r w:rsidRPr="001821A4">
          <w:rPr>
            <w:noProof/>
            <w:webHidden/>
          </w:rPr>
          <w:instrText>\h</w:instrText>
        </w:r>
        <w:r w:rsidRPr="001821A4">
          <w:rPr>
            <w:noProof/>
            <w:webHidden/>
            <w:rtl/>
          </w:rPr>
          <w:instrText xml:space="preserve"> </w:instrText>
        </w:r>
        <w:r w:rsidRPr="001821A4">
          <w:rPr>
            <w:noProof/>
            <w:webHidden/>
            <w:rtl/>
          </w:rPr>
        </w:r>
        <w:r w:rsidRPr="001821A4">
          <w:rPr>
            <w:noProof/>
            <w:webHidden/>
            <w:rtl/>
          </w:rPr>
          <w:fldChar w:fldCharType="separate"/>
        </w:r>
        <w:r w:rsidRPr="001821A4">
          <w:rPr>
            <w:noProof/>
            <w:webHidden/>
            <w:rtl/>
          </w:rPr>
          <w:t>1</w:t>
        </w:r>
        <w:r w:rsidRPr="001821A4">
          <w:rPr>
            <w:noProof/>
            <w:webHidden/>
            <w:rtl/>
          </w:rPr>
          <w:fldChar w:fldCharType="end"/>
        </w:r>
      </w:hyperlink>
    </w:p>
    <w:p w:rsidR="001821A4" w:rsidRPr="001821A4" w:rsidRDefault="001D1A28" w:rsidP="001821A4">
      <w:pPr>
        <w:pStyle w:val="TOC2"/>
        <w:tabs>
          <w:tab w:val="right" w:leader="dot" w:pos="10194"/>
        </w:tabs>
        <w:rPr>
          <w:rFonts w:asciiTheme="minorHAnsi" w:eastAsiaTheme="minorEastAsia" w:hAnsiTheme="minorHAnsi" w:cstheme="minorBidi"/>
          <w:bCs w:val="0"/>
          <w:noProof/>
          <w:color w:val="auto"/>
          <w:szCs w:val="22"/>
          <w:rtl/>
          <w:lang w:bidi="ar-SA"/>
        </w:rPr>
      </w:pPr>
      <w:hyperlink w:anchor="_Toc510011998" w:history="1">
        <w:r w:rsidR="001821A4" w:rsidRPr="001821A4">
          <w:rPr>
            <w:rStyle w:val="Hyperlink"/>
            <w:noProof/>
            <w:rtl/>
          </w:rPr>
          <w:t>8- تقد</w:t>
        </w:r>
        <w:r w:rsidR="001821A4" w:rsidRPr="001821A4">
          <w:rPr>
            <w:rStyle w:val="Hyperlink"/>
            <w:rFonts w:hint="cs"/>
            <w:noProof/>
            <w:rtl/>
          </w:rPr>
          <w:t>ی</w:t>
        </w:r>
        <w:r w:rsidR="001821A4" w:rsidRPr="001821A4">
          <w:rPr>
            <w:rStyle w:val="Hyperlink"/>
            <w:rFonts w:hint="eastAsia"/>
            <w:noProof/>
            <w:rtl/>
          </w:rPr>
          <w:t>م</w:t>
        </w:r>
        <w:r w:rsidR="001821A4" w:rsidRPr="001821A4">
          <w:rPr>
            <w:rStyle w:val="Hyperlink"/>
            <w:noProof/>
            <w:rtl/>
          </w:rPr>
          <w:t xml:space="preserve"> حق الناس بر حق الله</w:t>
        </w:r>
        <w:r w:rsidR="001821A4" w:rsidRPr="001821A4">
          <w:rPr>
            <w:noProof/>
            <w:webHidden/>
            <w:rtl/>
          </w:rPr>
          <w:tab/>
        </w:r>
        <w:r w:rsidR="001821A4" w:rsidRPr="001821A4">
          <w:rPr>
            <w:noProof/>
            <w:webHidden/>
            <w:rtl/>
          </w:rPr>
          <w:fldChar w:fldCharType="begin"/>
        </w:r>
        <w:r w:rsidR="001821A4" w:rsidRPr="001821A4">
          <w:rPr>
            <w:noProof/>
            <w:webHidden/>
            <w:rtl/>
          </w:rPr>
          <w:instrText xml:space="preserve"> </w:instrText>
        </w:r>
        <w:r w:rsidR="001821A4" w:rsidRPr="001821A4">
          <w:rPr>
            <w:noProof/>
            <w:webHidden/>
          </w:rPr>
          <w:instrText xml:space="preserve">PAGEREF </w:instrText>
        </w:r>
        <w:r w:rsidR="001821A4" w:rsidRPr="001821A4">
          <w:rPr>
            <w:noProof/>
            <w:webHidden/>
            <w:rtl/>
          </w:rPr>
          <w:instrText>_</w:instrText>
        </w:r>
        <w:r w:rsidR="001821A4" w:rsidRPr="001821A4">
          <w:rPr>
            <w:noProof/>
            <w:webHidden/>
          </w:rPr>
          <w:instrText>Toc</w:instrText>
        </w:r>
        <w:r w:rsidR="001821A4" w:rsidRPr="001821A4">
          <w:rPr>
            <w:noProof/>
            <w:webHidden/>
            <w:rtl/>
          </w:rPr>
          <w:instrText xml:space="preserve">510011998 </w:instrText>
        </w:r>
        <w:r w:rsidR="001821A4" w:rsidRPr="001821A4">
          <w:rPr>
            <w:noProof/>
            <w:webHidden/>
          </w:rPr>
          <w:instrText>\h</w:instrText>
        </w:r>
        <w:r w:rsidR="001821A4" w:rsidRPr="001821A4">
          <w:rPr>
            <w:noProof/>
            <w:webHidden/>
            <w:rtl/>
          </w:rPr>
          <w:instrText xml:space="preserve"> </w:instrText>
        </w:r>
        <w:r w:rsidR="001821A4" w:rsidRPr="001821A4">
          <w:rPr>
            <w:noProof/>
            <w:webHidden/>
            <w:rtl/>
          </w:rPr>
        </w:r>
        <w:r w:rsidR="001821A4" w:rsidRPr="001821A4">
          <w:rPr>
            <w:noProof/>
            <w:webHidden/>
            <w:rtl/>
          </w:rPr>
          <w:fldChar w:fldCharType="separate"/>
        </w:r>
        <w:r w:rsidR="001821A4" w:rsidRPr="001821A4">
          <w:rPr>
            <w:noProof/>
            <w:webHidden/>
            <w:rtl/>
          </w:rPr>
          <w:t>1</w:t>
        </w:r>
        <w:r w:rsidR="001821A4" w:rsidRPr="001821A4">
          <w:rPr>
            <w:noProof/>
            <w:webHidden/>
            <w:rtl/>
          </w:rPr>
          <w:fldChar w:fldCharType="end"/>
        </w:r>
      </w:hyperlink>
    </w:p>
    <w:p w:rsidR="001821A4" w:rsidRPr="001821A4" w:rsidRDefault="001D1A28" w:rsidP="001821A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0011999" w:history="1">
        <w:r w:rsidR="001821A4" w:rsidRPr="001821A4">
          <w:rPr>
            <w:rStyle w:val="Hyperlink"/>
            <w:iCs w:val="0"/>
            <w:noProof/>
            <w:rtl/>
          </w:rPr>
          <w:t>عدم پذ</w:t>
        </w:r>
        <w:r w:rsidR="001821A4" w:rsidRPr="001821A4">
          <w:rPr>
            <w:rStyle w:val="Hyperlink"/>
            <w:rFonts w:hint="cs"/>
            <w:iCs w:val="0"/>
            <w:noProof/>
            <w:rtl/>
          </w:rPr>
          <w:t>ی</w:t>
        </w:r>
        <w:r w:rsidR="001821A4" w:rsidRPr="001821A4">
          <w:rPr>
            <w:rStyle w:val="Hyperlink"/>
            <w:rFonts w:hint="eastAsia"/>
            <w:iCs w:val="0"/>
            <w:noProof/>
            <w:rtl/>
          </w:rPr>
          <w:t>رش</w:t>
        </w:r>
        <w:r w:rsidR="001821A4" w:rsidRPr="001821A4">
          <w:rPr>
            <w:rStyle w:val="Hyperlink"/>
            <w:iCs w:val="0"/>
            <w:noProof/>
            <w:rtl/>
          </w:rPr>
          <w:t xml:space="preserve"> تقد</w:t>
        </w:r>
        <w:r w:rsidR="001821A4" w:rsidRPr="001821A4">
          <w:rPr>
            <w:rStyle w:val="Hyperlink"/>
            <w:rFonts w:hint="cs"/>
            <w:iCs w:val="0"/>
            <w:noProof/>
            <w:rtl/>
          </w:rPr>
          <w:t>ی</w:t>
        </w:r>
        <w:r w:rsidR="001821A4" w:rsidRPr="001821A4">
          <w:rPr>
            <w:rStyle w:val="Hyperlink"/>
            <w:rFonts w:hint="eastAsia"/>
            <w:iCs w:val="0"/>
            <w:noProof/>
            <w:rtl/>
          </w:rPr>
          <w:t>م</w:t>
        </w:r>
        <w:r w:rsidR="001821A4" w:rsidRPr="001821A4">
          <w:rPr>
            <w:rStyle w:val="Hyperlink"/>
            <w:iCs w:val="0"/>
            <w:noProof/>
            <w:rtl/>
          </w:rPr>
          <w:t xml:space="preserve"> حق الناس توسط صاحب عروه و ب</w:t>
        </w:r>
        <w:r w:rsidR="001821A4" w:rsidRPr="001821A4">
          <w:rPr>
            <w:rStyle w:val="Hyperlink"/>
            <w:rFonts w:hint="cs"/>
            <w:iCs w:val="0"/>
            <w:noProof/>
            <w:rtl/>
          </w:rPr>
          <w:t>ی</w:t>
        </w:r>
        <w:r w:rsidR="001821A4" w:rsidRPr="001821A4">
          <w:rPr>
            <w:rStyle w:val="Hyperlink"/>
            <w:rFonts w:hint="eastAsia"/>
            <w:iCs w:val="0"/>
            <w:noProof/>
            <w:rtl/>
          </w:rPr>
          <w:t>ان</w:t>
        </w:r>
        <w:r w:rsidR="001821A4" w:rsidRPr="001821A4">
          <w:rPr>
            <w:rStyle w:val="Hyperlink"/>
            <w:iCs w:val="0"/>
            <w:noProof/>
            <w:rtl/>
          </w:rPr>
          <w:t xml:space="preserve"> شاهد توسط ا</w:t>
        </w:r>
        <w:r w:rsidR="001821A4" w:rsidRPr="001821A4">
          <w:rPr>
            <w:rStyle w:val="Hyperlink"/>
            <w:rFonts w:hint="cs"/>
            <w:iCs w:val="0"/>
            <w:noProof/>
            <w:rtl/>
          </w:rPr>
          <w:t>ی</w:t>
        </w:r>
        <w:r w:rsidR="001821A4" w:rsidRPr="001821A4">
          <w:rPr>
            <w:rStyle w:val="Hyperlink"/>
            <w:rFonts w:hint="eastAsia"/>
            <w:iCs w:val="0"/>
            <w:noProof/>
            <w:rtl/>
          </w:rPr>
          <w:t>شان</w:t>
        </w:r>
        <w:r w:rsidR="001821A4" w:rsidRPr="001821A4">
          <w:rPr>
            <w:iCs w:val="0"/>
            <w:noProof/>
            <w:webHidden/>
            <w:rtl/>
          </w:rPr>
          <w:tab/>
        </w:r>
        <w:r w:rsidR="001821A4" w:rsidRPr="001821A4">
          <w:rPr>
            <w:iCs w:val="0"/>
            <w:noProof/>
            <w:webHidden/>
            <w:rtl/>
          </w:rPr>
          <w:fldChar w:fldCharType="begin"/>
        </w:r>
        <w:r w:rsidR="001821A4" w:rsidRPr="001821A4">
          <w:rPr>
            <w:iCs w:val="0"/>
            <w:noProof/>
            <w:webHidden/>
            <w:rtl/>
          </w:rPr>
          <w:instrText xml:space="preserve"> </w:instrText>
        </w:r>
        <w:r w:rsidR="001821A4" w:rsidRPr="001821A4">
          <w:rPr>
            <w:iCs w:val="0"/>
            <w:noProof/>
            <w:webHidden/>
          </w:rPr>
          <w:instrText xml:space="preserve">PAGEREF </w:instrText>
        </w:r>
        <w:r w:rsidR="001821A4" w:rsidRPr="001821A4">
          <w:rPr>
            <w:iCs w:val="0"/>
            <w:noProof/>
            <w:webHidden/>
            <w:rtl/>
          </w:rPr>
          <w:instrText>_</w:instrText>
        </w:r>
        <w:r w:rsidR="001821A4" w:rsidRPr="001821A4">
          <w:rPr>
            <w:iCs w:val="0"/>
            <w:noProof/>
            <w:webHidden/>
          </w:rPr>
          <w:instrText>Toc</w:instrText>
        </w:r>
        <w:r w:rsidR="001821A4" w:rsidRPr="001821A4">
          <w:rPr>
            <w:iCs w:val="0"/>
            <w:noProof/>
            <w:webHidden/>
            <w:rtl/>
          </w:rPr>
          <w:instrText xml:space="preserve">510011999 </w:instrText>
        </w:r>
        <w:r w:rsidR="001821A4" w:rsidRPr="001821A4">
          <w:rPr>
            <w:iCs w:val="0"/>
            <w:noProof/>
            <w:webHidden/>
          </w:rPr>
          <w:instrText>\h</w:instrText>
        </w:r>
        <w:r w:rsidR="001821A4" w:rsidRPr="001821A4">
          <w:rPr>
            <w:iCs w:val="0"/>
            <w:noProof/>
            <w:webHidden/>
            <w:rtl/>
          </w:rPr>
          <w:instrText xml:space="preserve"> </w:instrText>
        </w:r>
        <w:r w:rsidR="001821A4" w:rsidRPr="001821A4">
          <w:rPr>
            <w:iCs w:val="0"/>
            <w:noProof/>
            <w:webHidden/>
            <w:rtl/>
          </w:rPr>
        </w:r>
        <w:r w:rsidR="001821A4" w:rsidRPr="001821A4">
          <w:rPr>
            <w:iCs w:val="0"/>
            <w:noProof/>
            <w:webHidden/>
            <w:rtl/>
          </w:rPr>
          <w:fldChar w:fldCharType="separate"/>
        </w:r>
        <w:r w:rsidR="001821A4" w:rsidRPr="001821A4">
          <w:rPr>
            <w:iCs w:val="0"/>
            <w:noProof/>
            <w:webHidden/>
            <w:rtl/>
          </w:rPr>
          <w:t>1</w:t>
        </w:r>
        <w:r w:rsidR="001821A4" w:rsidRPr="001821A4">
          <w:rPr>
            <w:iCs w:val="0"/>
            <w:noProof/>
            <w:webHidden/>
            <w:rtl/>
          </w:rPr>
          <w:fldChar w:fldCharType="end"/>
        </w:r>
      </w:hyperlink>
    </w:p>
    <w:p w:rsidR="001821A4" w:rsidRPr="001821A4" w:rsidRDefault="001D1A28" w:rsidP="001821A4">
      <w:pPr>
        <w:pStyle w:val="TOC4"/>
        <w:tabs>
          <w:tab w:val="right" w:leader="dot" w:pos="10194"/>
        </w:tabs>
        <w:rPr>
          <w:rFonts w:asciiTheme="minorHAnsi" w:eastAsiaTheme="minorEastAsia" w:hAnsiTheme="minorHAnsi" w:cstheme="minorBidi"/>
          <w:bCs w:val="0"/>
          <w:noProof/>
          <w:color w:val="auto"/>
          <w:szCs w:val="22"/>
          <w:rtl/>
          <w:lang w:bidi="ar-SA"/>
        </w:rPr>
      </w:pPr>
      <w:hyperlink w:anchor="_Toc510012000" w:history="1">
        <w:r w:rsidR="001821A4" w:rsidRPr="001821A4">
          <w:rPr>
            <w:rStyle w:val="Hyperlink"/>
            <w:noProof/>
            <w:rtl/>
          </w:rPr>
          <w:t>پاسخ مرحوم آقا</w:t>
        </w:r>
        <w:r w:rsidR="001821A4" w:rsidRPr="001821A4">
          <w:rPr>
            <w:rStyle w:val="Hyperlink"/>
            <w:rFonts w:hint="cs"/>
            <w:noProof/>
            <w:rtl/>
          </w:rPr>
          <w:t>ی</w:t>
        </w:r>
        <w:r w:rsidR="001821A4" w:rsidRPr="001821A4">
          <w:rPr>
            <w:rStyle w:val="Hyperlink"/>
            <w:noProof/>
            <w:rtl/>
          </w:rPr>
          <w:t xml:space="preserve"> خو</w:t>
        </w:r>
        <w:r w:rsidR="001821A4" w:rsidRPr="001821A4">
          <w:rPr>
            <w:rStyle w:val="Hyperlink"/>
            <w:rFonts w:hint="cs"/>
            <w:noProof/>
            <w:rtl/>
          </w:rPr>
          <w:t>یی</w:t>
        </w:r>
        <w:r w:rsidR="001821A4" w:rsidRPr="001821A4">
          <w:rPr>
            <w:rStyle w:val="Hyperlink"/>
            <w:noProof/>
            <w:rtl/>
          </w:rPr>
          <w:t xml:space="preserve"> از شاهد صاحب عروه</w:t>
        </w:r>
        <w:r w:rsidR="001821A4" w:rsidRPr="001821A4">
          <w:rPr>
            <w:noProof/>
            <w:webHidden/>
            <w:rtl/>
          </w:rPr>
          <w:tab/>
        </w:r>
        <w:r w:rsidR="001821A4" w:rsidRPr="001821A4">
          <w:rPr>
            <w:noProof/>
            <w:webHidden/>
            <w:rtl/>
          </w:rPr>
          <w:fldChar w:fldCharType="begin"/>
        </w:r>
        <w:r w:rsidR="001821A4" w:rsidRPr="001821A4">
          <w:rPr>
            <w:noProof/>
            <w:webHidden/>
            <w:rtl/>
          </w:rPr>
          <w:instrText xml:space="preserve"> </w:instrText>
        </w:r>
        <w:r w:rsidR="001821A4" w:rsidRPr="001821A4">
          <w:rPr>
            <w:noProof/>
            <w:webHidden/>
          </w:rPr>
          <w:instrText xml:space="preserve">PAGEREF </w:instrText>
        </w:r>
        <w:r w:rsidR="001821A4" w:rsidRPr="001821A4">
          <w:rPr>
            <w:noProof/>
            <w:webHidden/>
            <w:rtl/>
          </w:rPr>
          <w:instrText>_</w:instrText>
        </w:r>
        <w:r w:rsidR="001821A4" w:rsidRPr="001821A4">
          <w:rPr>
            <w:noProof/>
            <w:webHidden/>
          </w:rPr>
          <w:instrText>Toc</w:instrText>
        </w:r>
        <w:r w:rsidR="001821A4" w:rsidRPr="001821A4">
          <w:rPr>
            <w:noProof/>
            <w:webHidden/>
            <w:rtl/>
          </w:rPr>
          <w:instrText xml:space="preserve">510012000 </w:instrText>
        </w:r>
        <w:r w:rsidR="001821A4" w:rsidRPr="001821A4">
          <w:rPr>
            <w:noProof/>
            <w:webHidden/>
          </w:rPr>
          <w:instrText>\h</w:instrText>
        </w:r>
        <w:r w:rsidR="001821A4" w:rsidRPr="001821A4">
          <w:rPr>
            <w:noProof/>
            <w:webHidden/>
            <w:rtl/>
          </w:rPr>
          <w:instrText xml:space="preserve"> </w:instrText>
        </w:r>
        <w:r w:rsidR="001821A4" w:rsidRPr="001821A4">
          <w:rPr>
            <w:noProof/>
            <w:webHidden/>
            <w:rtl/>
          </w:rPr>
        </w:r>
        <w:r w:rsidR="001821A4" w:rsidRPr="001821A4">
          <w:rPr>
            <w:noProof/>
            <w:webHidden/>
            <w:rtl/>
          </w:rPr>
          <w:fldChar w:fldCharType="separate"/>
        </w:r>
        <w:r w:rsidR="001821A4" w:rsidRPr="001821A4">
          <w:rPr>
            <w:noProof/>
            <w:webHidden/>
            <w:rtl/>
          </w:rPr>
          <w:t>2</w:t>
        </w:r>
        <w:r w:rsidR="001821A4" w:rsidRPr="001821A4">
          <w:rPr>
            <w:noProof/>
            <w:webHidden/>
            <w:rtl/>
          </w:rPr>
          <w:fldChar w:fldCharType="end"/>
        </w:r>
      </w:hyperlink>
    </w:p>
    <w:p w:rsidR="001821A4" w:rsidRPr="001821A4" w:rsidRDefault="001D1A28" w:rsidP="001821A4">
      <w:pPr>
        <w:pStyle w:val="TOC5"/>
        <w:tabs>
          <w:tab w:val="right" w:leader="dot" w:pos="10194"/>
        </w:tabs>
        <w:rPr>
          <w:rFonts w:asciiTheme="minorHAnsi" w:eastAsiaTheme="minorEastAsia" w:hAnsiTheme="minorHAnsi" w:cstheme="minorBidi"/>
          <w:bCs w:val="0"/>
          <w:noProof/>
          <w:color w:val="auto"/>
          <w:szCs w:val="22"/>
          <w:rtl/>
          <w:lang w:bidi="ar-SA"/>
        </w:rPr>
      </w:pPr>
      <w:hyperlink w:anchor="_Toc510012001" w:history="1">
        <w:r w:rsidR="001821A4" w:rsidRPr="001821A4">
          <w:rPr>
            <w:rStyle w:val="Hyperlink"/>
            <w:noProof/>
            <w:rtl/>
          </w:rPr>
          <w:t>بررس</w:t>
        </w:r>
        <w:r w:rsidR="001821A4" w:rsidRPr="001821A4">
          <w:rPr>
            <w:rStyle w:val="Hyperlink"/>
            <w:rFonts w:hint="cs"/>
            <w:noProof/>
            <w:rtl/>
          </w:rPr>
          <w:t>ی</w:t>
        </w:r>
        <w:r w:rsidR="001821A4" w:rsidRPr="001821A4">
          <w:rPr>
            <w:rStyle w:val="Hyperlink"/>
            <w:noProof/>
            <w:rtl/>
          </w:rPr>
          <w:t xml:space="preserve"> شاهد ذکر شده در کلام صاحب عروه</w:t>
        </w:r>
        <w:r w:rsidR="001821A4" w:rsidRPr="001821A4">
          <w:rPr>
            <w:noProof/>
            <w:webHidden/>
            <w:rtl/>
          </w:rPr>
          <w:tab/>
        </w:r>
        <w:r w:rsidR="001821A4" w:rsidRPr="001821A4">
          <w:rPr>
            <w:noProof/>
            <w:webHidden/>
            <w:rtl/>
          </w:rPr>
          <w:fldChar w:fldCharType="begin"/>
        </w:r>
        <w:r w:rsidR="001821A4" w:rsidRPr="001821A4">
          <w:rPr>
            <w:noProof/>
            <w:webHidden/>
            <w:rtl/>
          </w:rPr>
          <w:instrText xml:space="preserve"> </w:instrText>
        </w:r>
        <w:r w:rsidR="001821A4" w:rsidRPr="001821A4">
          <w:rPr>
            <w:noProof/>
            <w:webHidden/>
          </w:rPr>
          <w:instrText xml:space="preserve">PAGEREF </w:instrText>
        </w:r>
        <w:r w:rsidR="001821A4" w:rsidRPr="001821A4">
          <w:rPr>
            <w:noProof/>
            <w:webHidden/>
            <w:rtl/>
          </w:rPr>
          <w:instrText>_</w:instrText>
        </w:r>
        <w:r w:rsidR="001821A4" w:rsidRPr="001821A4">
          <w:rPr>
            <w:noProof/>
            <w:webHidden/>
          </w:rPr>
          <w:instrText>Toc</w:instrText>
        </w:r>
        <w:r w:rsidR="001821A4" w:rsidRPr="001821A4">
          <w:rPr>
            <w:noProof/>
            <w:webHidden/>
            <w:rtl/>
          </w:rPr>
          <w:instrText xml:space="preserve">510012001 </w:instrText>
        </w:r>
        <w:r w:rsidR="001821A4" w:rsidRPr="001821A4">
          <w:rPr>
            <w:noProof/>
            <w:webHidden/>
          </w:rPr>
          <w:instrText>\h</w:instrText>
        </w:r>
        <w:r w:rsidR="001821A4" w:rsidRPr="001821A4">
          <w:rPr>
            <w:noProof/>
            <w:webHidden/>
            <w:rtl/>
          </w:rPr>
          <w:instrText xml:space="preserve"> </w:instrText>
        </w:r>
        <w:r w:rsidR="001821A4" w:rsidRPr="001821A4">
          <w:rPr>
            <w:noProof/>
            <w:webHidden/>
            <w:rtl/>
          </w:rPr>
        </w:r>
        <w:r w:rsidR="001821A4" w:rsidRPr="001821A4">
          <w:rPr>
            <w:noProof/>
            <w:webHidden/>
            <w:rtl/>
          </w:rPr>
          <w:fldChar w:fldCharType="separate"/>
        </w:r>
        <w:r w:rsidR="001821A4" w:rsidRPr="001821A4">
          <w:rPr>
            <w:noProof/>
            <w:webHidden/>
            <w:rtl/>
          </w:rPr>
          <w:t>2</w:t>
        </w:r>
        <w:r w:rsidR="001821A4" w:rsidRPr="001821A4">
          <w:rPr>
            <w:noProof/>
            <w:webHidden/>
            <w:rtl/>
          </w:rPr>
          <w:fldChar w:fldCharType="end"/>
        </w:r>
      </w:hyperlink>
    </w:p>
    <w:p w:rsidR="001821A4" w:rsidRPr="001821A4" w:rsidRDefault="001D1A28" w:rsidP="001821A4">
      <w:pPr>
        <w:pStyle w:val="TOC4"/>
        <w:tabs>
          <w:tab w:val="right" w:leader="dot" w:pos="10194"/>
        </w:tabs>
        <w:rPr>
          <w:rFonts w:asciiTheme="minorHAnsi" w:eastAsiaTheme="minorEastAsia" w:hAnsiTheme="minorHAnsi" w:cstheme="minorBidi"/>
          <w:bCs w:val="0"/>
          <w:noProof/>
          <w:color w:val="auto"/>
          <w:szCs w:val="22"/>
          <w:rtl/>
          <w:lang w:bidi="ar-SA"/>
        </w:rPr>
      </w:pPr>
      <w:hyperlink w:anchor="_Toc510012002" w:history="1">
        <w:r w:rsidR="001821A4" w:rsidRPr="001821A4">
          <w:rPr>
            <w:rStyle w:val="Hyperlink"/>
            <w:noProof/>
            <w:rtl/>
          </w:rPr>
          <w:t>اشاره به روا</w:t>
        </w:r>
        <w:r w:rsidR="001821A4" w:rsidRPr="001821A4">
          <w:rPr>
            <w:rStyle w:val="Hyperlink"/>
            <w:rFonts w:hint="cs"/>
            <w:noProof/>
            <w:rtl/>
          </w:rPr>
          <w:t>ی</w:t>
        </w:r>
        <w:r w:rsidR="001821A4" w:rsidRPr="001821A4">
          <w:rPr>
            <w:rStyle w:val="Hyperlink"/>
            <w:rFonts w:hint="eastAsia"/>
            <w:noProof/>
            <w:rtl/>
          </w:rPr>
          <w:t>ت</w:t>
        </w:r>
        <w:r w:rsidR="001821A4" w:rsidRPr="001821A4">
          <w:rPr>
            <w:rStyle w:val="Hyperlink"/>
            <w:rFonts w:hint="cs"/>
            <w:noProof/>
            <w:rtl/>
          </w:rPr>
          <w:t>ی</w:t>
        </w:r>
        <w:r w:rsidR="001821A4" w:rsidRPr="001821A4">
          <w:rPr>
            <w:rStyle w:val="Hyperlink"/>
            <w:noProof/>
            <w:rtl/>
          </w:rPr>
          <w:t xml:space="preserve"> در غرر الکلم برا</w:t>
        </w:r>
        <w:r w:rsidR="001821A4" w:rsidRPr="001821A4">
          <w:rPr>
            <w:rStyle w:val="Hyperlink"/>
            <w:rFonts w:hint="cs"/>
            <w:noProof/>
            <w:rtl/>
          </w:rPr>
          <w:t>ی</w:t>
        </w:r>
        <w:r w:rsidR="001821A4" w:rsidRPr="001821A4">
          <w:rPr>
            <w:rStyle w:val="Hyperlink"/>
            <w:noProof/>
            <w:rtl/>
          </w:rPr>
          <w:t xml:space="preserve"> تقد</w:t>
        </w:r>
        <w:r w:rsidR="001821A4" w:rsidRPr="001821A4">
          <w:rPr>
            <w:rStyle w:val="Hyperlink"/>
            <w:rFonts w:hint="cs"/>
            <w:noProof/>
            <w:rtl/>
          </w:rPr>
          <w:t>ی</w:t>
        </w:r>
        <w:r w:rsidR="001821A4" w:rsidRPr="001821A4">
          <w:rPr>
            <w:rStyle w:val="Hyperlink"/>
            <w:rFonts w:hint="eastAsia"/>
            <w:noProof/>
            <w:rtl/>
          </w:rPr>
          <w:t>م</w:t>
        </w:r>
        <w:r w:rsidR="001821A4" w:rsidRPr="001821A4">
          <w:rPr>
            <w:rStyle w:val="Hyperlink"/>
            <w:noProof/>
            <w:rtl/>
          </w:rPr>
          <w:t xml:space="preserve"> حق الناس</w:t>
        </w:r>
        <w:r w:rsidR="001821A4" w:rsidRPr="001821A4">
          <w:rPr>
            <w:noProof/>
            <w:webHidden/>
            <w:rtl/>
          </w:rPr>
          <w:tab/>
        </w:r>
        <w:r w:rsidR="001821A4" w:rsidRPr="001821A4">
          <w:rPr>
            <w:noProof/>
            <w:webHidden/>
            <w:rtl/>
          </w:rPr>
          <w:fldChar w:fldCharType="begin"/>
        </w:r>
        <w:r w:rsidR="001821A4" w:rsidRPr="001821A4">
          <w:rPr>
            <w:noProof/>
            <w:webHidden/>
            <w:rtl/>
          </w:rPr>
          <w:instrText xml:space="preserve"> </w:instrText>
        </w:r>
        <w:r w:rsidR="001821A4" w:rsidRPr="001821A4">
          <w:rPr>
            <w:noProof/>
            <w:webHidden/>
          </w:rPr>
          <w:instrText xml:space="preserve">PAGEREF </w:instrText>
        </w:r>
        <w:r w:rsidR="001821A4" w:rsidRPr="001821A4">
          <w:rPr>
            <w:noProof/>
            <w:webHidden/>
            <w:rtl/>
          </w:rPr>
          <w:instrText>_</w:instrText>
        </w:r>
        <w:r w:rsidR="001821A4" w:rsidRPr="001821A4">
          <w:rPr>
            <w:noProof/>
            <w:webHidden/>
          </w:rPr>
          <w:instrText>Toc</w:instrText>
        </w:r>
        <w:r w:rsidR="001821A4" w:rsidRPr="001821A4">
          <w:rPr>
            <w:noProof/>
            <w:webHidden/>
            <w:rtl/>
          </w:rPr>
          <w:instrText xml:space="preserve">510012002 </w:instrText>
        </w:r>
        <w:r w:rsidR="001821A4" w:rsidRPr="001821A4">
          <w:rPr>
            <w:noProof/>
            <w:webHidden/>
          </w:rPr>
          <w:instrText>\h</w:instrText>
        </w:r>
        <w:r w:rsidR="001821A4" w:rsidRPr="001821A4">
          <w:rPr>
            <w:noProof/>
            <w:webHidden/>
            <w:rtl/>
          </w:rPr>
          <w:instrText xml:space="preserve"> </w:instrText>
        </w:r>
        <w:r w:rsidR="001821A4" w:rsidRPr="001821A4">
          <w:rPr>
            <w:noProof/>
            <w:webHidden/>
            <w:rtl/>
          </w:rPr>
        </w:r>
        <w:r w:rsidR="001821A4" w:rsidRPr="001821A4">
          <w:rPr>
            <w:noProof/>
            <w:webHidden/>
            <w:rtl/>
          </w:rPr>
          <w:fldChar w:fldCharType="separate"/>
        </w:r>
        <w:r w:rsidR="001821A4" w:rsidRPr="001821A4">
          <w:rPr>
            <w:noProof/>
            <w:webHidden/>
            <w:rtl/>
          </w:rPr>
          <w:t>3</w:t>
        </w:r>
        <w:r w:rsidR="001821A4" w:rsidRPr="001821A4">
          <w:rPr>
            <w:noProof/>
            <w:webHidden/>
            <w:rtl/>
          </w:rPr>
          <w:fldChar w:fldCharType="end"/>
        </w:r>
      </w:hyperlink>
    </w:p>
    <w:p w:rsidR="001821A4" w:rsidRPr="001821A4" w:rsidRDefault="001D1A28" w:rsidP="001821A4">
      <w:pPr>
        <w:pStyle w:val="TOC2"/>
        <w:tabs>
          <w:tab w:val="right" w:leader="dot" w:pos="10194"/>
        </w:tabs>
        <w:rPr>
          <w:rFonts w:asciiTheme="minorHAnsi" w:eastAsiaTheme="minorEastAsia" w:hAnsiTheme="minorHAnsi" w:cstheme="minorBidi"/>
          <w:bCs w:val="0"/>
          <w:noProof/>
          <w:color w:val="auto"/>
          <w:szCs w:val="22"/>
          <w:rtl/>
          <w:lang w:bidi="ar-SA"/>
        </w:rPr>
      </w:pPr>
      <w:hyperlink w:anchor="_Toc510012003" w:history="1">
        <w:r w:rsidR="001821A4" w:rsidRPr="001821A4">
          <w:rPr>
            <w:rStyle w:val="Hyperlink"/>
            <w:noProof/>
            <w:rtl/>
          </w:rPr>
          <w:t>9- تقد</w:t>
        </w:r>
        <w:r w:rsidR="001821A4" w:rsidRPr="001821A4">
          <w:rPr>
            <w:rStyle w:val="Hyperlink"/>
            <w:rFonts w:hint="cs"/>
            <w:noProof/>
            <w:rtl/>
          </w:rPr>
          <w:t>ی</w:t>
        </w:r>
        <w:r w:rsidR="001821A4" w:rsidRPr="001821A4">
          <w:rPr>
            <w:rStyle w:val="Hyperlink"/>
            <w:rFonts w:hint="eastAsia"/>
            <w:noProof/>
            <w:rtl/>
          </w:rPr>
          <w:t>م</w:t>
        </w:r>
        <w:r w:rsidR="001821A4" w:rsidRPr="001821A4">
          <w:rPr>
            <w:rStyle w:val="Hyperlink"/>
            <w:noProof/>
            <w:rtl/>
          </w:rPr>
          <w:t xml:space="preserve"> تعب</w:t>
        </w:r>
        <w:r w:rsidR="001821A4" w:rsidRPr="001821A4">
          <w:rPr>
            <w:rStyle w:val="Hyperlink"/>
            <w:rFonts w:hint="cs"/>
            <w:noProof/>
            <w:rtl/>
          </w:rPr>
          <w:t>ی</w:t>
        </w:r>
        <w:r w:rsidR="001821A4" w:rsidRPr="001821A4">
          <w:rPr>
            <w:rStyle w:val="Hyperlink"/>
            <w:rFonts w:hint="eastAsia"/>
            <w:noProof/>
            <w:rtl/>
          </w:rPr>
          <w:t>ر</w:t>
        </w:r>
        <w:r w:rsidR="001821A4" w:rsidRPr="001821A4">
          <w:rPr>
            <w:rStyle w:val="Hyperlink"/>
            <w:noProof/>
            <w:rtl/>
          </w:rPr>
          <w:t xml:space="preserve"> «حرام» بر «</w:t>
        </w:r>
        <w:r w:rsidR="001821A4" w:rsidRPr="001821A4">
          <w:rPr>
            <w:rStyle w:val="Hyperlink"/>
            <w:rFonts w:hint="cs"/>
            <w:noProof/>
            <w:rtl/>
          </w:rPr>
          <w:t>ی</w:t>
        </w:r>
        <w:r w:rsidR="001821A4" w:rsidRPr="001821A4">
          <w:rPr>
            <w:rStyle w:val="Hyperlink"/>
            <w:rFonts w:hint="eastAsia"/>
            <w:noProof/>
            <w:rtl/>
          </w:rPr>
          <w:t>کره»</w:t>
        </w:r>
        <w:r w:rsidR="001821A4" w:rsidRPr="001821A4">
          <w:rPr>
            <w:rStyle w:val="Hyperlink"/>
            <w:noProof/>
            <w:rtl/>
          </w:rPr>
          <w:t xml:space="preserve"> و «نه</w:t>
        </w:r>
        <w:r w:rsidR="001821A4" w:rsidRPr="001821A4">
          <w:rPr>
            <w:rStyle w:val="Hyperlink"/>
            <w:rFonts w:hint="cs"/>
            <w:noProof/>
            <w:rtl/>
          </w:rPr>
          <w:t>ی</w:t>
        </w:r>
        <w:r w:rsidR="001821A4" w:rsidRPr="001821A4">
          <w:rPr>
            <w:rStyle w:val="Hyperlink"/>
            <w:noProof/>
            <w:rtl/>
          </w:rPr>
          <w:t xml:space="preserve"> عنه»</w:t>
        </w:r>
        <w:r w:rsidR="001821A4" w:rsidRPr="001821A4">
          <w:rPr>
            <w:noProof/>
            <w:webHidden/>
            <w:rtl/>
          </w:rPr>
          <w:tab/>
        </w:r>
        <w:r w:rsidR="001821A4" w:rsidRPr="001821A4">
          <w:rPr>
            <w:noProof/>
            <w:webHidden/>
            <w:rtl/>
          </w:rPr>
          <w:fldChar w:fldCharType="begin"/>
        </w:r>
        <w:r w:rsidR="001821A4" w:rsidRPr="001821A4">
          <w:rPr>
            <w:noProof/>
            <w:webHidden/>
            <w:rtl/>
          </w:rPr>
          <w:instrText xml:space="preserve"> </w:instrText>
        </w:r>
        <w:r w:rsidR="001821A4" w:rsidRPr="001821A4">
          <w:rPr>
            <w:noProof/>
            <w:webHidden/>
          </w:rPr>
          <w:instrText xml:space="preserve">PAGEREF </w:instrText>
        </w:r>
        <w:r w:rsidR="001821A4" w:rsidRPr="001821A4">
          <w:rPr>
            <w:noProof/>
            <w:webHidden/>
            <w:rtl/>
          </w:rPr>
          <w:instrText>_</w:instrText>
        </w:r>
        <w:r w:rsidR="001821A4" w:rsidRPr="001821A4">
          <w:rPr>
            <w:noProof/>
            <w:webHidden/>
          </w:rPr>
          <w:instrText>Toc</w:instrText>
        </w:r>
        <w:r w:rsidR="001821A4" w:rsidRPr="001821A4">
          <w:rPr>
            <w:noProof/>
            <w:webHidden/>
            <w:rtl/>
          </w:rPr>
          <w:instrText xml:space="preserve">510012003 </w:instrText>
        </w:r>
        <w:r w:rsidR="001821A4" w:rsidRPr="001821A4">
          <w:rPr>
            <w:noProof/>
            <w:webHidden/>
          </w:rPr>
          <w:instrText>\h</w:instrText>
        </w:r>
        <w:r w:rsidR="001821A4" w:rsidRPr="001821A4">
          <w:rPr>
            <w:noProof/>
            <w:webHidden/>
            <w:rtl/>
          </w:rPr>
          <w:instrText xml:space="preserve"> </w:instrText>
        </w:r>
        <w:r w:rsidR="001821A4" w:rsidRPr="001821A4">
          <w:rPr>
            <w:noProof/>
            <w:webHidden/>
            <w:rtl/>
          </w:rPr>
        </w:r>
        <w:r w:rsidR="001821A4" w:rsidRPr="001821A4">
          <w:rPr>
            <w:noProof/>
            <w:webHidden/>
            <w:rtl/>
          </w:rPr>
          <w:fldChar w:fldCharType="separate"/>
        </w:r>
        <w:r w:rsidR="001821A4" w:rsidRPr="001821A4">
          <w:rPr>
            <w:noProof/>
            <w:webHidden/>
            <w:rtl/>
          </w:rPr>
          <w:t>3</w:t>
        </w:r>
        <w:r w:rsidR="001821A4" w:rsidRPr="001821A4">
          <w:rPr>
            <w:noProof/>
            <w:webHidden/>
            <w:rtl/>
          </w:rPr>
          <w:fldChar w:fldCharType="end"/>
        </w:r>
      </w:hyperlink>
    </w:p>
    <w:p w:rsidR="001821A4" w:rsidRPr="001821A4" w:rsidRDefault="001D1A28" w:rsidP="001821A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0012004" w:history="1">
        <w:r w:rsidR="001821A4" w:rsidRPr="001821A4">
          <w:rPr>
            <w:rStyle w:val="Hyperlink"/>
            <w:iCs w:val="0"/>
            <w:noProof/>
            <w:rtl/>
          </w:rPr>
          <w:t>مناقشه در کلام آقا</w:t>
        </w:r>
        <w:r w:rsidR="001821A4" w:rsidRPr="001821A4">
          <w:rPr>
            <w:rStyle w:val="Hyperlink"/>
            <w:rFonts w:hint="cs"/>
            <w:iCs w:val="0"/>
            <w:noProof/>
            <w:rtl/>
          </w:rPr>
          <w:t>ی</w:t>
        </w:r>
        <w:r w:rsidR="001821A4" w:rsidRPr="001821A4">
          <w:rPr>
            <w:rStyle w:val="Hyperlink"/>
            <w:iCs w:val="0"/>
            <w:noProof/>
            <w:rtl/>
          </w:rPr>
          <w:t xml:space="preserve"> س</w:t>
        </w:r>
        <w:r w:rsidR="001821A4" w:rsidRPr="001821A4">
          <w:rPr>
            <w:rStyle w:val="Hyperlink"/>
            <w:rFonts w:hint="cs"/>
            <w:iCs w:val="0"/>
            <w:noProof/>
            <w:rtl/>
          </w:rPr>
          <w:t>ی</w:t>
        </w:r>
        <w:r w:rsidR="001821A4" w:rsidRPr="001821A4">
          <w:rPr>
            <w:rStyle w:val="Hyperlink"/>
            <w:rFonts w:hint="eastAsia"/>
            <w:iCs w:val="0"/>
            <w:noProof/>
            <w:rtl/>
          </w:rPr>
          <w:t>ستان</w:t>
        </w:r>
        <w:r w:rsidR="001821A4" w:rsidRPr="001821A4">
          <w:rPr>
            <w:rStyle w:val="Hyperlink"/>
            <w:rFonts w:hint="cs"/>
            <w:iCs w:val="0"/>
            <w:noProof/>
            <w:rtl/>
          </w:rPr>
          <w:t>ی</w:t>
        </w:r>
        <w:r w:rsidR="001821A4" w:rsidRPr="001821A4">
          <w:rPr>
            <w:iCs w:val="0"/>
            <w:noProof/>
            <w:webHidden/>
            <w:rtl/>
          </w:rPr>
          <w:tab/>
        </w:r>
        <w:r w:rsidR="001821A4" w:rsidRPr="001821A4">
          <w:rPr>
            <w:iCs w:val="0"/>
            <w:noProof/>
            <w:webHidden/>
            <w:rtl/>
          </w:rPr>
          <w:fldChar w:fldCharType="begin"/>
        </w:r>
        <w:r w:rsidR="001821A4" w:rsidRPr="001821A4">
          <w:rPr>
            <w:iCs w:val="0"/>
            <w:noProof/>
            <w:webHidden/>
            <w:rtl/>
          </w:rPr>
          <w:instrText xml:space="preserve"> </w:instrText>
        </w:r>
        <w:r w:rsidR="001821A4" w:rsidRPr="001821A4">
          <w:rPr>
            <w:iCs w:val="0"/>
            <w:noProof/>
            <w:webHidden/>
          </w:rPr>
          <w:instrText xml:space="preserve">PAGEREF </w:instrText>
        </w:r>
        <w:r w:rsidR="001821A4" w:rsidRPr="001821A4">
          <w:rPr>
            <w:iCs w:val="0"/>
            <w:noProof/>
            <w:webHidden/>
            <w:rtl/>
          </w:rPr>
          <w:instrText>_</w:instrText>
        </w:r>
        <w:r w:rsidR="001821A4" w:rsidRPr="001821A4">
          <w:rPr>
            <w:iCs w:val="0"/>
            <w:noProof/>
            <w:webHidden/>
          </w:rPr>
          <w:instrText>Toc</w:instrText>
        </w:r>
        <w:r w:rsidR="001821A4" w:rsidRPr="001821A4">
          <w:rPr>
            <w:iCs w:val="0"/>
            <w:noProof/>
            <w:webHidden/>
            <w:rtl/>
          </w:rPr>
          <w:instrText xml:space="preserve">510012004 </w:instrText>
        </w:r>
        <w:r w:rsidR="001821A4" w:rsidRPr="001821A4">
          <w:rPr>
            <w:iCs w:val="0"/>
            <w:noProof/>
            <w:webHidden/>
          </w:rPr>
          <w:instrText>\h</w:instrText>
        </w:r>
        <w:r w:rsidR="001821A4" w:rsidRPr="001821A4">
          <w:rPr>
            <w:iCs w:val="0"/>
            <w:noProof/>
            <w:webHidden/>
            <w:rtl/>
          </w:rPr>
          <w:instrText xml:space="preserve"> </w:instrText>
        </w:r>
        <w:r w:rsidR="001821A4" w:rsidRPr="001821A4">
          <w:rPr>
            <w:iCs w:val="0"/>
            <w:noProof/>
            <w:webHidden/>
            <w:rtl/>
          </w:rPr>
        </w:r>
        <w:r w:rsidR="001821A4" w:rsidRPr="001821A4">
          <w:rPr>
            <w:iCs w:val="0"/>
            <w:noProof/>
            <w:webHidden/>
            <w:rtl/>
          </w:rPr>
          <w:fldChar w:fldCharType="separate"/>
        </w:r>
        <w:r w:rsidR="001821A4" w:rsidRPr="001821A4">
          <w:rPr>
            <w:iCs w:val="0"/>
            <w:noProof/>
            <w:webHidden/>
            <w:rtl/>
          </w:rPr>
          <w:t>7</w:t>
        </w:r>
        <w:r w:rsidR="001821A4" w:rsidRPr="001821A4">
          <w:rPr>
            <w:iCs w:val="0"/>
            <w:noProof/>
            <w:webHidden/>
            <w:rtl/>
          </w:rPr>
          <w:fldChar w:fldCharType="end"/>
        </w:r>
      </w:hyperlink>
    </w:p>
    <w:p w:rsidR="001821A4" w:rsidRPr="001821A4" w:rsidRDefault="001D1A28" w:rsidP="001821A4">
      <w:pPr>
        <w:pStyle w:val="TOC4"/>
        <w:tabs>
          <w:tab w:val="right" w:leader="dot" w:pos="10194"/>
        </w:tabs>
        <w:rPr>
          <w:rFonts w:asciiTheme="minorHAnsi" w:eastAsiaTheme="minorEastAsia" w:hAnsiTheme="minorHAnsi" w:cstheme="minorBidi"/>
          <w:bCs w:val="0"/>
          <w:noProof/>
          <w:color w:val="auto"/>
          <w:szCs w:val="22"/>
          <w:rtl/>
          <w:lang w:bidi="ar-SA"/>
        </w:rPr>
      </w:pPr>
      <w:hyperlink w:anchor="_Toc510012005" w:history="1">
        <w:r w:rsidR="001821A4" w:rsidRPr="001821A4">
          <w:rPr>
            <w:rStyle w:val="Hyperlink"/>
            <w:noProof/>
            <w:rtl/>
          </w:rPr>
          <w:t>الف: مناقشه در استظهار از روا</w:t>
        </w:r>
        <w:r w:rsidR="001821A4" w:rsidRPr="001821A4">
          <w:rPr>
            <w:rStyle w:val="Hyperlink"/>
            <w:rFonts w:hint="cs"/>
            <w:noProof/>
            <w:rtl/>
          </w:rPr>
          <w:t>ی</w:t>
        </w:r>
        <w:r w:rsidR="001821A4" w:rsidRPr="001821A4">
          <w:rPr>
            <w:rStyle w:val="Hyperlink"/>
            <w:rFonts w:hint="eastAsia"/>
            <w:noProof/>
            <w:rtl/>
          </w:rPr>
          <w:t>ات</w:t>
        </w:r>
        <w:r w:rsidR="001821A4" w:rsidRPr="001821A4">
          <w:rPr>
            <w:noProof/>
            <w:webHidden/>
            <w:rtl/>
          </w:rPr>
          <w:tab/>
        </w:r>
        <w:r w:rsidR="001821A4" w:rsidRPr="001821A4">
          <w:rPr>
            <w:noProof/>
            <w:webHidden/>
            <w:rtl/>
          </w:rPr>
          <w:fldChar w:fldCharType="begin"/>
        </w:r>
        <w:r w:rsidR="001821A4" w:rsidRPr="001821A4">
          <w:rPr>
            <w:noProof/>
            <w:webHidden/>
            <w:rtl/>
          </w:rPr>
          <w:instrText xml:space="preserve"> </w:instrText>
        </w:r>
        <w:r w:rsidR="001821A4" w:rsidRPr="001821A4">
          <w:rPr>
            <w:noProof/>
            <w:webHidden/>
          </w:rPr>
          <w:instrText xml:space="preserve">PAGEREF </w:instrText>
        </w:r>
        <w:r w:rsidR="001821A4" w:rsidRPr="001821A4">
          <w:rPr>
            <w:noProof/>
            <w:webHidden/>
            <w:rtl/>
          </w:rPr>
          <w:instrText>_</w:instrText>
        </w:r>
        <w:r w:rsidR="001821A4" w:rsidRPr="001821A4">
          <w:rPr>
            <w:noProof/>
            <w:webHidden/>
          </w:rPr>
          <w:instrText>Toc</w:instrText>
        </w:r>
        <w:r w:rsidR="001821A4" w:rsidRPr="001821A4">
          <w:rPr>
            <w:noProof/>
            <w:webHidden/>
            <w:rtl/>
          </w:rPr>
          <w:instrText xml:space="preserve">510012005 </w:instrText>
        </w:r>
        <w:r w:rsidR="001821A4" w:rsidRPr="001821A4">
          <w:rPr>
            <w:noProof/>
            <w:webHidden/>
          </w:rPr>
          <w:instrText>\h</w:instrText>
        </w:r>
        <w:r w:rsidR="001821A4" w:rsidRPr="001821A4">
          <w:rPr>
            <w:noProof/>
            <w:webHidden/>
            <w:rtl/>
          </w:rPr>
          <w:instrText xml:space="preserve"> </w:instrText>
        </w:r>
        <w:r w:rsidR="001821A4" w:rsidRPr="001821A4">
          <w:rPr>
            <w:noProof/>
            <w:webHidden/>
            <w:rtl/>
          </w:rPr>
        </w:r>
        <w:r w:rsidR="001821A4" w:rsidRPr="001821A4">
          <w:rPr>
            <w:noProof/>
            <w:webHidden/>
            <w:rtl/>
          </w:rPr>
          <w:fldChar w:fldCharType="separate"/>
        </w:r>
        <w:r w:rsidR="001821A4" w:rsidRPr="001821A4">
          <w:rPr>
            <w:noProof/>
            <w:webHidden/>
            <w:rtl/>
          </w:rPr>
          <w:t>7</w:t>
        </w:r>
        <w:r w:rsidR="001821A4" w:rsidRPr="001821A4">
          <w:rPr>
            <w:noProof/>
            <w:webHidden/>
            <w:rtl/>
          </w:rPr>
          <w:fldChar w:fldCharType="end"/>
        </w:r>
      </w:hyperlink>
    </w:p>
    <w:p w:rsidR="001821A4" w:rsidRPr="001821A4" w:rsidRDefault="001D1A28" w:rsidP="001821A4">
      <w:pPr>
        <w:pStyle w:val="TOC4"/>
        <w:tabs>
          <w:tab w:val="right" w:leader="dot" w:pos="10194"/>
        </w:tabs>
        <w:rPr>
          <w:rFonts w:asciiTheme="minorHAnsi" w:eastAsiaTheme="minorEastAsia" w:hAnsiTheme="minorHAnsi" w:cstheme="minorBidi"/>
          <w:bCs w:val="0"/>
          <w:noProof/>
          <w:color w:val="auto"/>
          <w:szCs w:val="22"/>
          <w:rtl/>
          <w:lang w:bidi="ar-SA"/>
        </w:rPr>
      </w:pPr>
      <w:hyperlink w:anchor="_Toc510012006" w:history="1">
        <w:r w:rsidR="001821A4" w:rsidRPr="001821A4">
          <w:rPr>
            <w:rStyle w:val="Hyperlink"/>
            <w:noProof/>
            <w:rtl/>
          </w:rPr>
          <w:t>ب: مناقشه در استظهار از کلمات لغو</w:t>
        </w:r>
        <w:r w:rsidR="001821A4" w:rsidRPr="001821A4">
          <w:rPr>
            <w:rStyle w:val="Hyperlink"/>
            <w:rFonts w:hint="cs"/>
            <w:noProof/>
            <w:rtl/>
          </w:rPr>
          <w:t>یی</w:t>
        </w:r>
        <w:r w:rsidR="001821A4" w:rsidRPr="001821A4">
          <w:rPr>
            <w:rStyle w:val="Hyperlink"/>
            <w:rFonts w:hint="eastAsia"/>
            <w:noProof/>
            <w:rtl/>
          </w:rPr>
          <w:t>ن</w:t>
        </w:r>
        <w:r w:rsidR="001821A4" w:rsidRPr="001821A4">
          <w:rPr>
            <w:rStyle w:val="Hyperlink"/>
            <w:noProof/>
            <w:rtl/>
          </w:rPr>
          <w:t xml:space="preserve"> و فقهاء</w:t>
        </w:r>
        <w:r w:rsidR="001821A4" w:rsidRPr="001821A4">
          <w:rPr>
            <w:noProof/>
            <w:webHidden/>
            <w:rtl/>
          </w:rPr>
          <w:tab/>
        </w:r>
        <w:r w:rsidR="001821A4" w:rsidRPr="001821A4">
          <w:rPr>
            <w:noProof/>
            <w:webHidden/>
            <w:rtl/>
          </w:rPr>
          <w:fldChar w:fldCharType="begin"/>
        </w:r>
        <w:r w:rsidR="001821A4" w:rsidRPr="001821A4">
          <w:rPr>
            <w:noProof/>
            <w:webHidden/>
            <w:rtl/>
          </w:rPr>
          <w:instrText xml:space="preserve"> </w:instrText>
        </w:r>
        <w:r w:rsidR="001821A4" w:rsidRPr="001821A4">
          <w:rPr>
            <w:noProof/>
            <w:webHidden/>
          </w:rPr>
          <w:instrText xml:space="preserve">PAGEREF </w:instrText>
        </w:r>
        <w:r w:rsidR="001821A4" w:rsidRPr="001821A4">
          <w:rPr>
            <w:noProof/>
            <w:webHidden/>
            <w:rtl/>
          </w:rPr>
          <w:instrText>_</w:instrText>
        </w:r>
        <w:r w:rsidR="001821A4" w:rsidRPr="001821A4">
          <w:rPr>
            <w:noProof/>
            <w:webHidden/>
          </w:rPr>
          <w:instrText>Toc</w:instrText>
        </w:r>
        <w:r w:rsidR="001821A4" w:rsidRPr="001821A4">
          <w:rPr>
            <w:noProof/>
            <w:webHidden/>
            <w:rtl/>
          </w:rPr>
          <w:instrText xml:space="preserve">510012006 </w:instrText>
        </w:r>
        <w:r w:rsidR="001821A4" w:rsidRPr="001821A4">
          <w:rPr>
            <w:noProof/>
            <w:webHidden/>
          </w:rPr>
          <w:instrText>\h</w:instrText>
        </w:r>
        <w:r w:rsidR="001821A4" w:rsidRPr="001821A4">
          <w:rPr>
            <w:noProof/>
            <w:webHidden/>
            <w:rtl/>
          </w:rPr>
          <w:instrText xml:space="preserve"> </w:instrText>
        </w:r>
        <w:r w:rsidR="001821A4" w:rsidRPr="001821A4">
          <w:rPr>
            <w:noProof/>
            <w:webHidden/>
            <w:rtl/>
          </w:rPr>
        </w:r>
        <w:r w:rsidR="001821A4" w:rsidRPr="001821A4">
          <w:rPr>
            <w:noProof/>
            <w:webHidden/>
            <w:rtl/>
          </w:rPr>
          <w:fldChar w:fldCharType="separate"/>
        </w:r>
        <w:r w:rsidR="001821A4" w:rsidRPr="001821A4">
          <w:rPr>
            <w:noProof/>
            <w:webHidden/>
            <w:rtl/>
          </w:rPr>
          <w:t>7</w:t>
        </w:r>
        <w:r w:rsidR="001821A4" w:rsidRPr="001821A4">
          <w:rPr>
            <w:noProof/>
            <w:webHidden/>
            <w:rtl/>
          </w:rPr>
          <w:fldChar w:fldCharType="end"/>
        </w:r>
      </w:hyperlink>
    </w:p>
    <w:p w:rsidR="001821A4" w:rsidRPr="001821A4" w:rsidRDefault="001D1A28" w:rsidP="001821A4">
      <w:pPr>
        <w:pStyle w:val="TOC4"/>
        <w:tabs>
          <w:tab w:val="right" w:leader="dot" w:pos="10194"/>
        </w:tabs>
        <w:rPr>
          <w:rFonts w:asciiTheme="minorHAnsi" w:eastAsiaTheme="minorEastAsia" w:hAnsiTheme="minorHAnsi" w:cstheme="minorBidi"/>
          <w:bCs w:val="0"/>
          <w:noProof/>
          <w:color w:val="auto"/>
          <w:szCs w:val="22"/>
          <w:rtl/>
          <w:lang w:bidi="ar-SA"/>
        </w:rPr>
      </w:pPr>
      <w:hyperlink w:anchor="_Toc510012007" w:history="1">
        <w:r w:rsidR="001821A4" w:rsidRPr="001821A4">
          <w:rPr>
            <w:rStyle w:val="Hyperlink"/>
            <w:noProof/>
            <w:rtl/>
          </w:rPr>
          <w:t>ج: پاسخ از روا</w:t>
        </w:r>
        <w:r w:rsidR="001821A4" w:rsidRPr="001821A4">
          <w:rPr>
            <w:rStyle w:val="Hyperlink"/>
            <w:rFonts w:hint="cs"/>
            <w:noProof/>
            <w:rtl/>
          </w:rPr>
          <w:t>ی</w:t>
        </w:r>
        <w:r w:rsidR="001821A4" w:rsidRPr="001821A4">
          <w:rPr>
            <w:rStyle w:val="Hyperlink"/>
            <w:rFonts w:hint="eastAsia"/>
            <w:noProof/>
            <w:rtl/>
          </w:rPr>
          <w:t>ت</w:t>
        </w:r>
        <w:r w:rsidR="001821A4" w:rsidRPr="001821A4">
          <w:rPr>
            <w:rStyle w:val="Hyperlink"/>
            <w:noProof/>
            <w:rtl/>
          </w:rPr>
          <w:t xml:space="preserve"> «لم </w:t>
        </w:r>
        <w:r w:rsidR="001821A4" w:rsidRPr="001821A4">
          <w:rPr>
            <w:rStyle w:val="Hyperlink"/>
            <w:rFonts w:hint="cs"/>
            <w:noProof/>
            <w:rtl/>
          </w:rPr>
          <w:t>ی</w:t>
        </w:r>
        <w:r w:rsidR="001821A4" w:rsidRPr="001821A4">
          <w:rPr>
            <w:rStyle w:val="Hyperlink"/>
            <w:rFonts w:hint="eastAsia"/>
            <w:noProof/>
            <w:rtl/>
          </w:rPr>
          <w:t>کن</w:t>
        </w:r>
        <w:r w:rsidR="001821A4" w:rsidRPr="001821A4">
          <w:rPr>
            <w:rStyle w:val="Hyperlink"/>
            <w:noProof/>
            <w:rtl/>
          </w:rPr>
          <w:t xml:space="preserve"> عل</w:t>
        </w:r>
        <w:r w:rsidR="001821A4" w:rsidRPr="001821A4">
          <w:rPr>
            <w:rStyle w:val="Hyperlink"/>
            <w:rFonts w:hint="cs"/>
            <w:noProof/>
            <w:rtl/>
          </w:rPr>
          <w:t>ی</w:t>
        </w:r>
        <w:r w:rsidR="001821A4" w:rsidRPr="001821A4">
          <w:rPr>
            <w:rStyle w:val="Hyperlink"/>
            <w:noProof/>
            <w:rtl/>
          </w:rPr>
          <w:t xml:space="preserve"> </w:t>
        </w:r>
        <w:r w:rsidR="001821A4" w:rsidRPr="001821A4">
          <w:rPr>
            <w:rStyle w:val="Hyperlink"/>
            <w:rFonts w:hint="cs"/>
            <w:noProof/>
            <w:rtl/>
          </w:rPr>
          <w:t>ی</w:t>
        </w:r>
        <w:r w:rsidR="001821A4" w:rsidRPr="001821A4">
          <w:rPr>
            <w:rStyle w:val="Hyperlink"/>
            <w:rFonts w:hint="eastAsia"/>
            <w:noProof/>
            <w:rtl/>
          </w:rPr>
          <w:t>کره</w:t>
        </w:r>
        <w:r w:rsidR="001821A4" w:rsidRPr="001821A4">
          <w:rPr>
            <w:rStyle w:val="Hyperlink"/>
            <w:noProof/>
            <w:rtl/>
          </w:rPr>
          <w:t xml:space="preserve"> الحلال»</w:t>
        </w:r>
        <w:r w:rsidR="001821A4" w:rsidRPr="001821A4">
          <w:rPr>
            <w:noProof/>
            <w:webHidden/>
            <w:rtl/>
          </w:rPr>
          <w:tab/>
        </w:r>
        <w:r w:rsidR="001821A4" w:rsidRPr="001821A4">
          <w:rPr>
            <w:noProof/>
            <w:webHidden/>
            <w:rtl/>
          </w:rPr>
          <w:fldChar w:fldCharType="begin"/>
        </w:r>
        <w:r w:rsidR="001821A4" w:rsidRPr="001821A4">
          <w:rPr>
            <w:noProof/>
            <w:webHidden/>
            <w:rtl/>
          </w:rPr>
          <w:instrText xml:space="preserve"> </w:instrText>
        </w:r>
        <w:r w:rsidR="001821A4" w:rsidRPr="001821A4">
          <w:rPr>
            <w:noProof/>
            <w:webHidden/>
          </w:rPr>
          <w:instrText xml:space="preserve">PAGEREF </w:instrText>
        </w:r>
        <w:r w:rsidR="001821A4" w:rsidRPr="001821A4">
          <w:rPr>
            <w:noProof/>
            <w:webHidden/>
            <w:rtl/>
          </w:rPr>
          <w:instrText>_</w:instrText>
        </w:r>
        <w:r w:rsidR="001821A4" w:rsidRPr="001821A4">
          <w:rPr>
            <w:noProof/>
            <w:webHidden/>
          </w:rPr>
          <w:instrText>Toc</w:instrText>
        </w:r>
        <w:r w:rsidR="001821A4" w:rsidRPr="001821A4">
          <w:rPr>
            <w:noProof/>
            <w:webHidden/>
            <w:rtl/>
          </w:rPr>
          <w:instrText xml:space="preserve">510012007 </w:instrText>
        </w:r>
        <w:r w:rsidR="001821A4" w:rsidRPr="001821A4">
          <w:rPr>
            <w:noProof/>
            <w:webHidden/>
          </w:rPr>
          <w:instrText>\h</w:instrText>
        </w:r>
        <w:r w:rsidR="001821A4" w:rsidRPr="001821A4">
          <w:rPr>
            <w:noProof/>
            <w:webHidden/>
            <w:rtl/>
          </w:rPr>
          <w:instrText xml:space="preserve"> </w:instrText>
        </w:r>
        <w:r w:rsidR="001821A4" w:rsidRPr="001821A4">
          <w:rPr>
            <w:noProof/>
            <w:webHidden/>
            <w:rtl/>
          </w:rPr>
        </w:r>
        <w:r w:rsidR="001821A4" w:rsidRPr="001821A4">
          <w:rPr>
            <w:noProof/>
            <w:webHidden/>
            <w:rtl/>
          </w:rPr>
          <w:fldChar w:fldCharType="separate"/>
        </w:r>
        <w:r w:rsidR="001821A4" w:rsidRPr="001821A4">
          <w:rPr>
            <w:noProof/>
            <w:webHidden/>
            <w:rtl/>
          </w:rPr>
          <w:t>9</w:t>
        </w:r>
        <w:r w:rsidR="001821A4" w:rsidRPr="001821A4">
          <w:rPr>
            <w:noProof/>
            <w:webHidden/>
            <w:rtl/>
          </w:rPr>
          <w:fldChar w:fldCharType="end"/>
        </w:r>
      </w:hyperlink>
    </w:p>
    <w:p w:rsidR="001821A4" w:rsidRPr="001821A4" w:rsidRDefault="001D1A28" w:rsidP="001821A4">
      <w:pPr>
        <w:pStyle w:val="TOC2"/>
        <w:tabs>
          <w:tab w:val="right" w:leader="dot" w:pos="10194"/>
        </w:tabs>
        <w:rPr>
          <w:rFonts w:asciiTheme="minorHAnsi" w:eastAsiaTheme="minorEastAsia" w:hAnsiTheme="minorHAnsi" w:cstheme="minorBidi"/>
          <w:bCs w:val="0"/>
          <w:noProof/>
          <w:color w:val="auto"/>
          <w:szCs w:val="22"/>
          <w:rtl/>
          <w:lang w:bidi="ar-SA"/>
        </w:rPr>
      </w:pPr>
      <w:hyperlink w:anchor="_Toc510012008" w:history="1">
        <w:r w:rsidR="001821A4" w:rsidRPr="001821A4">
          <w:rPr>
            <w:rStyle w:val="Hyperlink"/>
            <w:noProof/>
            <w:rtl/>
          </w:rPr>
          <w:t>10- قطع</w:t>
        </w:r>
        <w:r w:rsidR="001821A4" w:rsidRPr="001821A4">
          <w:rPr>
            <w:rStyle w:val="Hyperlink"/>
            <w:rFonts w:hint="cs"/>
            <w:noProof/>
            <w:rtl/>
          </w:rPr>
          <w:t>ی</w:t>
        </w:r>
        <w:r w:rsidR="001821A4" w:rsidRPr="001821A4">
          <w:rPr>
            <w:rStyle w:val="Hyperlink"/>
            <w:rFonts w:hint="eastAsia"/>
            <w:noProof/>
            <w:rtl/>
          </w:rPr>
          <w:t>ت</w:t>
        </w:r>
        <w:r w:rsidR="001821A4" w:rsidRPr="001821A4">
          <w:rPr>
            <w:rStyle w:val="Hyperlink"/>
            <w:noProof/>
            <w:rtl/>
          </w:rPr>
          <w:t xml:space="preserve"> دل</w:t>
        </w:r>
        <w:r w:rsidR="001821A4" w:rsidRPr="001821A4">
          <w:rPr>
            <w:rStyle w:val="Hyperlink"/>
            <w:rFonts w:hint="cs"/>
            <w:noProof/>
            <w:rtl/>
          </w:rPr>
          <w:t>ی</w:t>
        </w:r>
        <w:r w:rsidR="001821A4" w:rsidRPr="001821A4">
          <w:rPr>
            <w:rStyle w:val="Hyperlink"/>
            <w:rFonts w:hint="eastAsia"/>
            <w:noProof/>
            <w:rtl/>
          </w:rPr>
          <w:t>ل</w:t>
        </w:r>
        <w:r w:rsidR="001821A4" w:rsidRPr="001821A4">
          <w:rPr>
            <w:rStyle w:val="Hyperlink"/>
            <w:noProof/>
            <w:rtl/>
          </w:rPr>
          <w:t xml:space="preserve"> در </w:t>
        </w:r>
        <w:r w:rsidR="001821A4" w:rsidRPr="001821A4">
          <w:rPr>
            <w:rStyle w:val="Hyperlink"/>
            <w:rFonts w:hint="cs"/>
            <w:noProof/>
            <w:rtl/>
          </w:rPr>
          <w:t>ی</w:t>
        </w:r>
        <w:r w:rsidR="001821A4" w:rsidRPr="001821A4">
          <w:rPr>
            <w:rStyle w:val="Hyperlink"/>
            <w:rFonts w:hint="eastAsia"/>
            <w:noProof/>
            <w:rtl/>
          </w:rPr>
          <w:t>ک</w:t>
        </w:r>
        <w:r w:rsidR="001821A4" w:rsidRPr="001821A4">
          <w:rPr>
            <w:rStyle w:val="Hyperlink"/>
            <w:noProof/>
            <w:rtl/>
          </w:rPr>
          <w:t xml:space="preserve"> طرف و عدم قطع</w:t>
        </w:r>
        <w:r w:rsidR="001821A4" w:rsidRPr="001821A4">
          <w:rPr>
            <w:rStyle w:val="Hyperlink"/>
            <w:rFonts w:hint="cs"/>
            <w:noProof/>
            <w:rtl/>
          </w:rPr>
          <w:t>ی</w:t>
        </w:r>
        <w:r w:rsidR="001821A4" w:rsidRPr="001821A4">
          <w:rPr>
            <w:rStyle w:val="Hyperlink"/>
            <w:rFonts w:hint="eastAsia"/>
            <w:noProof/>
            <w:rtl/>
          </w:rPr>
          <w:t>ت</w:t>
        </w:r>
        <w:r w:rsidR="001821A4" w:rsidRPr="001821A4">
          <w:rPr>
            <w:rStyle w:val="Hyperlink"/>
            <w:noProof/>
            <w:rtl/>
          </w:rPr>
          <w:t xml:space="preserve"> طرف آخر</w:t>
        </w:r>
        <w:r w:rsidR="001821A4" w:rsidRPr="001821A4">
          <w:rPr>
            <w:noProof/>
            <w:webHidden/>
            <w:rtl/>
          </w:rPr>
          <w:tab/>
        </w:r>
        <w:r w:rsidR="001821A4" w:rsidRPr="001821A4">
          <w:rPr>
            <w:noProof/>
            <w:webHidden/>
            <w:rtl/>
          </w:rPr>
          <w:fldChar w:fldCharType="begin"/>
        </w:r>
        <w:r w:rsidR="001821A4" w:rsidRPr="001821A4">
          <w:rPr>
            <w:noProof/>
            <w:webHidden/>
            <w:rtl/>
          </w:rPr>
          <w:instrText xml:space="preserve"> </w:instrText>
        </w:r>
        <w:r w:rsidR="001821A4" w:rsidRPr="001821A4">
          <w:rPr>
            <w:noProof/>
            <w:webHidden/>
          </w:rPr>
          <w:instrText xml:space="preserve">PAGEREF </w:instrText>
        </w:r>
        <w:r w:rsidR="001821A4" w:rsidRPr="001821A4">
          <w:rPr>
            <w:noProof/>
            <w:webHidden/>
            <w:rtl/>
          </w:rPr>
          <w:instrText>_</w:instrText>
        </w:r>
        <w:r w:rsidR="001821A4" w:rsidRPr="001821A4">
          <w:rPr>
            <w:noProof/>
            <w:webHidden/>
          </w:rPr>
          <w:instrText>Toc</w:instrText>
        </w:r>
        <w:r w:rsidR="001821A4" w:rsidRPr="001821A4">
          <w:rPr>
            <w:noProof/>
            <w:webHidden/>
            <w:rtl/>
          </w:rPr>
          <w:instrText xml:space="preserve">510012008 </w:instrText>
        </w:r>
        <w:r w:rsidR="001821A4" w:rsidRPr="001821A4">
          <w:rPr>
            <w:noProof/>
            <w:webHidden/>
          </w:rPr>
          <w:instrText>\h</w:instrText>
        </w:r>
        <w:r w:rsidR="001821A4" w:rsidRPr="001821A4">
          <w:rPr>
            <w:noProof/>
            <w:webHidden/>
            <w:rtl/>
          </w:rPr>
          <w:instrText xml:space="preserve"> </w:instrText>
        </w:r>
        <w:r w:rsidR="001821A4" w:rsidRPr="001821A4">
          <w:rPr>
            <w:noProof/>
            <w:webHidden/>
            <w:rtl/>
          </w:rPr>
        </w:r>
        <w:r w:rsidR="001821A4" w:rsidRPr="001821A4">
          <w:rPr>
            <w:noProof/>
            <w:webHidden/>
            <w:rtl/>
          </w:rPr>
          <w:fldChar w:fldCharType="separate"/>
        </w:r>
        <w:r w:rsidR="001821A4" w:rsidRPr="001821A4">
          <w:rPr>
            <w:noProof/>
            <w:webHidden/>
            <w:rtl/>
          </w:rPr>
          <w:t>10</w:t>
        </w:r>
        <w:r w:rsidR="001821A4" w:rsidRPr="001821A4">
          <w:rPr>
            <w:noProof/>
            <w:webHidden/>
            <w:rtl/>
          </w:rPr>
          <w:fldChar w:fldCharType="end"/>
        </w:r>
      </w:hyperlink>
    </w:p>
    <w:p w:rsidR="00C91EB6" w:rsidRPr="00C91EB6" w:rsidRDefault="001821A4" w:rsidP="00974771">
      <w:pPr>
        <w:jc w:val="lowKashida"/>
      </w:pPr>
      <w:r>
        <w:rPr>
          <w:rFonts w:cs="B Titr"/>
          <w:noProof/>
          <w:webHidden/>
          <w:color w:val="632423" w:themeColor="accent2" w:themeShade="80"/>
          <w:szCs w:val="24"/>
          <w:rtl/>
        </w:rPr>
        <w:fldChar w:fldCharType="end"/>
      </w:r>
    </w:p>
    <w:p w:rsidR="00F343FB" w:rsidRPr="00A6366F" w:rsidRDefault="00F842AD" w:rsidP="00974771">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07FEB">
        <w:rPr>
          <w:rFonts w:hint="cs"/>
          <w:rtl/>
        </w:rPr>
        <w:t>تقدیم حق الناس بر حق الله</w:t>
      </w:r>
      <w:r w:rsidR="00386C11" w:rsidRPr="00A6366F">
        <w:rPr>
          <w:rFonts w:hint="cs"/>
          <w:rtl/>
        </w:rPr>
        <w:t>/</w:t>
      </w:r>
      <w:bookmarkStart w:id="1" w:name="BokSabj_d"/>
      <w:bookmarkEnd w:id="1"/>
      <w:r w:rsidR="00FF162E">
        <w:rPr>
          <w:rFonts w:hint="cs"/>
          <w:rtl/>
        </w:rPr>
        <w:t xml:space="preserve"> مرجّح</w:t>
      </w:r>
      <w:r w:rsidR="00590D1F">
        <w:rPr>
          <w:rtl/>
        </w:rPr>
        <w:t>ات باب تزاحم</w:t>
      </w:r>
      <w:r w:rsidR="00386C11" w:rsidRPr="00A6366F">
        <w:rPr>
          <w:rFonts w:hint="cs"/>
          <w:rtl/>
        </w:rPr>
        <w:t>/</w:t>
      </w:r>
      <w:bookmarkStart w:id="2" w:name="Bokkolli"/>
      <w:bookmarkEnd w:id="2"/>
      <w:r w:rsidR="00307FEB">
        <w:rPr>
          <w:rFonts w:hint="cs"/>
          <w:rtl/>
        </w:rPr>
        <w:t xml:space="preserve"> </w:t>
      </w:r>
      <w:r w:rsidR="00590D1F">
        <w:rPr>
          <w:rtl/>
        </w:rPr>
        <w:t xml:space="preserve">تعارض ادله </w:t>
      </w:r>
      <w:r w:rsidR="001B6799" w:rsidRPr="00A6366F">
        <w:rPr>
          <w:rFonts w:hint="cs"/>
          <w:rtl/>
        </w:rPr>
        <w:t xml:space="preserve"> </w:t>
      </w:r>
    </w:p>
    <w:p w:rsidR="008F5B4D" w:rsidRPr="009C66D5" w:rsidRDefault="008F5B4D" w:rsidP="00974771">
      <w:pPr>
        <w:jc w:val="lowKashida"/>
        <w:rPr>
          <w:rStyle w:val="Emphasis"/>
          <w:b/>
          <w:bCs w:val="0"/>
          <w:rtl/>
        </w:rPr>
      </w:pPr>
      <w:r w:rsidRPr="009C66D5">
        <w:rPr>
          <w:rStyle w:val="Emphasis"/>
          <w:rFonts w:hint="cs"/>
          <w:b/>
          <w:bCs w:val="0"/>
          <w:rtl/>
        </w:rPr>
        <w:t>خلاصه مباحث گذشته:</w:t>
      </w:r>
    </w:p>
    <w:p w:rsidR="00247D2F" w:rsidRPr="003A6148" w:rsidRDefault="00307FEB" w:rsidP="00974771">
      <w:pPr>
        <w:pBdr>
          <w:bottom w:val="double" w:sz="6" w:space="1" w:color="auto"/>
        </w:pBdr>
        <w:jc w:val="lowKashida"/>
      </w:pPr>
      <w:r>
        <w:rPr>
          <w:rFonts w:hint="cs"/>
          <w:rtl/>
        </w:rPr>
        <w:t>بحث در</w:t>
      </w:r>
      <w:r w:rsidR="00FF162E">
        <w:rPr>
          <w:rFonts w:hint="cs"/>
          <w:rtl/>
        </w:rPr>
        <w:t xml:space="preserve"> مرجّح</w:t>
      </w:r>
      <w:r>
        <w:rPr>
          <w:rFonts w:hint="cs"/>
          <w:rtl/>
        </w:rPr>
        <w:t>ات باب تزاحم قرار دارد که هفت مورد از</w:t>
      </w:r>
      <w:r w:rsidR="00FF162E">
        <w:rPr>
          <w:rFonts w:hint="cs"/>
          <w:rtl/>
        </w:rPr>
        <w:t xml:space="preserve"> مرجّح</w:t>
      </w:r>
      <w:r>
        <w:rPr>
          <w:rFonts w:hint="cs"/>
          <w:rtl/>
        </w:rPr>
        <w:t>ات ذکر شده، مورد بررسی قرار گرفت.</w:t>
      </w:r>
      <w:r w:rsidR="00FF162E">
        <w:rPr>
          <w:rFonts w:hint="cs"/>
          <w:rtl/>
        </w:rPr>
        <w:t xml:space="preserve"> مرجّح</w:t>
      </w:r>
      <w:r>
        <w:rPr>
          <w:rFonts w:hint="cs"/>
          <w:rtl/>
        </w:rPr>
        <w:t xml:space="preserve"> هشتم، ترجیح حق الناس بر حق الله است.</w:t>
      </w:r>
    </w:p>
    <w:p w:rsidR="003E6650" w:rsidRDefault="00307FEB" w:rsidP="00974771">
      <w:pPr>
        <w:pStyle w:val="Heading1"/>
        <w:jc w:val="lowKashida"/>
        <w:rPr>
          <w:rtl/>
        </w:rPr>
      </w:pPr>
      <w:bookmarkStart w:id="3" w:name="_Toc510011997"/>
      <w:r>
        <w:rPr>
          <w:rFonts w:hint="cs"/>
          <w:rtl/>
        </w:rPr>
        <w:t>مرجحات باب تزاحم</w:t>
      </w:r>
      <w:bookmarkEnd w:id="3"/>
    </w:p>
    <w:p w:rsidR="00FF282E" w:rsidRDefault="00855ED4" w:rsidP="00974771">
      <w:pPr>
        <w:pStyle w:val="Heading2"/>
        <w:jc w:val="lowKashida"/>
        <w:rPr>
          <w:rtl/>
        </w:rPr>
      </w:pPr>
      <w:bookmarkStart w:id="4" w:name="_Toc510011998"/>
      <w:r>
        <w:rPr>
          <w:rFonts w:hint="cs"/>
          <w:rtl/>
        </w:rPr>
        <w:t>8- تقدیم حق الناس بر حق الله</w:t>
      </w:r>
      <w:bookmarkEnd w:id="4"/>
    </w:p>
    <w:p w:rsidR="00855ED4" w:rsidRDefault="00855ED4" w:rsidP="00974771">
      <w:pPr>
        <w:jc w:val="lowKashida"/>
        <w:rPr>
          <w:rtl/>
        </w:rPr>
      </w:pPr>
      <w:r>
        <w:rPr>
          <w:rFonts w:hint="cs"/>
          <w:rtl/>
        </w:rPr>
        <w:t>هشتمین</w:t>
      </w:r>
      <w:r w:rsidR="00FF162E">
        <w:rPr>
          <w:rFonts w:hint="cs"/>
          <w:rtl/>
        </w:rPr>
        <w:t xml:space="preserve"> مرجّح</w:t>
      </w:r>
      <w:r>
        <w:rPr>
          <w:rFonts w:hint="cs"/>
          <w:rtl/>
        </w:rPr>
        <w:t xml:space="preserve"> از</w:t>
      </w:r>
      <w:r w:rsidR="00FF162E">
        <w:rPr>
          <w:rFonts w:hint="cs"/>
          <w:rtl/>
        </w:rPr>
        <w:t xml:space="preserve"> مرجّح</w:t>
      </w:r>
      <w:r>
        <w:rPr>
          <w:rFonts w:hint="cs"/>
          <w:rtl/>
        </w:rPr>
        <w:t>ات باب تزاحم، تقدیم حق الناس بر حق الله است که این</w:t>
      </w:r>
      <w:r w:rsidR="00FF162E">
        <w:rPr>
          <w:rFonts w:hint="cs"/>
          <w:rtl/>
        </w:rPr>
        <w:t xml:space="preserve"> مرجّح</w:t>
      </w:r>
      <w:r>
        <w:rPr>
          <w:rFonts w:hint="cs"/>
          <w:rtl/>
        </w:rPr>
        <w:t xml:space="preserve"> مورد پذیرش ما واقع نشد</w:t>
      </w:r>
      <w:r w:rsidR="00534165">
        <w:rPr>
          <w:rFonts w:hint="cs"/>
          <w:rtl/>
        </w:rPr>
        <w:t>.</w:t>
      </w:r>
    </w:p>
    <w:p w:rsidR="00642897" w:rsidRDefault="00642897" w:rsidP="00974771">
      <w:pPr>
        <w:pStyle w:val="Heading3"/>
        <w:jc w:val="lowKashida"/>
        <w:rPr>
          <w:rtl/>
        </w:rPr>
      </w:pPr>
      <w:bookmarkStart w:id="5" w:name="_Toc510011999"/>
      <w:r>
        <w:rPr>
          <w:rFonts w:hint="cs"/>
          <w:rtl/>
        </w:rPr>
        <w:t>عدم پذیرش تقدیم حق الناس توسط صاحب عروه و بیان شاهد</w:t>
      </w:r>
      <w:r w:rsidR="008767C6">
        <w:rPr>
          <w:rFonts w:hint="cs"/>
          <w:rtl/>
        </w:rPr>
        <w:t xml:space="preserve"> توسط ایشان</w:t>
      </w:r>
      <w:bookmarkEnd w:id="5"/>
    </w:p>
    <w:p w:rsidR="00534165" w:rsidRDefault="00534165" w:rsidP="00974771">
      <w:pPr>
        <w:jc w:val="lowKashida"/>
        <w:rPr>
          <w:rtl/>
        </w:rPr>
      </w:pPr>
      <w:r>
        <w:rPr>
          <w:rFonts w:hint="cs"/>
          <w:rtl/>
        </w:rPr>
        <w:t>صاحب عروه هم تقدیم حق الناس بر حق الله را نپذیرفته اند. ایشان برای عدم ترجیح حق الناس بر حق الله، به تقدیم حج بر اداء دین</w:t>
      </w:r>
      <w:r w:rsidR="00EB4235">
        <w:rPr>
          <w:rFonts w:hint="cs"/>
          <w:rtl/>
        </w:rPr>
        <w:t xml:space="preserve"> میت</w:t>
      </w:r>
      <w:r>
        <w:rPr>
          <w:rFonts w:hint="cs"/>
          <w:rtl/>
        </w:rPr>
        <w:t xml:space="preserve"> استشهاد کرده اند که مورد قبول فقهاء است که اگر شخصی فوت کند و ترکه او وافی به انجام حج و اداء دین او ن</w:t>
      </w:r>
      <w:r w:rsidR="006722B3">
        <w:rPr>
          <w:rFonts w:hint="cs"/>
          <w:rtl/>
        </w:rPr>
        <w:t>باشد و فرضا حج هم بر او مستقر باشد، حج مقدم بوده و لذا از طرف او حج انجام می شود و بعد انجام حج، اگر بقیه ترکه وافی به اداء دین باشد، دین او اداء خواهد شد.</w:t>
      </w:r>
      <w:bookmarkStart w:id="6" w:name="_GoBack"/>
      <w:bookmarkEnd w:id="6"/>
    </w:p>
    <w:p w:rsidR="008767C6" w:rsidRDefault="008767C6" w:rsidP="00974771">
      <w:pPr>
        <w:pStyle w:val="Heading4"/>
        <w:jc w:val="lowKashida"/>
        <w:rPr>
          <w:rtl/>
        </w:rPr>
      </w:pPr>
      <w:bookmarkStart w:id="7" w:name="_Toc510012000"/>
      <w:r>
        <w:rPr>
          <w:rFonts w:hint="cs"/>
          <w:rtl/>
        </w:rPr>
        <w:lastRenderedPageBreak/>
        <w:t>پاسخ مرحوم آقای خویی از شاهد صاحب عروه</w:t>
      </w:r>
      <w:bookmarkEnd w:id="7"/>
    </w:p>
    <w:p w:rsidR="006722B3" w:rsidRDefault="006722B3" w:rsidP="00974771">
      <w:pPr>
        <w:jc w:val="lowKashida"/>
        <w:rPr>
          <w:rtl/>
        </w:rPr>
      </w:pPr>
      <w:r>
        <w:rPr>
          <w:rFonts w:hint="cs"/>
          <w:rtl/>
        </w:rPr>
        <w:t xml:space="preserve">مرحوم آقای خویی در مورد تقدیم حج بر اداء دین فرموده اند: تقدیم حج مورد قبول ما است، اما </w:t>
      </w:r>
      <w:r w:rsidR="0032151F">
        <w:rPr>
          <w:rFonts w:hint="cs"/>
          <w:rtl/>
        </w:rPr>
        <w:t xml:space="preserve">این تقدیم تعبد خاص </w:t>
      </w:r>
      <w:r w:rsidR="00EB4235">
        <w:rPr>
          <w:rFonts w:hint="cs"/>
          <w:rtl/>
        </w:rPr>
        <w:t xml:space="preserve">در مورد میت </w:t>
      </w:r>
      <w:r w:rsidR="0032151F">
        <w:rPr>
          <w:rFonts w:hint="cs"/>
          <w:rtl/>
        </w:rPr>
        <w:t>است؛ چون در مورد میت که تکلیف ندارد، حج هم همانند سایر دیون، دین است و لذا در این فرض یک دین بر دین دیگر مقدم شده است</w:t>
      </w:r>
      <w:r w:rsidR="00642897">
        <w:rPr>
          <w:rFonts w:hint="cs"/>
          <w:rtl/>
        </w:rPr>
        <w:t>. بنابراین نمی توان شخص حیّ را که تکلیف دارد، با میت که تکلیف ندارد و حج</w:t>
      </w:r>
      <w:r w:rsidR="00EB4235">
        <w:rPr>
          <w:rFonts w:hint="cs"/>
          <w:rtl/>
        </w:rPr>
        <w:t xml:space="preserve"> او حکم وضعی و </w:t>
      </w:r>
      <w:r w:rsidR="00642897">
        <w:rPr>
          <w:rFonts w:hint="cs"/>
          <w:rtl/>
        </w:rPr>
        <w:t>دین است، مقایسه کرد.</w:t>
      </w:r>
    </w:p>
    <w:p w:rsidR="00642897" w:rsidRDefault="00945132" w:rsidP="00974771">
      <w:pPr>
        <w:pStyle w:val="Heading5"/>
        <w:jc w:val="lowKashida"/>
        <w:rPr>
          <w:rtl/>
        </w:rPr>
      </w:pPr>
      <w:bookmarkStart w:id="8" w:name="_Toc510012001"/>
      <w:r>
        <w:rPr>
          <w:rFonts w:hint="cs"/>
          <w:rtl/>
        </w:rPr>
        <w:t>بررسی شاهد ذکر شده در کلام صاحب عروه</w:t>
      </w:r>
      <w:bookmarkEnd w:id="8"/>
    </w:p>
    <w:p w:rsidR="00974771" w:rsidRDefault="008767C6" w:rsidP="00974771">
      <w:pPr>
        <w:jc w:val="lowKashida"/>
        <w:rPr>
          <w:rtl/>
        </w:rPr>
      </w:pPr>
      <w:r>
        <w:rPr>
          <w:rFonts w:hint="cs"/>
          <w:rtl/>
        </w:rPr>
        <w:t xml:space="preserve">به نظر ما شاهد ذکر شده توسط صاحب عروه، </w:t>
      </w:r>
      <w:r w:rsidR="00952764">
        <w:rPr>
          <w:rFonts w:hint="cs"/>
          <w:rtl/>
        </w:rPr>
        <w:t xml:space="preserve">برای اینکه ثابت نشود که حق الناس مطلقا بر حق الله مقدم است، مطلب خوبی است؛ چون به هر حال حج دین </w:t>
      </w:r>
      <w:r w:rsidR="00EB4235">
        <w:rPr>
          <w:rFonts w:hint="cs"/>
          <w:rtl/>
        </w:rPr>
        <w:t xml:space="preserve">بر میت </w:t>
      </w:r>
      <w:r w:rsidR="00952764">
        <w:rPr>
          <w:rFonts w:hint="cs"/>
          <w:rtl/>
        </w:rPr>
        <w:t xml:space="preserve">هم باشد، حق الناس نیست. </w:t>
      </w:r>
    </w:p>
    <w:p w:rsidR="008767C6" w:rsidRPr="008767C6" w:rsidRDefault="00952764" w:rsidP="00974771">
      <w:pPr>
        <w:jc w:val="lowKashida"/>
        <w:rPr>
          <w:rtl/>
        </w:rPr>
      </w:pPr>
      <w:r>
        <w:rPr>
          <w:rFonts w:hint="cs"/>
          <w:rtl/>
        </w:rPr>
        <w:t>علاوه بر اینکه دین بودن حج، تعبدی است</w:t>
      </w:r>
      <w:r w:rsidR="00A3786F">
        <w:rPr>
          <w:rFonts w:hint="cs"/>
          <w:rtl/>
        </w:rPr>
        <w:t xml:space="preserve"> و الا چه اشکالی وجود دارد که تکلیف به غرض اینکه دیگران ذمه او را فارغ کنند، بر عهده میت باقی باشد؛ همان طور که تکلیف به قضاء نماز و روزه همین گونه است و خود مرحوم آقای خویی هم پذیرفته اند که </w:t>
      </w:r>
      <w:r w:rsidR="00945132">
        <w:rPr>
          <w:rFonts w:hint="cs"/>
          <w:rtl/>
        </w:rPr>
        <w:t>نماز و روزه های قضا شده از میت، دین بر ذمه میت نمی شوند، بلکه به حال تکلیف باقی می مانند و اثر آن این است که مستحب است که دیگران آن را قضاء کنند.</w:t>
      </w:r>
      <w:r w:rsidR="00A3786F">
        <w:rPr>
          <w:rFonts w:hint="cs"/>
          <w:rtl/>
        </w:rPr>
        <w:t xml:space="preserve"> </w:t>
      </w:r>
    </w:p>
    <w:p w:rsidR="001A1EA5" w:rsidRDefault="00567276" w:rsidP="00974771">
      <w:pPr>
        <w:jc w:val="lowKashida"/>
        <w:rPr>
          <w:rtl/>
        </w:rPr>
      </w:pPr>
      <w:r>
        <w:rPr>
          <w:rFonts w:hint="cs"/>
          <w:rtl/>
        </w:rPr>
        <w:t xml:space="preserve">البته از نظر فقهی در مورد تقدیم حج بر </w:t>
      </w:r>
      <w:r w:rsidR="0028588B">
        <w:rPr>
          <w:rFonts w:hint="cs"/>
          <w:rtl/>
        </w:rPr>
        <w:t xml:space="preserve">اداء </w:t>
      </w:r>
      <w:r>
        <w:rPr>
          <w:rFonts w:hint="cs"/>
          <w:rtl/>
        </w:rPr>
        <w:t>سایر دیون، دو روایت وجود دارد:</w:t>
      </w:r>
    </w:p>
    <w:p w:rsidR="00567276" w:rsidRPr="007E5E16" w:rsidRDefault="00567276" w:rsidP="00974771">
      <w:pPr>
        <w:pStyle w:val="ListParagraph"/>
        <w:numPr>
          <w:ilvl w:val="0"/>
          <w:numId w:val="16"/>
        </w:numPr>
        <w:jc w:val="lowKashida"/>
        <w:rPr>
          <w:szCs w:val="22"/>
        </w:rPr>
      </w:pPr>
      <w:r>
        <w:rPr>
          <w:rFonts w:hint="cs"/>
          <w:rtl/>
        </w:rPr>
        <w:t xml:space="preserve">روایت اول </w:t>
      </w:r>
      <w:r w:rsidR="00926B44">
        <w:rPr>
          <w:rFonts w:hint="cs"/>
          <w:rtl/>
        </w:rPr>
        <w:t xml:space="preserve">در مورد این است که مکلف در بین راه فوت کند. در این روایت آمده است: </w:t>
      </w:r>
      <w:r w:rsidR="003023F6" w:rsidRPr="003023F6">
        <w:rPr>
          <w:rFonts w:hint="cs"/>
          <w:color w:val="008000"/>
          <w:rtl/>
        </w:rPr>
        <w:t>«</w:t>
      </w:r>
      <w:r w:rsidR="003023F6" w:rsidRPr="003023F6">
        <w:rPr>
          <w:color w:val="008000"/>
          <w:rtl/>
        </w:rPr>
        <w:t>جُعِلَ جَمَلُهُ وَ زَادُهُ وَ نَفَقَتُهُ وَ مَا مَعَهُ فِي حَجَّةِ الْإِسْلَامِ</w:t>
      </w:r>
      <w:r w:rsidR="003023F6" w:rsidRPr="003023F6">
        <w:rPr>
          <w:rFonts w:hint="cs"/>
          <w:color w:val="008000"/>
          <w:rtl/>
        </w:rPr>
        <w:t>»</w:t>
      </w:r>
      <w:r w:rsidR="003023F6">
        <w:rPr>
          <w:rStyle w:val="FootnoteReference"/>
          <w:color w:val="008000"/>
          <w:rtl/>
        </w:rPr>
        <w:footnoteReference w:id="1"/>
      </w:r>
      <w:r w:rsidR="007E5E16">
        <w:rPr>
          <w:rFonts w:hint="cs"/>
          <w:color w:val="008000"/>
          <w:rtl/>
        </w:rPr>
        <w:t xml:space="preserve"> </w:t>
      </w:r>
      <w:r w:rsidR="007E5E16">
        <w:rPr>
          <w:rFonts w:hint="cs"/>
          <w:rtl/>
        </w:rPr>
        <w:t>در این روایت حکم شده است که ترکه او صرف در حج شود و اگر ترکه او وافی به اداء هم بود، اداء دین هم صورت گیرد.</w:t>
      </w:r>
    </w:p>
    <w:p w:rsidR="007E5E16" w:rsidRDefault="007E5E16" w:rsidP="00974771">
      <w:pPr>
        <w:pStyle w:val="ListParagraph"/>
        <w:jc w:val="lowKashida"/>
        <w:rPr>
          <w:rtl/>
        </w:rPr>
      </w:pPr>
      <w:r>
        <w:rPr>
          <w:rFonts w:hint="cs"/>
          <w:rtl/>
        </w:rPr>
        <w:t>مورد این روایت فرضی است که شخص همراه خود اموالی را آورده است</w:t>
      </w:r>
      <w:r w:rsidR="000C679C">
        <w:rPr>
          <w:rFonts w:hint="cs"/>
          <w:rtl/>
        </w:rPr>
        <w:t xml:space="preserve"> که در این صورت انجام حج از طرف او مقدم بر دین او است و لذا از این روایت مطلق تقدیم حج از طرف میت بر اداء دین او استفاده نمی شود.</w:t>
      </w:r>
    </w:p>
    <w:p w:rsidR="000C679C" w:rsidRPr="001E78BA" w:rsidRDefault="000C679C" w:rsidP="00974771">
      <w:pPr>
        <w:pStyle w:val="ListParagraph"/>
        <w:numPr>
          <w:ilvl w:val="0"/>
          <w:numId w:val="16"/>
        </w:numPr>
        <w:jc w:val="lowKashida"/>
        <w:rPr>
          <w:szCs w:val="22"/>
        </w:rPr>
      </w:pPr>
      <w:r>
        <w:rPr>
          <w:rFonts w:hint="cs"/>
          <w:rtl/>
        </w:rPr>
        <w:t>روایت دیگر در مورد تقدیم حج بر زکات است</w:t>
      </w:r>
      <w:r w:rsidR="009708B5">
        <w:rPr>
          <w:rFonts w:hint="cs"/>
          <w:rtl/>
        </w:rPr>
        <w:t xml:space="preserve"> که زکات، دین هم</w:t>
      </w:r>
      <w:r w:rsidR="0028588B">
        <w:rPr>
          <w:rFonts w:hint="cs"/>
          <w:rtl/>
        </w:rPr>
        <w:t xml:space="preserve"> ذمه میت </w:t>
      </w:r>
      <w:r w:rsidR="009708B5">
        <w:rPr>
          <w:rFonts w:hint="cs"/>
          <w:rtl/>
        </w:rPr>
        <w:t xml:space="preserve"> باشد، دین عقلایی بر اشخاص نیست</w:t>
      </w:r>
      <w:r w:rsidR="007E5B60">
        <w:rPr>
          <w:rFonts w:hint="cs"/>
          <w:rtl/>
        </w:rPr>
        <w:t xml:space="preserve"> تا حق الناس محض باشد،</w:t>
      </w:r>
      <w:r w:rsidR="009708B5">
        <w:rPr>
          <w:rFonts w:hint="cs"/>
          <w:rtl/>
        </w:rPr>
        <w:t xml:space="preserve"> بلکه دین تعبدی است و لذا کسی که زکات را اداء نمی کند، در حقیقت حق الله را تضییع می کند؛ چون </w:t>
      </w:r>
      <w:r w:rsidR="007B1DC4">
        <w:rPr>
          <w:rFonts w:hint="cs"/>
          <w:rtl/>
        </w:rPr>
        <w:t>شخصی طلب کار از او نیست</w:t>
      </w:r>
      <w:r w:rsidR="007E5B60">
        <w:rPr>
          <w:rFonts w:hint="cs"/>
          <w:rtl/>
        </w:rPr>
        <w:t>،</w:t>
      </w:r>
      <w:r w:rsidR="007B1DC4">
        <w:rPr>
          <w:rFonts w:hint="cs"/>
          <w:rtl/>
        </w:rPr>
        <w:t xml:space="preserve"> بلکه شرع مقدس فرموده است که زکات بدهکار است ولی همین مقدار از فتوای فقهاء که فی الجمله هم موافق روایات است که در مورد میت، حج بر اداء دین مقدم است، </w:t>
      </w:r>
      <w:r w:rsidR="00313E35">
        <w:rPr>
          <w:rFonts w:hint="cs"/>
          <w:rtl/>
        </w:rPr>
        <w:t>برای نقض بر قاعده تقدم حق الناس بر حق الله در فرض تزاحم، کافی است.</w:t>
      </w:r>
    </w:p>
    <w:p w:rsidR="001E78BA" w:rsidRDefault="001E78BA" w:rsidP="00974771">
      <w:pPr>
        <w:pStyle w:val="Heading4"/>
        <w:jc w:val="lowKashida"/>
        <w:rPr>
          <w:rtl/>
        </w:rPr>
      </w:pPr>
      <w:bookmarkStart w:id="9" w:name="_Toc510012002"/>
      <w:r>
        <w:rPr>
          <w:rFonts w:hint="cs"/>
          <w:rtl/>
        </w:rPr>
        <w:lastRenderedPageBreak/>
        <w:t>اشاره به روایتی در غرر الکلم برای تقدیم حق الناس</w:t>
      </w:r>
      <w:bookmarkEnd w:id="9"/>
    </w:p>
    <w:p w:rsidR="001E78BA" w:rsidRDefault="001E78BA" w:rsidP="00974771">
      <w:pPr>
        <w:jc w:val="lowKashida"/>
        <w:rPr>
          <w:rtl/>
        </w:rPr>
      </w:pPr>
      <w:r>
        <w:rPr>
          <w:rFonts w:hint="cs"/>
          <w:rtl/>
        </w:rPr>
        <w:t>در کتاب غرر الحکم و درر الکلم</w:t>
      </w:r>
      <w:r w:rsidR="00FB7C0C">
        <w:rPr>
          <w:rFonts w:hint="cs"/>
          <w:rtl/>
        </w:rPr>
        <w:t xml:space="preserve">، روایتی نقل شده است که </w:t>
      </w:r>
      <w:r w:rsidR="00FB7C0C" w:rsidRPr="00FB7C0C">
        <w:rPr>
          <w:rFonts w:hint="cs"/>
          <w:color w:val="008000"/>
          <w:rtl/>
        </w:rPr>
        <w:t>«</w:t>
      </w:r>
      <w:r w:rsidR="00FB7C0C" w:rsidRPr="00FB7C0C">
        <w:rPr>
          <w:color w:val="008000"/>
          <w:rtl/>
        </w:rPr>
        <w:t>جعل اللّه سبحانه حقوق عباده مقدّمة لحقوقه فمن قام بحقوق عباد اللّه كان ذلك مؤدّيا إلى القيام بحقوق اللّه</w:t>
      </w:r>
      <w:r w:rsidR="00FB7C0C" w:rsidRPr="00FB7C0C">
        <w:rPr>
          <w:rFonts w:hint="cs"/>
          <w:color w:val="008000"/>
          <w:rtl/>
        </w:rPr>
        <w:t>»</w:t>
      </w:r>
      <w:r w:rsidR="00FB7C0C">
        <w:rPr>
          <w:rStyle w:val="FootnoteReference"/>
          <w:color w:val="008000"/>
          <w:rtl/>
        </w:rPr>
        <w:footnoteReference w:id="2"/>
      </w:r>
      <w:r w:rsidR="008215DD">
        <w:rPr>
          <w:rFonts w:hint="cs"/>
          <w:color w:val="008000"/>
          <w:rtl/>
        </w:rPr>
        <w:t xml:space="preserve"> </w:t>
      </w:r>
      <w:r w:rsidR="008215DD">
        <w:rPr>
          <w:rFonts w:hint="cs"/>
          <w:rtl/>
        </w:rPr>
        <w:t>که دلالت بر مقدم بودن حق الناس بر حق الله دارد.</w:t>
      </w:r>
    </w:p>
    <w:p w:rsidR="007E5B60" w:rsidRDefault="00397D97" w:rsidP="00974771">
      <w:pPr>
        <w:jc w:val="lowKashida"/>
        <w:rPr>
          <w:rtl/>
        </w:rPr>
      </w:pPr>
      <w:r>
        <w:rPr>
          <w:rFonts w:hint="cs"/>
          <w:rtl/>
        </w:rPr>
        <w:t xml:space="preserve">به نظر ما این روایت دلیل بر تقدیم حق الناس بر حق الله نیست؛ چون اولاً: این روایت سند ندارد. ثانیاً: روشن نیست که مقدم بودن حق الناس که در این روایت مطرح شده است، مربوط به باب تزاحم باشد بلکه ممکن است که حق الناس به حسب ذکر یا به حسب ترتیب مقدم باشد که اداء حقوق الناس وسیله ای برای این است که انسان بتواند به اداء حقوق الله برسد. </w:t>
      </w:r>
    </w:p>
    <w:p w:rsidR="00460F0E" w:rsidRDefault="00397D97" w:rsidP="00974771">
      <w:pPr>
        <w:jc w:val="lowKashida"/>
        <w:rPr>
          <w:rtl/>
        </w:rPr>
      </w:pPr>
      <w:r>
        <w:rPr>
          <w:rFonts w:hint="cs"/>
          <w:rtl/>
        </w:rPr>
        <w:t xml:space="preserve">شاهد این مطلب این است که در ذیل روایت بیان شده است که هر کس حقوق الناس را اداء کند، موفق به اداء حقوق الله هم خواهد شد و لذا گویا اداء حق الناس وسیله ی توفیق انسان است. بنابراین </w:t>
      </w:r>
      <w:r w:rsidR="00460F0E">
        <w:rPr>
          <w:rFonts w:hint="cs"/>
          <w:rtl/>
        </w:rPr>
        <w:t>روشن نیست که روایت ناظر به فرض تزاحم باشد. اگر هم اصرار وجود داشته باشد که روایت ظهور در تقدیم حق الناس بر حق الله حتی در فرض تزاحم دارد، مهم این است که سند این روایت ضعیف است.</w:t>
      </w:r>
    </w:p>
    <w:p w:rsidR="00616A78" w:rsidRDefault="00616A78" w:rsidP="00974771">
      <w:pPr>
        <w:jc w:val="lowKashida"/>
        <w:rPr>
          <w:rtl/>
        </w:rPr>
      </w:pPr>
      <w:r>
        <w:rPr>
          <w:rFonts w:hint="cs"/>
          <w:rtl/>
        </w:rPr>
        <w:t xml:space="preserve">ممکن است گفته شود: اگرچه سند روایت ضعیف است، اما حدیث بدون سند می تواند در مورد حق الناس، احتمال اهمیت ایجاد کند و از باب محتمل الاهمیه، حق الناس بر حق الله مقدم شود. در پاسخ این مطلب می گوئیم: صرف وجود یک روایت بدون سند برای ترجیح از باب محتمل الاهمیه کافی نیست؛ چون </w:t>
      </w:r>
      <w:r w:rsidR="00B1160E">
        <w:rPr>
          <w:rFonts w:hint="cs"/>
          <w:rtl/>
        </w:rPr>
        <w:t>مناشئ برای احتمال اهمیت متعدد است و در مورد حق الله هم مناشئ برای احتمال اهمیت وجود دارد و منحصر در وجود روایت نیست. بنابراین در مورد حق الله هم می توان از راههای دیگر احتمال اهمیت را مطرح کرد</w:t>
      </w:r>
      <w:r w:rsidR="006C561E">
        <w:rPr>
          <w:rFonts w:hint="cs"/>
          <w:rtl/>
        </w:rPr>
        <w:t>.</w:t>
      </w:r>
    </w:p>
    <w:p w:rsidR="006C561E" w:rsidRDefault="00F14CE0" w:rsidP="00974771">
      <w:pPr>
        <w:pStyle w:val="Heading2"/>
        <w:jc w:val="lowKashida"/>
        <w:rPr>
          <w:rtl/>
        </w:rPr>
      </w:pPr>
      <w:bookmarkStart w:id="10" w:name="_Toc510012003"/>
      <w:r>
        <w:rPr>
          <w:rFonts w:hint="cs"/>
          <w:rtl/>
        </w:rPr>
        <w:t>9- تقدیم تعبیر «حرام» بر «یکره» و «نهی عنه»</w:t>
      </w:r>
      <w:bookmarkEnd w:id="10"/>
    </w:p>
    <w:p w:rsidR="004E74DE" w:rsidRDefault="004E74DE" w:rsidP="00974771">
      <w:pPr>
        <w:jc w:val="lowKashida"/>
        <w:rPr>
          <w:rtl/>
        </w:rPr>
      </w:pPr>
      <w:r>
        <w:rPr>
          <w:rFonts w:hint="cs"/>
          <w:rtl/>
        </w:rPr>
        <w:t>نهمین</w:t>
      </w:r>
      <w:r w:rsidR="00FF162E">
        <w:rPr>
          <w:rFonts w:hint="cs"/>
          <w:rtl/>
        </w:rPr>
        <w:t xml:space="preserve"> مرجّح</w:t>
      </w:r>
      <w:r>
        <w:rPr>
          <w:rFonts w:hint="cs"/>
          <w:rtl/>
        </w:rPr>
        <w:t xml:space="preserve"> از</w:t>
      </w:r>
      <w:r w:rsidR="00FF162E">
        <w:rPr>
          <w:rFonts w:hint="cs"/>
          <w:rtl/>
        </w:rPr>
        <w:t xml:space="preserve"> مرجّح</w:t>
      </w:r>
      <w:r>
        <w:rPr>
          <w:rFonts w:hint="cs"/>
          <w:rtl/>
        </w:rPr>
        <w:t>ات باب تزاحم توسط آقای سیستانی طرح و مورد پذیرش واقع شده است.</w:t>
      </w:r>
    </w:p>
    <w:p w:rsidR="00706171" w:rsidRDefault="004E74DE" w:rsidP="00B00156">
      <w:pPr>
        <w:jc w:val="lowKashida"/>
        <w:rPr>
          <w:rtl/>
        </w:rPr>
      </w:pPr>
      <w:r>
        <w:rPr>
          <w:rFonts w:hint="cs"/>
          <w:rtl/>
        </w:rPr>
        <w:t xml:space="preserve">ایشان فرموده اند: اگر روایات در مورد فعلی تعبیر «حرام» و در مورد فعل دیگر، تعبیر« نهی عنه» </w:t>
      </w:r>
      <w:r w:rsidR="0096022C">
        <w:rPr>
          <w:rFonts w:hint="cs"/>
          <w:rtl/>
        </w:rPr>
        <w:t xml:space="preserve">یا «یکره ذلک» به کار </w:t>
      </w:r>
      <w:r w:rsidR="00B00156">
        <w:rPr>
          <w:rFonts w:hint="cs"/>
          <w:rtl/>
        </w:rPr>
        <w:t>برده باشند</w:t>
      </w:r>
      <w:r w:rsidR="0096022C">
        <w:rPr>
          <w:rFonts w:hint="cs"/>
          <w:rtl/>
        </w:rPr>
        <w:t xml:space="preserve"> که ظاهر در کراهت لزومیه است، تقدم با فعلی خواهد بود که در مورد آن تعبیر «حرام» به کار رفته است. </w:t>
      </w:r>
    </w:p>
    <w:p w:rsidR="004E74DE" w:rsidRDefault="0096022C" w:rsidP="00974771">
      <w:pPr>
        <w:jc w:val="lowKashida"/>
        <w:rPr>
          <w:rtl/>
        </w:rPr>
      </w:pPr>
      <w:r>
        <w:rPr>
          <w:rFonts w:hint="cs"/>
          <w:rtl/>
        </w:rPr>
        <w:t xml:space="preserve">به عنوان مثال در مورد غصب تعبیر شده است که «الغصب حرام»، اما در مورد استعمال آنیه ذهب و فضه تعبیر شده است: </w:t>
      </w:r>
      <w:r w:rsidRPr="00D973B0">
        <w:rPr>
          <w:rFonts w:hint="cs"/>
          <w:color w:val="008000"/>
          <w:rtl/>
        </w:rPr>
        <w:t>«</w:t>
      </w:r>
      <w:r w:rsidR="00D973B0" w:rsidRPr="00D973B0">
        <w:rPr>
          <w:color w:val="008000"/>
          <w:rtl/>
        </w:rPr>
        <w:t>أَنَّهُ كَرِهَ آنِيَةَ الذَّهَبِ وَ الْفِضَّةِ</w:t>
      </w:r>
      <w:r w:rsidRPr="00D973B0">
        <w:rPr>
          <w:rFonts w:hint="cs"/>
          <w:color w:val="008000"/>
          <w:rtl/>
        </w:rPr>
        <w:t>»</w:t>
      </w:r>
      <w:r w:rsidR="00D973B0">
        <w:rPr>
          <w:rStyle w:val="FootnoteReference"/>
          <w:color w:val="008000"/>
          <w:rtl/>
        </w:rPr>
        <w:footnoteReference w:id="3"/>
      </w:r>
      <w:r>
        <w:rPr>
          <w:rFonts w:hint="cs"/>
          <w:rtl/>
        </w:rPr>
        <w:t xml:space="preserve"> یا </w:t>
      </w:r>
      <w:r w:rsidRPr="00D973B0">
        <w:rPr>
          <w:rFonts w:hint="cs"/>
          <w:color w:val="008000"/>
          <w:rtl/>
        </w:rPr>
        <w:t>«</w:t>
      </w:r>
      <w:r w:rsidR="00D973B0" w:rsidRPr="00D973B0">
        <w:rPr>
          <w:color w:val="008000"/>
          <w:rtl/>
        </w:rPr>
        <w:t>نَهَى عَنْ آنِيَةِ الذَّهَبِ وَ الْفِضَّةِ.</w:t>
      </w:r>
      <w:r w:rsidRPr="00D973B0">
        <w:rPr>
          <w:rFonts w:hint="cs"/>
          <w:color w:val="008000"/>
          <w:rtl/>
        </w:rPr>
        <w:t>»</w:t>
      </w:r>
      <w:r w:rsidR="00D973B0">
        <w:rPr>
          <w:rStyle w:val="FootnoteReference"/>
          <w:color w:val="008000"/>
          <w:rtl/>
        </w:rPr>
        <w:footnoteReference w:id="4"/>
      </w:r>
      <w:r w:rsidR="006E6E43">
        <w:rPr>
          <w:color w:val="008000"/>
        </w:rPr>
        <w:t>.</w:t>
      </w:r>
      <w:r w:rsidR="006E6E43">
        <w:rPr>
          <w:rFonts w:hint="cs"/>
          <w:color w:val="008000"/>
          <w:rtl/>
        </w:rPr>
        <w:t xml:space="preserve"> </w:t>
      </w:r>
      <w:r w:rsidR="006E6E43">
        <w:rPr>
          <w:rFonts w:hint="cs"/>
          <w:rtl/>
        </w:rPr>
        <w:t>بنابراین در تزاحم غصب و استعمال آنیه ذهب و فضه، با لحاظ اینکه در مورد غصب تعبیر به حرمت به کار رفته است، باید استعمال آنیه ذهب و فضه اختیار شود</w:t>
      </w:r>
      <w:r w:rsidR="00B95606">
        <w:rPr>
          <w:rFonts w:hint="cs"/>
          <w:rtl/>
        </w:rPr>
        <w:t>.</w:t>
      </w:r>
    </w:p>
    <w:p w:rsidR="00B95606" w:rsidRDefault="00B95606" w:rsidP="008D62AB">
      <w:pPr>
        <w:jc w:val="lowKashida"/>
        <w:rPr>
          <w:rtl/>
        </w:rPr>
      </w:pPr>
      <w:r>
        <w:rPr>
          <w:rFonts w:hint="cs"/>
          <w:rtl/>
        </w:rPr>
        <w:lastRenderedPageBreak/>
        <w:t>آقای سیستانی فرموده اند: تقدیم استعمال آنیه ذهب و فضه</w:t>
      </w:r>
      <w:r w:rsidR="00D07DDB">
        <w:rPr>
          <w:rFonts w:hint="cs"/>
          <w:rtl/>
        </w:rPr>
        <w:t xml:space="preserve"> به این جهت است که استعمال «حرام» و تعابیری مثل «یکره» و «نهی عنه» </w:t>
      </w:r>
      <w:r>
        <w:rPr>
          <w:rFonts w:hint="cs"/>
          <w:rtl/>
        </w:rPr>
        <w:t xml:space="preserve">در روایات و کلمات فقهاء </w:t>
      </w:r>
      <w:r w:rsidR="008D62AB">
        <w:rPr>
          <w:rFonts w:hint="cs"/>
          <w:rtl/>
        </w:rPr>
        <w:t>دارای سه احتمال است</w:t>
      </w:r>
      <w:r w:rsidR="00D07DDB">
        <w:rPr>
          <w:rFonts w:hint="cs"/>
          <w:rtl/>
        </w:rPr>
        <w:t>:</w:t>
      </w:r>
    </w:p>
    <w:p w:rsidR="00D07DDB" w:rsidRDefault="00D07DDB" w:rsidP="00974771">
      <w:pPr>
        <w:jc w:val="lowKashida"/>
        <w:rPr>
          <w:rtl/>
        </w:rPr>
      </w:pPr>
      <w:r>
        <w:rPr>
          <w:rFonts w:hint="cs"/>
          <w:rtl/>
        </w:rPr>
        <w:t xml:space="preserve">الف: </w:t>
      </w:r>
      <w:r w:rsidR="00530FDD">
        <w:rPr>
          <w:rFonts w:hint="cs"/>
          <w:rtl/>
        </w:rPr>
        <w:t xml:space="preserve">تعبیر «حرام» </w:t>
      </w:r>
      <w:r w:rsidR="00DD5592">
        <w:rPr>
          <w:rFonts w:hint="cs"/>
          <w:rtl/>
        </w:rPr>
        <w:t xml:space="preserve">در صورتی به کار رفته است که حرمت </w:t>
      </w:r>
      <w:r w:rsidR="00706171">
        <w:rPr>
          <w:rFonts w:hint="cs"/>
          <w:rtl/>
        </w:rPr>
        <w:t xml:space="preserve">الهی </w:t>
      </w:r>
      <w:r w:rsidR="00DD5592">
        <w:rPr>
          <w:rFonts w:hint="cs"/>
          <w:rtl/>
        </w:rPr>
        <w:t xml:space="preserve">شیء از قرآن کریم استفاده شده باشد و در طرف مقابل، اگر حرمتی از قرآن کریم استفاده نشود، تعبیر به «هذا مکروه» یا «هذا منهی عنه» </w:t>
      </w:r>
      <w:r w:rsidR="00D46459">
        <w:rPr>
          <w:rFonts w:hint="cs"/>
          <w:rtl/>
        </w:rPr>
        <w:t>شده است. بنابراین حرام چیزی است که «ثبت حرمته من الکتاب الکریم» و منهی عنه و مکروه، چیزی است که حرمت آن از غیر کتاب استفاده شده باشد.</w:t>
      </w:r>
    </w:p>
    <w:p w:rsidR="00D46459" w:rsidRDefault="00D46459" w:rsidP="00974771">
      <w:pPr>
        <w:jc w:val="lowKashida"/>
        <w:rPr>
          <w:rtl/>
        </w:rPr>
      </w:pPr>
      <w:r>
        <w:rPr>
          <w:rFonts w:hint="cs"/>
          <w:rtl/>
        </w:rPr>
        <w:t xml:space="preserve">همان طور که در تزاحم فریضه و سنت، فریضه مقدم است، </w:t>
      </w:r>
      <w:r w:rsidR="000E0890">
        <w:rPr>
          <w:rFonts w:hint="cs"/>
          <w:rtl/>
        </w:rPr>
        <w:t>از همان باب، حرام ثابت شده به فرض و تقدیر الهی هم نسبت به حرامی که به فرض الهی ثابت نشده است بلکه توسط حدیث ثابت شده است، اهم خواهد بود و لذا مقدم می شود.</w:t>
      </w:r>
    </w:p>
    <w:p w:rsidR="000E0890" w:rsidRDefault="000E0890" w:rsidP="00974771">
      <w:pPr>
        <w:jc w:val="lowKashida"/>
        <w:rPr>
          <w:rtl/>
        </w:rPr>
      </w:pPr>
      <w:r>
        <w:rPr>
          <w:rFonts w:hint="cs"/>
          <w:rtl/>
        </w:rPr>
        <w:t xml:space="preserve">ب: احتمال دیگر در مورد حرام این است که </w:t>
      </w:r>
      <w:r w:rsidR="00337726">
        <w:rPr>
          <w:rFonts w:hint="cs"/>
          <w:rtl/>
        </w:rPr>
        <w:t xml:space="preserve">استعمال فقهاء </w:t>
      </w:r>
      <w:r>
        <w:rPr>
          <w:rFonts w:hint="cs"/>
          <w:rtl/>
        </w:rPr>
        <w:t>در زمان ائمه علیهم السلام، اگر حرام بودن یک شیء دارای دلیل قطعی از کتاب و سنت بوده باشد، از آن تعبیر به «حرام» شده است، اما اگر حرمت یک شیء با اجتهاد استفاده شده باشد، از آن تعبیر به «حرام» نمی شده است</w:t>
      </w:r>
      <w:r w:rsidR="00337726">
        <w:rPr>
          <w:rFonts w:hint="cs"/>
          <w:rtl/>
        </w:rPr>
        <w:t>،</w:t>
      </w:r>
      <w:r>
        <w:rPr>
          <w:rFonts w:hint="cs"/>
          <w:rtl/>
        </w:rPr>
        <w:t xml:space="preserve"> بلکه در چنین مواردی تعبیر «مکروه» را به کار می برده اند.</w:t>
      </w:r>
    </w:p>
    <w:p w:rsidR="00D75B2B" w:rsidRDefault="00D75B2B" w:rsidP="00974771">
      <w:pPr>
        <w:jc w:val="lowKashida"/>
        <w:rPr>
          <w:rtl/>
        </w:rPr>
      </w:pPr>
      <w:r>
        <w:rPr>
          <w:rFonts w:hint="cs"/>
          <w:rtl/>
        </w:rPr>
        <w:t>طبق این احتمال هم چیزی که در مورد آن تعبیر «حرام» به کار رفته است، بر چیزی که در مورد آن تعبیر «مکروه» به ک</w:t>
      </w:r>
      <w:r w:rsidR="00062354">
        <w:rPr>
          <w:rFonts w:hint="cs"/>
          <w:rtl/>
        </w:rPr>
        <w:t>ا</w:t>
      </w:r>
      <w:r>
        <w:rPr>
          <w:rFonts w:hint="cs"/>
          <w:rtl/>
        </w:rPr>
        <w:t xml:space="preserve">ر رفته است، مقدم خواهد شد؛ چون </w:t>
      </w:r>
      <w:r w:rsidR="006700EB">
        <w:rPr>
          <w:rFonts w:hint="cs"/>
          <w:rtl/>
        </w:rPr>
        <w:t xml:space="preserve">روشن است که چیزی که با دلیل قطعی از کتاب و سنت ثابت شده است، </w:t>
      </w:r>
      <w:r w:rsidR="00337726">
        <w:rPr>
          <w:rFonts w:hint="cs"/>
          <w:rtl/>
        </w:rPr>
        <w:t xml:space="preserve">در صورت تزاحم </w:t>
      </w:r>
      <w:r w:rsidR="006700EB">
        <w:rPr>
          <w:rFonts w:hint="cs"/>
          <w:rtl/>
        </w:rPr>
        <w:t>بر چیزی که حرمت آن با دلیل ظنی اجتها</w:t>
      </w:r>
      <w:r w:rsidR="00337726">
        <w:rPr>
          <w:rFonts w:hint="cs"/>
          <w:rtl/>
        </w:rPr>
        <w:t>د</w:t>
      </w:r>
      <w:r w:rsidR="006700EB">
        <w:rPr>
          <w:rFonts w:hint="cs"/>
          <w:rtl/>
        </w:rPr>
        <w:t>ی ثابت شده است، مقدم است.</w:t>
      </w:r>
    </w:p>
    <w:p w:rsidR="00DF49CD" w:rsidRDefault="00DF49CD" w:rsidP="00974771">
      <w:pPr>
        <w:jc w:val="lowKashida"/>
        <w:rPr>
          <w:rtl/>
        </w:rPr>
      </w:pPr>
      <w:r>
        <w:rPr>
          <w:rFonts w:hint="cs"/>
          <w:rtl/>
        </w:rPr>
        <w:t xml:space="preserve">آقای سیستانی برای دو احتمال ذکر شده، شاهد هم ذکر کرده اند. ایشان فرموده اند: </w:t>
      </w:r>
      <w:r w:rsidR="00504135">
        <w:rPr>
          <w:rFonts w:hint="cs"/>
          <w:rtl/>
        </w:rPr>
        <w:t>در مورد احتمال اول در استعمالات مخصوصا در نزد علمای عامه به این صورت است که وقتی می خواهند از چیزی که حرمت آن از قرآن کریم استفاده شده است، یاد کنند، از</w:t>
      </w:r>
      <w:r w:rsidR="005C5F09">
        <w:rPr>
          <w:rFonts w:hint="cs"/>
          <w:rtl/>
        </w:rPr>
        <w:t xml:space="preserve"> تعبیر «حرام»  استفاده کرده اند، اما در مواردی که از قرآن کریم استفاده نشده است، از تعبیر «حرام» استفاده نکرده اند. در این جهت می توان به تعدادی از روایات و کلمات علماء عامه استشهاد کرد که عبارتند از:</w:t>
      </w:r>
    </w:p>
    <w:p w:rsidR="005C5F09" w:rsidRDefault="005C5F09" w:rsidP="00974771">
      <w:pPr>
        <w:pStyle w:val="ListParagraph"/>
        <w:numPr>
          <w:ilvl w:val="0"/>
          <w:numId w:val="17"/>
        </w:numPr>
        <w:jc w:val="lowKashida"/>
        <w:rPr>
          <w:color w:val="008000"/>
        </w:rPr>
      </w:pPr>
      <w:r>
        <w:rPr>
          <w:rFonts w:hint="cs"/>
          <w:rtl/>
        </w:rPr>
        <w:t xml:space="preserve">در صحیحه محمد بن مسلم آمده است: </w:t>
      </w:r>
      <w:r w:rsidRPr="00676215">
        <w:rPr>
          <w:rFonts w:hint="cs"/>
          <w:color w:val="008000"/>
          <w:rtl/>
        </w:rPr>
        <w:t>«</w:t>
      </w:r>
      <w:r w:rsidR="00676215" w:rsidRPr="00676215">
        <w:rPr>
          <w:color w:val="008000"/>
          <w:rtl/>
        </w:rPr>
        <w:t xml:space="preserve">أَنَّهُ سُئِلَ عَنْ سِبَاعِ الطَّيْرِ وَ الْوَحْشِ حَتَّى ذُكِرَ لَهُ الْقَنَافِذُ وَ الْوَطْوَاطُ وَ الْحَمِيرُ وَ الْبِغَالُ وَ الْخَيْلُ </w:t>
      </w:r>
      <w:r w:rsidR="00676215" w:rsidRPr="00A06997">
        <w:rPr>
          <w:color w:val="008000"/>
          <w:u w:val="single"/>
          <w:rtl/>
        </w:rPr>
        <w:t>فَقَالَ لَيْسَ الْحَرَامُ إِلَّا مَا حَرَّمَ اللَّهُ فِي كِتَابِهِ</w:t>
      </w:r>
      <w:r w:rsidR="00676215" w:rsidRPr="00676215">
        <w:rPr>
          <w:color w:val="008000"/>
          <w:rtl/>
        </w:rPr>
        <w:t xml:space="preserve"> وَ قَدْ نَهَى رَسُولُ اللَّهِ ص يَوْمَ خَيْبَرَ عَنْ أَكْلِ لُحُومِ الْحَمِيرِ وَ إِنَّمَا نَهَاهُمْ مِنْ أَجْلِ ظُهُورِهِمْ أَنْ يُفْنُوهُ وَ لَيْسَتِ الْحُمُرُ بِحَرَامٍ.</w:t>
      </w:r>
      <w:r w:rsidR="00676215" w:rsidRPr="00676215">
        <w:rPr>
          <w:rFonts w:hint="cs"/>
          <w:color w:val="008000"/>
          <w:rtl/>
        </w:rPr>
        <w:t>»</w:t>
      </w:r>
      <w:r w:rsidR="00A06997">
        <w:rPr>
          <w:rStyle w:val="FootnoteReference"/>
          <w:color w:val="008000"/>
          <w:rtl/>
        </w:rPr>
        <w:footnoteReference w:id="5"/>
      </w:r>
      <w:r w:rsidR="003A1EB5">
        <w:rPr>
          <w:color w:val="008000"/>
        </w:rPr>
        <w:t xml:space="preserve"> </w:t>
      </w:r>
    </w:p>
    <w:p w:rsidR="009069AC" w:rsidRPr="009069AC" w:rsidRDefault="009069AC" w:rsidP="00974771">
      <w:pPr>
        <w:pStyle w:val="ListParagraph"/>
        <w:jc w:val="lowKashida"/>
        <w:rPr>
          <w:rtl/>
        </w:rPr>
      </w:pPr>
      <w:r>
        <w:rPr>
          <w:rFonts w:hint="cs"/>
          <w:rtl/>
        </w:rPr>
        <w:t>اینکه در این روایت تعبیر «</w:t>
      </w:r>
      <w:r w:rsidRPr="009069AC">
        <w:rPr>
          <w:rtl/>
        </w:rPr>
        <w:t>لَيْسَ الْحَرَامُ إِلَّا مَا حَرَّمَ اللَّهُ فِي كِتَابِهِ</w:t>
      </w:r>
      <w:r>
        <w:rPr>
          <w:rFonts w:hint="cs"/>
          <w:rtl/>
        </w:rPr>
        <w:t>» به کار رفته است در حالی قطعا منهی عنه در احادیث هم وجود دارد، بیانگر این مطلب خواهد بود که تعبیر به «حرام» مختص به مواردی است که در قرآن بیان شده است.</w:t>
      </w:r>
    </w:p>
    <w:p w:rsidR="003A1EB5" w:rsidRDefault="003A1EB5" w:rsidP="00974771">
      <w:pPr>
        <w:pStyle w:val="ListParagraph"/>
        <w:numPr>
          <w:ilvl w:val="0"/>
          <w:numId w:val="17"/>
        </w:numPr>
        <w:jc w:val="lowKashida"/>
        <w:rPr>
          <w:color w:val="008000"/>
        </w:rPr>
      </w:pPr>
      <w:r>
        <w:rPr>
          <w:rFonts w:hint="cs"/>
          <w:rtl/>
        </w:rPr>
        <w:lastRenderedPageBreak/>
        <w:t xml:space="preserve">در </w:t>
      </w:r>
      <w:r w:rsidR="008D31AB">
        <w:rPr>
          <w:rFonts w:hint="cs"/>
          <w:rtl/>
        </w:rPr>
        <w:t>صحیحه</w:t>
      </w:r>
      <w:r>
        <w:rPr>
          <w:rFonts w:hint="cs"/>
          <w:rtl/>
        </w:rPr>
        <w:t xml:space="preserve"> دیگر از محمد بن مسلم آمده است: </w:t>
      </w:r>
      <w:r w:rsidRPr="003A1EB5">
        <w:rPr>
          <w:rFonts w:hint="cs"/>
          <w:color w:val="008000"/>
          <w:rtl/>
        </w:rPr>
        <w:t>«</w:t>
      </w:r>
      <w:r w:rsidRPr="003A1EB5">
        <w:rPr>
          <w:color w:val="008000"/>
          <w:rtl/>
        </w:rPr>
        <w:t>سَأَلْتُ أَبَا عَبْدِ اللَّهِ ع عَنِ الْجِرِّيِّ وَ الْمَارْمَاهِي وَ الزِّمِّيرِ وَ مَا لَهُ قِشْرٌ مِنَ السَّمَكِ حَرَامٌ هُوَ فَقَالَ لِي يَا مُحَمَّدُ اقْرَأْ هَذِهِ الْآيَةَ الَّتِي فِي الْأَنْعَامِ- قُلْ لا أَجِدُ فِي ما أُوحِيَ إِلَيَّ مُحَرَّماً عَلى‏ طاعِمٍ يَطْعَمُهُ قَالَ فَقَرَأْتُهَا حَتَّى فَرَغْتُ مِنْهَا فَقَالَ إِنَّمَا الْحَرَامُ مَا حَرَّمَ اللَّهُ وَ رَسُولُهُ فِي كِتَابِهِ وَ لَكِنَّهُمْ قَدْ كَانُوا يَعَافُونَ أَشْيَاءَ فَنَحْنُ نَعَافُهَا.</w:t>
      </w:r>
      <w:r w:rsidRPr="003A1EB5">
        <w:rPr>
          <w:rFonts w:hint="cs"/>
          <w:color w:val="008000"/>
          <w:rtl/>
        </w:rPr>
        <w:t>»</w:t>
      </w:r>
      <w:r>
        <w:rPr>
          <w:rStyle w:val="FootnoteReference"/>
          <w:color w:val="008000"/>
          <w:rtl/>
        </w:rPr>
        <w:footnoteReference w:id="6"/>
      </w:r>
    </w:p>
    <w:p w:rsidR="008D31AB" w:rsidRDefault="008D31AB" w:rsidP="00974771">
      <w:pPr>
        <w:pStyle w:val="ListParagraph"/>
        <w:jc w:val="lowKashida"/>
        <w:rPr>
          <w:color w:val="008000"/>
        </w:rPr>
      </w:pPr>
      <w:r>
        <w:rPr>
          <w:rFonts w:hint="cs"/>
          <w:rtl/>
        </w:rPr>
        <w:t>این روایت به این معنا است که پیامبر اکرم صلی الله علیه و آله برخی از اشیاء را نمی خوردند و ما هم نمی خوریم اما حرام همان چیزی است که در قرآن تحریم شده است.</w:t>
      </w:r>
    </w:p>
    <w:p w:rsidR="000A3130" w:rsidRPr="008C5B36" w:rsidRDefault="000A3130" w:rsidP="00974771">
      <w:pPr>
        <w:pStyle w:val="ListParagraph"/>
        <w:jc w:val="lowKashida"/>
        <w:rPr>
          <w:rtl/>
        </w:rPr>
      </w:pPr>
      <w:r>
        <w:rPr>
          <w:rFonts w:hint="cs"/>
          <w:rtl/>
        </w:rPr>
        <w:t xml:space="preserve">این دو مورد از مواردی است که در روایات مطرح شده است. در کلمات عامه هم مواردی وجود دارد که این نکته را روشن کرده است؛ به عنوان مثال در </w:t>
      </w:r>
      <w:r w:rsidR="006178B6">
        <w:rPr>
          <w:rFonts w:hint="cs"/>
          <w:rtl/>
        </w:rPr>
        <w:t xml:space="preserve">کلام ابویوسف آمده است: </w:t>
      </w:r>
      <w:r w:rsidR="006178B6" w:rsidRPr="006178B6">
        <w:rPr>
          <w:rFonts w:hint="cs"/>
          <w:color w:val="000080"/>
          <w:rtl/>
        </w:rPr>
        <w:t>«</w:t>
      </w:r>
      <w:r w:rsidR="006178B6" w:rsidRPr="006178B6">
        <w:rPr>
          <w:color w:val="000080"/>
          <w:rtl/>
        </w:rPr>
        <w:t>ما اعظم قول الاوزاعي هذا حلال من الله، وقد ادركت مشايخنا يكرهون ان يقولون هذا حلال وهذا حرام الا ما في كتاب الله عزوجل بيّنا بلاتفسير، وكانت تعبيرات الائمة (عليهم السلام) متناسبة مع هذا الجوّ</w:t>
      </w:r>
      <w:r w:rsidR="006178B6" w:rsidRPr="006178B6">
        <w:rPr>
          <w:rFonts w:hint="cs"/>
          <w:color w:val="000080"/>
          <w:rtl/>
        </w:rPr>
        <w:t>»</w:t>
      </w:r>
      <w:r w:rsidR="002E57B7">
        <w:rPr>
          <w:rFonts w:hint="cs"/>
          <w:color w:val="000080"/>
          <w:rtl/>
        </w:rPr>
        <w:t>.</w:t>
      </w:r>
      <w:r w:rsidR="008C5B36">
        <w:rPr>
          <w:color w:val="000080"/>
        </w:rPr>
        <w:t xml:space="preserve"> </w:t>
      </w:r>
      <w:r w:rsidR="008C5B36">
        <w:rPr>
          <w:rFonts w:hint="cs"/>
          <w:rtl/>
        </w:rPr>
        <w:t xml:space="preserve"> یک اصطلاح رایج بوده است که </w:t>
      </w:r>
      <w:r w:rsidR="001812A4">
        <w:rPr>
          <w:rFonts w:hint="cs"/>
          <w:rtl/>
        </w:rPr>
        <w:t>حرام چیزی است که در قرآن کریم تحریم شده است و ائمه علیهم السلام هم با این اصطلاح رایج سخن می گفته اند.</w:t>
      </w:r>
    </w:p>
    <w:p w:rsidR="002E57B7" w:rsidRDefault="002E57B7" w:rsidP="00974771">
      <w:pPr>
        <w:jc w:val="lowKashida"/>
        <w:rPr>
          <w:rtl/>
        </w:rPr>
      </w:pPr>
      <w:r>
        <w:rPr>
          <w:rFonts w:hint="cs"/>
          <w:rtl/>
        </w:rPr>
        <w:t>در مورد احتمال دوم هم که تعبیر «حرام</w:t>
      </w:r>
      <w:r w:rsidR="00800A80">
        <w:rPr>
          <w:rFonts w:hint="cs"/>
          <w:rtl/>
        </w:rPr>
        <w:t>» مربوط به مواردی است که دارای دلیل قاطع از کتاب و سنت است و در مقابل، «مکروه» در مواردی به کار می رود که حرمت توسط اجتهاد و دلیل ظنی استفاده شده باشد، شواهدی وجود دارد که عبارتند از:</w:t>
      </w:r>
    </w:p>
    <w:p w:rsidR="00800A80" w:rsidRPr="007847AC" w:rsidRDefault="004720CD" w:rsidP="00974771">
      <w:pPr>
        <w:pStyle w:val="ListParagraph"/>
        <w:numPr>
          <w:ilvl w:val="0"/>
          <w:numId w:val="18"/>
        </w:numPr>
        <w:jc w:val="lowKashida"/>
      </w:pPr>
      <w:r>
        <w:rPr>
          <w:rFonts w:hint="cs"/>
          <w:rtl/>
        </w:rPr>
        <w:t xml:space="preserve">سید مرتضی در الزریعه فرموده اند: </w:t>
      </w:r>
      <w:r w:rsidRPr="004720CD">
        <w:rPr>
          <w:rFonts w:hint="cs"/>
          <w:color w:val="000080"/>
          <w:rtl/>
        </w:rPr>
        <w:t>«</w:t>
      </w:r>
      <w:r w:rsidR="00877390" w:rsidRPr="00877390">
        <w:rPr>
          <w:rtl/>
        </w:rPr>
        <w:t xml:space="preserve"> </w:t>
      </w:r>
      <w:r w:rsidR="00877390">
        <w:rPr>
          <w:color w:val="000080"/>
          <w:rtl/>
        </w:rPr>
        <w:t>فأما الفقهاء؛</w:t>
      </w:r>
      <w:r w:rsidR="00877390">
        <w:rPr>
          <w:rFonts w:hint="cs"/>
          <w:color w:val="000080"/>
          <w:rtl/>
        </w:rPr>
        <w:t xml:space="preserve"> </w:t>
      </w:r>
      <w:r w:rsidR="00877390">
        <w:rPr>
          <w:color w:val="000080"/>
          <w:rtl/>
        </w:rPr>
        <w:t>فإنهم يصفون بالتحريم والحظر</w:t>
      </w:r>
      <w:r w:rsidR="00877390">
        <w:rPr>
          <w:rFonts w:hint="cs"/>
          <w:color w:val="000080"/>
          <w:rtl/>
        </w:rPr>
        <w:t xml:space="preserve"> </w:t>
      </w:r>
      <w:r w:rsidR="00877390">
        <w:rPr>
          <w:color w:val="000080"/>
          <w:rtl/>
        </w:rPr>
        <w:t>ما دل على قبحه دلالة قاطعة؛ وما</w:t>
      </w:r>
      <w:r w:rsidR="00877390" w:rsidRPr="00877390">
        <w:rPr>
          <w:color w:val="000080"/>
          <w:rtl/>
        </w:rPr>
        <w:t>طري</w:t>
      </w:r>
      <w:r w:rsidR="00877390">
        <w:rPr>
          <w:color w:val="000080"/>
          <w:rtl/>
        </w:rPr>
        <w:t>قه الاجتهاد</w:t>
      </w:r>
      <w:r w:rsidR="00877390">
        <w:rPr>
          <w:rFonts w:hint="cs"/>
          <w:color w:val="000080"/>
          <w:rtl/>
        </w:rPr>
        <w:t xml:space="preserve"> </w:t>
      </w:r>
      <w:r w:rsidR="00877390">
        <w:rPr>
          <w:color w:val="000080"/>
          <w:rtl/>
        </w:rPr>
        <w:t>قالوا: مكروه، ولم يطلقوا</w:t>
      </w:r>
      <w:r w:rsidR="00877390">
        <w:rPr>
          <w:rFonts w:hint="cs"/>
          <w:color w:val="000080"/>
          <w:rtl/>
        </w:rPr>
        <w:t xml:space="preserve"> </w:t>
      </w:r>
      <w:r w:rsidR="00877390">
        <w:rPr>
          <w:color w:val="000080"/>
          <w:rtl/>
        </w:rPr>
        <w:t>الحظر والتحريم فيه،</w:t>
      </w:r>
      <w:r w:rsidR="00877390">
        <w:rPr>
          <w:rFonts w:hint="cs"/>
          <w:color w:val="000080"/>
          <w:rtl/>
        </w:rPr>
        <w:t xml:space="preserve"> </w:t>
      </w:r>
      <w:r w:rsidR="00877390">
        <w:rPr>
          <w:color w:val="000080"/>
          <w:rtl/>
        </w:rPr>
        <w:t>وما تزول الشبهة فيه يقولون: إنه حلال طلق، وما يعترض فيه شبهة</w:t>
      </w:r>
      <w:r w:rsidR="00877390">
        <w:rPr>
          <w:rFonts w:hint="cs"/>
          <w:color w:val="000080"/>
          <w:rtl/>
        </w:rPr>
        <w:t xml:space="preserve"> </w:t>
      </w:r>
      <w:r w:rsidR="00877390">
        <w:rPr>
          <w:color w:val="000080"/>
          <w:rtl/>
        </w:rPr>
        <w:t>يقولون: لابأس به</w:t>
      </w:r>
      <w:r w:rsidRPr="004720CD">
        <w:rPr>
          <w:rFonts w:hint="cs"/>
          <w:color w:val="000080"/>
          <w:rtl/>
        </w:rPr>
        <w:t>»</w:t>
      </w:r>
      <w:r>
        <w:rPr>
          <w:rStyle w:val="FootnoteReference"/>
          <w:color w:val="000080"/>
          <w:rtl/>
        </w:rPr>
        <w:footnoteReference w:id="7"/>
      </w:r>
    </w:p>
    <w:p w:rsidR="007847AC" w:rsidRPr="007847AC" w:rsidRDefault="007847AC" w:rsidP="00974771">
      <w:pPr>
        <w:pStyle w:val="ListParagraph"/>
        <w:jc w:val="lowKashida"/>
      </w:pPr>
      <w:r>
        <w:rPr>
          <w:rFonts w:hint="cs"/>
          <w:rtl/>
        </w:rPr>
        <w:t>سید مرتضی فرموده اند: اگر یک شیء دلیل قاطع بر حرمت داشته است، تعبیر به حرام کرده اند و اگر دلیل اجتهادی و ظنی داشته است، از تعبیر «حرام» استفاده نمی کرده اند، بلکه از تعبیر «مکروه» استفاده کرده اند. بنابراین مکروه، همان مکروه مصطلح نیست، بلکه سنخی از حرام است ولی حرامی است که دلیل قاطع بر آن وجود ندارد، بلکه دلیل ظنی و اجتهادی بر آن وجود دارد.</w:t>
      </w:r>
    </w:p>
    <w:p w:rsidR="00B66870" w:rsidRDefault="00B26436" w:rsidP="00974771">
      <w:pPr>
        <w:pStyle w:val="ListParagraph"/>
        <w:numPr>
          <w:ilvl w:val="0"/>
          <w:numId w:val="18"/>
        </w:numPr>
        <w:jc w:val="lowKashida"/>
        <w:rPr>
          <w:color w:val="008000"/>
        </w:rPr>
      </w:pPr>
      <w:r>
        <w:rPr>
          <w:rFonts w:hint="cs"/>
          <w:rtl/>
        </w:rPr>
        <w:t xml:space="preserve">در روایتی آمده است: </w:t>
      </w:r>
      <w:r w:rsidRPr="00B26436">
        <w:rPr>
          <w:rFonts w:hint="cs"/>
          <w:color w:val="008000"/>
          <w:rtl/>
        </w:rPr>
        <w:t>«</w:t>
      </w:r>
      <w:r w:rsidRPr="00B26436">
        <w:rPr>
          <w:color w:val="008000"/>
          <w:rtl/>
        </w:rPr>
        <w:t>كَانَ عَلِيُّ بْنُ أَبِي طَالِبٍ ع يَكْرَهُ أَنْ يَسْتَبْدِلَ وَسْقاً مِنْ تَمْرِ الْمَدِينَةِ بِوَسْقَيْنِ مِنْ تَمْرِ خَيْبَرَ لِأَنَّ تَمْرَ الْمَدِينَةِ أَدْوَنُهُمَا وَ لَمْ يَكُنْ عَلِيٌّ ع يَكْرَهُ الْحَلَال‏</w:t>
      </w:r>
      <w:r w:rsidRPr="00B26436">
        <w:rPr>
          <w:rFonts w:hint="cs"/>
          <w:color w:val="008000"/>
          <w:rtl/>
        </w:rPr>
        <w:t>»</w:t>
      </w:r>
      <w:r>
        <w:rPr>
          <w:rStyle w:val="FootnoteReference"/>
          <w:color w:val="008000"/>
          <w:rtl/>
        </w:rPr>
        <w:footnoteReference w:id="8"/>
      </w:r>
    </w:p>
    <w:p w:rsidR="00EF6DB2" w:rsidRDefault="00EF6DB2" w:rsidP="00754801">
      <w:pPr>
        <w:pStyle w:val="ListParagraph"/>
        <w:jc w:val="lowKashida"/>
        <w:rPr>
          <w:rtl/>
        </w:rPr>
      </w:pPr>
      <w:r>
        <w:rPr>
          <w:rFonts w:hint="cs"/>
          <w:rtl/>
        </w:rPr>
        <w:lastRenderedPageBreak/>
        <w:t>امیرالم</w:t>
      </w:r>
      <w:r w:rsidR="00754801">
        <w:rPr>
          <w:rFonts w:hint="cs"/>
          <w:rtl/>
        </w:rPr>
        <w:t>ؤ</w:t>
      </w:r>
      <w:r>
        <w:rPr>
          <w:rFonts w:hint="cs"/>
          <w:rtl/>
        </w:rPr>
        <w:t>منین علیه افضل التحیات و الصلوات فعل حلال را مکروه نمی شمرده اند.</w:t>
      </w:r>
      <w:r>
        <w:rPr>
          <w:rFonts w:hint="cs"/>
          <w:color w:val="008000"/>
          <w:rtl/>
        </w:rPr>
        <w:t xml:space="preserve"> </w:t>
      </w:r>
      <w:r>
        <w:rPr>
          <w:rFonts w:hint="cs"/>
          <w:rtl/>
        </w:rPr>
        <w:t>در این مورد مکروه، به معنای مکروه مصطلح نیست بلکه سنخی از حرام است که اخفّ است</w:t>
      </w:r>
      <w:r w:rsidR="007C0258">
        <w:rPr>
          <w:rFonts w:hint="cs"/>
          <w:rtl/>
        </w:rPr>
        <w:t>.</w:t>
      </w:r>
    </w:p>
    <w:p w:rsidR="007C0258" w:rsidRDefault="007C0258" w:rsidP="00974771">
      <w:pPr>
        <w:pStyle w:val="ListParagraph"/>
        <w:numPr>
          <w:ilvl w:val="0"/>
          <w:numId w:val="18"/>
        </w:numPr>
        <w:jc w:val="lowKashida"/>
      </w:pPr>
      <w:r>
        <w:rPr>
          <w:rFonts w:hint="cs"/>
          <w:rtl/>
        </w:rPr>
        <w:t xml:space="preserve">در تفسیر قرطبی از اعمش نقل کرده است: </w:t>
      </w:r>
      <w:r w:rsidRPr="007C0258">
        <w:rPr>
          <w:rFonts w:hint="cs"/>
          <w:color w:val="000080"/>
          <w:rtl/>
        </w:rPr>
        <w:t>«</w:t>
      </w:r>
      <w:r w:rsidRPr="007C0258">
        <w:rPr>
          <w:color w:val="000080"/>
          <w:rtl/>
        </w:rPr>
        <w:t xml:space="preserve">ما سمعت إبراهيم قط يقول حلال ولا حرام، ولكن كان يقول: كانوا يكرهون وكانوا يستحبون، </w:t>
      </w:r>
      <w:r w:rsidR="00736922">
        <w:rPr>
          <w:rFonts w:hint="cs"/>
          <w:color w:val="000080"/>
          <w:rtl/>
        </w:rPr>
        <w:t xml:space="preserve">... </w:t>
      </w:r>
      <w:r w:rsidRPr="007C0258">
        <w:rPr>
          <w:color w:val="000080"/>
          <w:rtl/>
        </w:rPr>
        <w:t xml:space="preserve">ومعنى هذا: أن التحليل والتحريم إنما هو لله عز وجل، وليس لأحد أن يقول أو يصرح بهذا في عين من الأعيان، إلا أن يكون البارئ تعالى يخبر بذلك عنه، وما يؤدي إليه الاجتهاد </w:t>
      </w:r>
      <w:r w:rsidR="00736922">
        <w:rPr>
          <w:color w:val="000080"/>
          <w:rtl/>
        </w:rPr>
        <w:t>في أنه حرام يقول: إني أكره كذا</w:t>
      </w:r>
      <w:r>
        <w:rPr>
          <w:rFonts w:hint="cs"/>
          <w:color w:val="000080"/>
          <w:rtl/>
        </w:rPr>
        <w:t>»</w:t>
      </w:r>
      <w:r>
        <w:rPr>
          <w:rStyle w:val="FootnoteReference"/>
          <w:color w:val="000080"/>
          <w:rtl/>
        </w:rPr>
        <w:footnoteReference w:id="9"/>
      </w:r>
      <w:r w:rsidR="00736922">
        <w:rPr>
          <w:rFonts w:hint="cs"/>
          <w:color w:val="000080"/>
          <w:rtl/>
        </w:rPr>
        <w:t xml:space="preserve"> </w:t>
      </w:r>
    </w:p>
    <w:p w:rsidR="00813AB5" w:rsidRDefault="00813AB5" w:rsidP="00974771">
      <w:pPr>
        <w:pStyle w:val="ListParagraph"/>
        <w:jc w:val="lowKashida"/>
        <w:rPr>
          <w:rtl/>
        </w:rPr>
      </w:pPr>
      <w:r>
        <w:rPr>
          <w:rFonts w:hint="cs"/>
          <w:rtl/>
        </w:rPr>
        <w:t>در این عبارت بیان شده است که اگر اجتهاد شما به عدم جواز فعلی برسد، نگویید که این فعل حرام است، بلکه بگویید</w:t>
      </w:r>
      <w:r w:rsidR="00B56286">
        <w:rPr>
          <w:rFonts w:hint="cs"/>
          <w:rtl/>
        </w:rPr>
        <w:t>: «إ</w:t>
      </w:r>
      <w:r>
        <w:rPr>
          <w:rFonts w:hint="cs"/>
          <w:rtl/>
        </w:rPr>
        <w:t>ن</w:t>
      </w:r>
      <w:r w:rsidR="00B56286">
        <w:rPr>
          <w:rFonts w:hint="cs"/>
          <w:rtl/>
        </w:rPr>
        <w:t>ّ</w:t>
      </w:r>
      <w:r>
        <w:rPr>
          <w:rFonts w:hint="cs"/>
          <w:rtl/>
        </w:rPr>
        <w:t>ی أکره ذلک» یا «هذا مکروه».</w:t>
      </w:r>
    </w:p>
    <w:p w:rsidR="00813AB5" w:rsidRPr="00EF6DB2" w:rsidRDefault="00813AB5" w:rsidP="00974771">
      <w:pPr>
        <w:pStyle w:val="ListParagraph"/>
        <w:jc w:val="lowKashida"/>
      </w:pPr>
      <w:r>
        <w:rPr>
          <w:rFonts w:hint="cs"/>
          <w:rtl/>
        </w:rPr>
        <w:t xml:space="preserve">آقای سیستانی فرموده اند: </w:t>
      </w:r>
      <w:r w:rsidR="00B56286">
        <w:rPr>
          <w:rFonts w:hint="cs"/>
          <w:rtl/>
        </w:rPr>
        <w:t>ائمه علیهم السلام هم با این اصطلاح مماشات کرده اند و لذا ظهوری در کلمات ائمه علیهم السلام بر خلاف اصطلاح رایج ایجاد نمی شود.</w:t>
      </w:r>
    </w:p>
    <w:p w:rsidR="00E2049F" w:rsidRDefault="00E2049F" w:rsidP="00974771">
      <w:pPr>
        <w:jc w:val="lowKashida"/>
        <w:rPr>
          <w:color w:val="008000"/>
          <w:rtl/>
        </w:rPr>
      </w:pPr>
      <w:r>
        <w:rPr>
          <w:rFonts w:hint="cs"/>
          <w:rtl/>
        </w:rPr>
        <w:t>ج: احتمال سومی که آقای سیستانی غیر از «ما حرم فی الکتاب» و «ما دل</w:t>
      </w:r>
      <w:r w:rsidR="007502E4">
        <w:rPr>
          <w:rFonts w:hint="cs"/>
          <w:rtl/>
        </w:rPr>
        <w:t>ّ</w:t>
      </w:r>
      <w:r>
        <w:rPr>
          <w:rFonts w:hint="cs"/>
          <w:rtl/>
        </w:rPr>
        <w:t xml:space="preserve"> علی حرمته دلیل قاطع من الکتاب و السنه»</w:t>
      </w:r>
      <w:r w:rsidR="00CD6082">
        <w:rPr>
          <w:rFonts w:hint="cs"/>
          <w:rtl/>
        </w:rPr>
        <w:t xml:space="preserve"> در مورد تعبیر «حرام» مطرح کرده اند، این است که تعبیر «حرام» مربوط به منهی عنه شدید و «مکروه» به معنای منهی عنه غیر شدید است. در این جهت می توان به روایت ابوبصیر اشاره کرده که در آن آمده است: </w:t>
      </w:r>
      <w:r w:rsidR="0034317F" w:rsidRPr="0034317F">
        <w:rPr>
          <w:rFonts w:hint="cs"/>
          <w:color w:val="008000"/>
          <w:rtl/>
        </w:rPr>
        <w:t>«</w:t>
      </w:r>
      <w:r w:rsidR="0034317F" w:rsidRPr="0034317F">
        <w:rPr>
          <w:color w:val="008000"/>
          <w:rtl/>
        </w:rPr>
        <w:t>كَانَ يَكْرَهُ أَنْ يُؤْكَلَ مِنَ الدَّوَابِّ لَحْمُ الْأَرْنَبِ وَ الضَّبِّ وَ الْخَيْلِ وَ الْبِغَالِ وَ لَيْسَ بِحَرَامٍ كَتَحْرِيمِ الْمَيْتَةِ وَ الدَّمِ وَ لَحْمِ الْخِنْزِير</w:t>
      </w:r>
      <w:r w:rsidR="0034317F" w:rsidRPr="0034317F">
        <w:rPr>
          <w:rFonts w:hint="cs"/>
          <w:color w:val="008000"/>
          <w:rtl/>
        </w:rPr>
        <w:t>»</w:t>
      </w:r>
      <w:r w:rsidR="0034317F">
        <w:rPr>
          <w:rStyle w:val="FootnoteReference"/>
          <w:color w:val="008000"/>
          <w:rtl/>
        </w:rPr>
        <w:footnoteReference w:id="10"/>
      </w:r>
    </w:p>
    <w:p w:rsidR="003B04A2" w:rsidRDefault="003B04A2" w:rsidP="00974771">
      <w:pPr>
        <w:jc w:val="lowKashida"/>
        <w:rPr>
          <w:rtl/>
        </w:rPr>
      </w:pPr>
      <w:r>
        <w:rPr>
          <w:rFonts w:hint="cs"/>
          <w:rtl/>
        </w:rPr>
        <w:t xml:space="preserve">طبق احتمال سوم واضح است که در صورت تزاحم بین حرام و مکروه به معنای روایی آن که سنخی از حرام است، </w:t>
      </w:r>
      <w:r w:rsidR="00117EED">
        <w:rPr>
          <w:rFonts w:hint="cs"/>
          <w:rtl/>
        </w:rPr>
        <w:t xml:space="preserve">تزاحم بین </w:t>
      </w:r>
      <w:r w:rsidR="007502E4">
        <w:rPr>
          <w:rFonts w:hint="cs"/>
          <w:rtl/>
        </w:rPr>
        <w:t>أ</w:t>
      </w:r>
      <w:r w:rsidR="00117EED">
        <w:rPr>
          <w:rFonts w:hint="cs"/>
          <w:rtl/>
        </w:rPr>
        <w:t>هم و مهم خواهد بود؛ چون طبق این احتمال، حرام به معنای حرام شدید و مکروه به معنای حرام غیر شدیده است که حرام مقدم خواهد شد.</w:t>
      </w:r>
    </w:p>
    <w:p w:rsidR="004A4FC4" w:rsidRDefault="004A4FC4" w:rsidP="00974771">
      <w:pPr>
        <w:pStyle w:val="Heading3"/>
        <w:jc w:val="lowKashida"/>
        <w:rPr>
          <w:rtl/>
        </w:rPr>
      </w:pPr>
      <w:bookmarkStart w:id="11" w:name="_Toc510012004"/>
      <w:r>
        <w:rPr>
          <w:rFonts w:hint="cs"/>
          <w:rtl/>
        </w:rPr>
        <w:t>مناقشه در کلام آقای سیستانی</w:t>
      </w:r>
      <w:bookmarkEnd w:id="11"/>
    </w:p>
    <w:p w:rsidR="00754801" w:rsidRPr="00754801" w:rsidRDefault="00754801" w:rsidP="00754801">
      <w:pPr>
        <w:pStyle w:val="Heading4"/>
        <w:rPr>
          <w:rtl/>
        </w:rPr>
      </w:pPr>
      <w:bookmarkStart w:id="12" w:name="_Toc510012005"/>
      <w:r>
        <w:rPr>
          <w:rFonts w:hint="cs"/>
          <w:rtl/>
        </w:rPr>
        <w:t>الف: مناقشه در استظهار از روایات</w:t>
      </w:r>
      <w:bookmarkEnd w:id="12"/>
    </w:p>
    <w:p w:rsidR="004A4FC4" w:rsidRDefault="004A4FC4" w:rsidP="00974771">
      <w:pPr>
        <w:jc w:val="lowKashida"/>
        <w:rPr>
          <w:rtl/>
        </w:rPr>
      </w:pPr>
      <w:r>
        <w:rPr>
          <w:rFonts w:hint="cs"/>
          <w:rtl/>
        </w:rPr>
        <w:t>به نظر ما این استظهار آقای سیستانی از تعبیر به «حرام» در مقابل «منهی عنه» و «مکروه» تمام نیست؛ چون ما برخی از این روایات را که ایشان مطرح کرده است، حمل بر تقیه می کنیم</w:t>
      </w:r>
      <w:r w:rsidR="00F65AE7">
        <w:rPr>
          <w:rFonts w:hint="cs"/>
          <w:rtl/>
        </w:rPr>
        <w:t>. از جمله این روایات، صحیحه محمد بن مسلم است که ظاهر آن این است که لحم سباع الطیر از جمله خارپشت، حلال است؛ چون در این روایت آمده است: «</w:t>
      </w:r>
      <w:r w:rsidR="002A4615" w:rsidRPr="002A4615">
        <w:rPr>
          <w:rtl/>
        </w:rPr>
        <w:t xml:space="preserve">لَيْسَ الْحَرَامُ إِلَّا مَا حَرَّمَ اللَّهُ فِي كِتَابِهِ وَ قَدْ نَهَى رَسُولُ اللَّهِ ص يَوْمَ خَيْبَرَ عَنْ أَكْلِ لُحُومِ الْحَمِيرِ وَ إِنَّمَا نَهَاهُمْ مِنْ أَجْلِ ظُهُورِهِمْ أَنْ يُفْنُوهُ وَ </w:t>
      </w:r>
      <w:r w:rsidR="002A4615" w:rsidRPr="002A4615">
        <w:rPr>
          <w:rtl/>
        </w:rPr>
        <w:lastRenderedPageBreak/>
        <w:t>لَيْسَتِ الْحُمُرُ بِحَرَامٍ</w:t>
      </w:r>
      <w:r w:rsidR="002A4615">
        <w:rPr>
          <w:rFonts w:hint="cs"/>
          <w:rtl/>
        </w:rPr>
        <w:t xml:space="preserve">» </w:t>
      </w:r>
      <w:r w:rsidR="0059174E">
        <w:rPr>
          <w:rFonts w:hint="cs"/>
          <w:rtl/>
        </w:rPr>
        <w:t>یا اینکه در روایت دیگر محمد بن مسلم آمده است: «</w:t>
      </w:r>
      <w:r w:rsidR="0059174E" w:rsidRPr="0059174E">
        <w:rPr>
          <w:rtl/>
        </w:rPr>
        <w:t>إِنَّمَا الْحَرَامُ مَا حَرَّمَ اللَّهُ وَ رَسُولُهُ فِي كِتَابِهِ وَ لَكِنَّهُمْ قَدْ كَانُوا يَعَافُونَ أَشْيَاءَ فَنَحْنُ نَعَافُه</w:t>
      </w:r>
      <w:r w:rsidR="0059174E">
        <w:rPr>
          <w:rtl/>
        </w:rPr>
        <w:t>َا</w:t>
      </w:r>
      <w:r w:rsidR="0059174E" w:rsidRPr="0059174E">
        <w:rPr>
          <w:rtl/>
        </w:rPr>
        <w:t>»</w:t>
      </w:r>
      <w:r w:rsidR="0059174E">
        <w:rPr>
          <w:rFonts w:hint="cs"/>
          <w:rtl/>
        </w:rPr>
        <w:t xml:space="preserve"> که به معنای این است که رغبت به خوردن نمی کردند و ما هم رغبت </w:t>
      </w:r>
      <w:r w:rsidR="0059174E" w:rsidRPr="00ED3DF1">
        <w:rPr>
          <w:rFonts w:hint="cs"/>
          <w:rtl/>
        </w:rPr>
        <w:t>نمی کنیم</w:t>
      </w:r>
      <w:r w:rsidR="003B32EE" w:rsidRPr="00ED3DF1">
        <w:rPr>
          <w:rFonts w:hint="cs"/>
          <w:rtl/>
        </w:rPr>
        <w:t xml:space="preserve"> که </w:t>
      </w:r>
      <w:r w:rsidR="00ED3DF1">
        <w:rPr>
          <w:rFonts w:hint="cs"/>
          <w:rtl/>
        </w:rPr>
        <w:t xml:space="preserve">این به معنای حلیت است و </w:t>
      </w:r>
      <w:r w:rsidR="003B32EE" w:rsidRPr="00ED3DF1">
        <w:rPr>
          <w:rFonts w:hint="cs"/>
          <w:rtl/>
        </w:rPr>
        <w:t>عامه معقتد اند که اکثر چیزهایی که ما حرام می دانیم، به جهت این</w:t>
      </w:r>
      <w:r w:rsidR="0059045A">
        <w:rPr>
          <w:rFonts w:hint="cs"/>
          <w:rtl/>
        </w:rPr>
        <w:t xml:space="preserve">که در قرآن نیامده است، حلال است. </w:t>
      </w:r>
      <w:r w:rsidR="00B32FEA">
        <w:rPr>
          <w:rFonts w:hint="cs"/>
          <w:rtl/>
        </w:rPr>
        <w:t>بنابراین همان طور که فقهاء دیگر، روایات مطرح شده را حمل بر تقیه کرده اند، به نظر ما هم این روایات حمل بر تقیه می شود.</w:t>
      </w:r>
    </w:p>
    <w:p w:rsidR="00754801" w:rsidRDefault="00754801" w:rsidP="00754801">
      <w:pPr>
        <w:pStyle w:val="Heading4"/>
        <w:rPr>
          <w:rtl/>
        </w:rPr>
      </w:pPr>
      <w:bookmarkStart w:id="13" w:name="_Toc510012006"/>
      <w:r>
        <w:rPr>
          <w:rFonts w:hint="cs"/>
          <w:rtl/>
        </w:rPr>
        <w:t>ب: مناقشه در استظهار از کلمات لغویین و فقهاء</w:t>
      </w:r>
      <w:bookmarkEnd w:id="13"/>
    </w:p>
    <w:p w:rsidR="004A4FC4" w:rsidRDefault="00DF583B" w:rsidP="00974771">
      <w:pPr>
        <w:jc w:val="lowKashida"/>
        <w:rPr>
          <w:rtl/>
        </w:rPr>
      </w:pPr>
      <w:r>
        <w:rPr>
          <w:rFonts w:hint="cs"/>
          <w:rtl/>
        </w:rPr>
        <w:t xml:space="preserve">به نظر ما استظهار ایشان از کلمات لغویین و </w:t>
      </w:r>
      <w:r w:rsidR="0059045A">
        <w:rPr>
          <w:rFonts w:hint="cs"/>
          <w:rtl/>
        </w:rPr>
        <w:t>برخی دیگر هم تمام نیست؛ چون اینکه فقهاء عامه تعبیر «هذا حرام» را به کار نمی برده اند، به جهت لفظ حرام نبوده است، بلکه به جهت اخبار جزمی بوده است و آنها نمی توانسته اند به صورت جزمی بگویند: «هذا حرام»</w:t>
      </w:r>
      <w:r w:rsidR="00F77B14">
        <w:rPr>
          <w:rFonts w:hint="cs"/>
          <w:rtl/>
        </w:rPr>
        <w:t xml:space="preserve"> و لذا چون جزم نداشتند و اجتهاد در نزد عامه به معنای تحصیل ظن به حکم شرعی بود، ظن داشتند و لذا مشکل در تعبیر حرام نیست بلکه مشکل در اخبار جزمی به حرمت بود و الا بعد بررسی روایات، هیچ شاهدی پیدا نمی شود که حرام دارای معنای اخص از معنای مصطلح در امروز داشته باشد. برای روشن شدن این امر به چند روایت اشاره می کنیم:</w:t>
      </w:r>
    </w:p>
    <w:p w:rsidR="004A4FC4" w:rsidRPr="00251366" w:rsidRDefault="00DF3990" w:rsidP="00974771">
      <w:pPr>
        <w:pStyle w:val="ListParagraph"/>
        <w:numPr>
          <w:ilvl w:val="0"/>
          <w:numId w:val="19"/>
        </w:numPr>
        <w:jc w:val="lowKashida"/>
        <w:rPr>
          <w:color w:val="008000"/>
        </w:rPr>
      </w:pPr>
      <w:r>
        <w:rPr>
          <w:rFonts w:hint="cs"/>
          <w:rtl/>
        </w:rPr>
        <w:t xml:space="preserve">در روایت عمر بن حنظه آمده است: </w:t>
      </w:r>
      <w:r w:rsidR="00F77B14" w:rsidRPr="002E0D32">
        <w:rPr>
          <w:rFonts w:hint="cs"/>
          <w:color w:val="008000"/>
          <w:rtl/>
        </w:rPr>
        <w:t>«</w:t>
      </w:r>
      <w:r w:rsidR="002E0D32" w:rsidRPr="002E0D32">
        <w:rPr>
          <w:color w:val="008000"/>
          <w:rtl/>
        </w:rPr>
        <w:t>إِنَّمَا الْأُمُورُ ثَلَاثَةٌ أَمْرٌ بَيِّنٌ رُشْدُهُ فَيُتَّبَعُ وَ أَمْرٌ بَيِّنٌ غَيُّهُ فَيُجْتَنَبُ وَ أَمْرٌ مُشْكِلٌ يُرَدُّ عِلْمُهُ إِلَى اللَّهِ وَ إِلَى رَسُولِه</w:t>
      </w:r>
      <w:r w:rsidR="00251366">
        <w:rPr>
          <w:rFonts w:hint="cs"/>
          <w:rtl/>
        </w:rPr>
        <w:t xml:space="preserve"> </w:t>
      </w:r>
      <w:r w:rsidR="00251366" w:rsidRPr="00251366">
        <w:rPr>
          <w:color w:val="008000"/>
          <w:rtl/>
        </w:rPr>
        <w:t>قَالَ رَسُولُ اللَّهِ ص حَلَالٌ بَيِّنٌ وَ حَرَامٌ بَيِّنٌ وَ شُبُهَاتٌ بَيْنَ ذ</w:t>
      </w:r>
      <w:r w:rsidR="00251366">
        <w:rPr>
          <w:color w:val="008000"/>
          <w:rtl/>
        </w:rPr>
        <w:t>َلِكَ</w:t>
      </w:r>
      <w:r w:rsidR="002E0D32" w:rsidRPr="002E0D32">
        <w:rPr>
          <w:rFonts w:hint="cs"/>
          <w:color w:val="008000"/>
          <w:rtl/>
        </w:rPr>
        <w:t>»</w:t>
      </w:r>
      <w:r w:rsidR="002E0D32" w:rsidRPr="002E0D32">
        <w:rPr>
          <w:color w:val="008000"/>
          <w:rtl/>
        </w:rPr>
        <w:t>‏</w:t>
      </w:r>
      <w:r w:rsidR="002E0D32">
        <w:rPr>
          <w:rStyle w:val="FootnoteReference"/>
          <w:color w:val="008000"/>
          <w:rtl/>
        </w:rPr>
        <w:footnoteReference w:id="11"/>
      </w:r>
      <w:r w:rsidR="00251366">
        <w:rPr>
          <w:rFonts w:hint="cs"/>
          <w:color w:val="008000"/>
          <w:rtl/>
        </w:rPr>
        <w:t xml:space="preserve"> </w:t>
      </w:r>
      <w:r w:rsidR="00251366">
        <w:rPr>
          <w:rFonts w:hint="cs"/>
          <w:rtl/>
        </w:rPr>
        <w:t>در این روایت امام علیه السلام تمام افعال و اشیاء را در دو قسم حلال و حرام منحصر کرده است، اما زمانی که نوبت به مکلفین می رسد، سه قسم حلال معلوم، حرام معلوم و مشتبه می شود، اما در واقع دو قسم بیشتر نیست که یا حلال و یا حرام اس</w:t>
      </w:r>
      <w:r>
        <w:rPr>
          <w:rFonts w:hint="cs"/>
          <w:rtl/>
        </w:rPr>
        <w:t>ت.</w:t>
      </w:r>
    </w:p>
    <w:p w:rsidR="00251366" w:rsidRDefault="00DF3990" w:rsidP="00974771">
      <w:pPr>
        <w:pStyle w:val="ListParagraph"/>
        <w:numPr>
          <w:ilvl w:val="0"/>
          <w:numId w:val="19"/>
        </w:numPr>
        <w:jc w:val="lowKashida"/>
        <w:rPr>
          <w:color w:val="008000"/>
        </w:rPr>
      </w:pPr>
      <w:r>
        <w:rPr>
          <w:rFonts w:hint="cs"/>
          <w:rtl/>
        </w:rPr>
        <w:t xml:space="preserve">در </w:t>
      </w:r>
      <w:r w:rsidR="003A6823">
        <w:rPr>
          <w:rFonts w:hint="cs"/>
          <w:rtl/>
        </w:rPr>
        <w:t xml:space="preserve">روایت دیگر آمده است: </w:t>
      </w:r>
      <w:r w:rsidR="003A6823" w:rsidRPr="003A6823">
        <w:rPr>
          <w:rFonts w:hint="cs"/>
          <w:color w:val="008000"/>
          <w:rtl/>
        </w:rPr>
        <w:t>«</w:t>
      </w:r>
      <w:r w:rsidR="003A6823" w:rsidRPr="003A6823">
        <w:rPr>
          <w:color w:val="008000"/>
          <w:rtl/>
        </w:rPr>
        <w:t xml:space="preserve"> قُلْتُ لِأَبِي الْحَسَنِ ع إِنَّ امْرَأَتِي وَ امْرَأَةَ ابْنِ مَارِدٍ تَخْرُجَانِ فِي الْمَأْتَمِ فَأَنْهَاهُمَا فَتَقُولُ لِيَ امْرَأَتِي إِنْ كَانَ حَرَاماً فَانْهَنَا عَنْهُ حَتَّى نَتْرُكَهُ وَ إِنْ لَمْ يَكُنْ حَرَاماً فَلِأَيِّ شَيْ‏ءٍ تَمْنَعُنَاهُ فَإِذَا مَاتَ لَنَا مَيِّتٌ لَمْ يَجِئْنَا أَحَدٌ قَالَ فَقَالَ أَبُو الْحَسَنِ ع عَنِ الْحُقُوقِ تَسْأَلُنِي كَانَ أَبِي ع يَبْعَثُ أُمِّي وَ أُمَّ فَرْوَةَ تَقْضِيَانِ حُقُوقَ أَهْلِ الْمَدِينَةِ.</w:t>
      </w:r>
      <w:r w:rsidR="003A6823">
        <w:rPr>
          <w:rFonts w:hint="cs"/>
          <w:color w:val="008000"/>
          <w:rtl/>
        </w:rPr>
        <w:t>»</w:t>
      </w:r>
      <w:r w:rsidR="003A6823">
        <w:rPr>
          <w:rStyle w:val="FootnoteReference"/>
          <w:color w:val="008000"/>
          <w:rtl/>
        </w:rPr>
        <w:footnoteReference w:id="12"/>
      </w:r>
    </w:p>
    <w:p w:rsidR="00651676" w:rsidRDefault="00D9674B" w:rsidP="00974771">
      <w:pPr>
        <w:pStyle w:val="ListParagraph"/>
        <w:jc w:val="lowKashida"/>
        <w:rPr>
          <w:rtl/>
        </w:rPr>
      </w:pPr>
      <w:r>
        <w:rPr>
          <w:rFonts w:hint="cs"/>
          <w:rtl/>
        </w:rPr>
        <w:t xml:space="preserve">در این روایت تعبیر حراما به کار رفته است که </w:t>
      </w:r>
      <w:r w:rsidR="008444CD">
        <w:rPr>
          <w:rFonts w:hint="cs"/>
          <w:rtl/>
        </w:rPr>
        <w:t xml:space="preserve">تعبیر عرفی است و </w:t>
      </w:r>
      <w:r w:rsidR="00651676">
        <w:rPr>
          <w:rFonts w:hint="cs"/>
          <w:rtl/>
        </w:rPr>
        <w:t>به هیچ یک از سه معنای ذکر شده</w:t>
      </w:r>
      <w:r w:rsidR="008444CD">
        <w:rPr>
          <w:rFonts w:hint="cs"/>
          <w:rtl/>
        </w:rPr>
        <w:t xml:space="preserve"> نیست</w:t>
      </w:r>
      <w:r w:rsidR="00651676">
        <w:rPr>
          <w:rFonts w:hint="cs"/>
          <w:rtl/>
        </w:rPr>
        <w:t xml:space="preserve"> بلکه حرام به معنای حرام مصطلح است و اراده حرام در قرآن کریم، حرام ثابت شده با دلیل قطعی یا حرام شدید نشده است.</w:t>
      </w:r>
    </w:p>
    <w:p w:rsidR="00D9674B" w:rsidRPr="008634A3" w:rsidRDefault="00651676" w:rsidP="00974771">
      <w:pPr>
        <w:pStyle w:val="ListParagraph"/>
        <w:numPr>
          <w:ilvl w:val="0"/>
          <w:numId w:val="19"/>
        </w:numPr>
        <w:jc w:val="lowKashida"/>
      </w:pPr>
      <w:r>
        <w:rPr>
          <w:rFonts w:hint="cs"/>
          <w:rtl/>
        </w:rPr>
        <w:lastRenderedPageBreak/>
        <w:t xml:space="preserve">در روایت </w:t>
      </w:r>
      <w:r w:rsidR="005B4B89">
        <w:rPr>
          <w:rFonts w:hint="cs"/>
          <w:rtl/>
        </w:rPr>
        <w:t xml:space="preserve">زهری آمده است: </w:t>
      </w:r>
      <w:r>
        <w:rPr>
          <w:rFonts w:hint="cs"/>
          <w:rtl/>
        </w:rPr>
        <w:t xml:space="preserve"> </w:t>
      </w:r>
      <w:r w:rsidR="005B4B89" w:rsidRPr="005B59FF">
        <w:rPr>
          <w:rFonts w:hint="cs"/>
          <w:color w:val="008000"/>
          <w:rtl/>
        </w:rPr>
        <w:t>«</w:t>
      </w:r>
      <w:r w:rsidR="005B4B89" w:rsidRPr="005B59FF">
        <w:rPr>
          <w:color w:val="008000"/>
          <w:rtl/>
        </w:rPr>
        <w:t xml:space="preserve">وَ أَمَّا الصَّوْمُ الْحَرَامُ فَصَوْمُ يَوْمِ الْفِطْرِ وَ يَوْمِ الْأَضْحَى وَ ثَلَاثَةِ أَيَّامٍ مِنْ أَيَّامِ التَّشْرِيقِ </w:t>
      </w:r>
      <w:r w:rsidR="005B59FF" w:rsidRPr="005B59FF">
        <w:rPr>
          <w:rFonts w:hint="cs"/>
          <w:color w:val="008000"/>
          <w:rtl/>
        </w:rPr>
        <w:t>...</w:t>
      </w:r>
      <w:r w:rsidR="005B4B89" w:rsidRPr="005B59FF">
        <w:rPr>
          <w:color w:val="008000"/>
          <w:rtl/>
        </w:rPr>
        <w:t xml:space="preserve"> وَ صَوْمُ الْوِصَالِ حَرَامٌ وَ صَوْمُ الصَّمْتِ حَرَامٌ وَ صَوْمُ نَذْرِ الْمَعْصِيَةِ حَرَامٌ وَ صَوْمُ الدَّهْرِ حَرَام</w:t>
      </w:r>
      <w:r w:rsidR="005B59FF">
        <w:rPr>
          <w:rStyle w:val="FootnoteReference"/>
          <w:color w:val="008000"/>
          <w:rtl/>
        </w:rPr>
        <w:footnoteReference w:id="13"/>
      </w:r>
      <w:r w:rsidR="005B4B89" w:rsidRPr="005B59FF">
        <w:rPr>
          <w:color w:val="008000"/>
          <w:rtl/>
        </w:rPr>
        <w:t>‏</w:t>
      </w:r>
      <w:r w:rsidR="005B59FF" w:rsidRPr="005B59FF">
        <w:rPr>
          <w:rFonts w:hint="cs"/>
          <w:color w:val="008000"/>
          <w:rtl/>
        </w:rPr>
        <w:t>»</w:t>
      </w:r>
      <w:r w:rsidR="005B59FF">
        <w:rPr>
          <w:rStyle w:val="FootnoteReference"/>
          <w:color w:val="008000"/>
          <w:rtl/>
        </w:rPr>
        <w:footnoteReference w:id="14"/>
      </w:r>
    </w:p>
    <w:p w:rsidR="008634A3" w:rsidRDefault="008634A3" w:rsidP="00974771">
      <w:pPr>
        <w:pStyle w:val="ListParagraph"/>
        <w:jc w:val="lowKashida"/>
        <w:rPr>
          <w:rtl/>
        </w:rPr>
      </w:pPr>
      <w:r>
        <w:rPr>
          <w:rFonts w:hint="cs"/>
          <w:rtl/>
        </w:rPr>
        <w:t>ظهور این روایت در حرام مطلق است.</w:t>
      </w:r>
    </w:p>
    <w:p w:rsidR="008634A3" w:rsidRPr="008C69F9" w:rsidRDefault="008634A3" w:rsidP="00974771">
      <w:pPr>
        <w:pStyle w:val="ListParagraph"/>
        <w:numPr>
          <w:ilvl w:val="0"/>
          <w:numId w:val="19"/>
        </w:numPr>
        <w:jc w:val="lowKashida"/>
      </w:pPr>
      <w:r>
        <w:rPr>
          <w:rFonts w:hint="cs"/>
          <w:rtl/>
        </w:rPr>
        <w:t xml:space="preserve">در روایت دیگر آمده است: </w:t>
      </w:r>
      <w:r w:rsidRPr="008634A3">
        <w:rPr>
          <w:rFonts w:hint="cs"/>
          <w:color w:val="008000"/>
          <w:rtl/>
        </w:rPr>
        <w:t>«</w:t>
      </w:r>
      <w:r w:rsidRPr="008634A3">
        <w:rPr>
          <w:color w:val="008000"/>
          <w:rtl/>
        </w:rPr>
        <w:t>كُلُّ شَيْ‏ءٍ يَنْبُتُ فِي الْحَرَمِ فَهُوَ حَرَامٌ عَلَى النَّاسِ أَجْمَعِين</w:t>
      </w:r>
      <w:r w:rsidRPr="008634A3">
        <w:rPr>
          <w:rFonts w:hint="cs"/>
          <w:color w:val="008000"/>
          <w:rtl/>
        </w:rPr>
        <w:t>»</w:t>
      </w:r>
      <w:r w:rsidRPr="008634A3">
        <w:rPr>
          <w:color w:val="008000"/>
          <w:rtl/>
        </w:rPr>
        <w:t>‏</w:t>
      </w:r>
      <w:r>
        <w:rPr>
          <w:rStyle w:val="FootnoteReference"/>
          <w:color w:val="008000"/>
          <w:rtl/>
        </w:rPr>
        <w:footnoteReference w:id="15"/>
      </w:r>
    </w:p>
    <w:p w:rsidR="008C69F9" w:rsidRDefault="008C69F9" w:rsidP="00974771">
      <w:pPr>
        <w:pStyle w:val="ListParagraph"/>
        <w:jc w:val="lowKashida"/>
        <w:rPr>
          <w:rtl/>
        </w:rPr>
      </w:pPr>
      <w:r>
        <w:rPr>
          <w:rFonts w:hint="cs"/>
          <w:rtl/>
        </w:rPr>
        <w:t xml:space="preserve">معنای این روایت این است که </w:t>
      </w:r>
      <w:r w:rsidR="00E172FC">
        <w:rPr>
          <w:rFonts w:hint="cs"/>
          <w:rtl/>
        </w:rPr>
        <w:t>کندن گیاه حرم، حرام است. حرمت کندن گیاه ظهور در هیچ یک از سه معنای ذکر شده ندارد.</w:t>
      </w:r>
    </w:p>
    <w:p w:rsidR="00E172FC" w:rsidRPr="007147FB" w:rsidRDefault="00E172FC" w:rsidP="00974771">
      <w:pPr>
        <w:pStyle w:val="ListParagraph"/>
        <w:numPr>
          <w:ilvl w:val="0"/>
          <w:numId w:val="19"/>
        </w:numPr>
        <w:jc w:val="lowKashida"/>
      </w:pPr>
      <w:r>
        <w:rPr>
          <w:rFonts w:hint="cs"/>
          <w:rtl/>
        </w:rPr>
        <w:t xml:space="preserve">در روایت آمده است: </w:t>
      </w:r>
      <w:r w:rsidRPr="007147FB">
        <w:rPr>
          <w:rFonts w:hint="cs"/>
          <w:color w:val="008000"/>
          <w:rtl/>
        </w:rPr>
        <w:t>«</w:t>
      </w:r>
      <w:r w:rsidR="007147FB" w:rsidRPr="007147FB">
        <w:rPr>
          <w:color w:val="008000"/>
          <w:rtl/>
        </w:rPr>
        <w:t>كُلُّ طِينٍ حَرَامٌ كَالْمَيْتَةِ</w:t>
      </w:r>
      <w:r w:rsidR="007147FB" w:rsidRPr="007147FB">
        <w:rPr>
          <w:rFonts w:hint="cs"/>
          <w:color w:val="008000"/>
          <w:rtl/>
        </w:rPr>
        <w:t>»</w:t>
      </w:r>
      <w:r w:rsidR="007147FB">
        <w:rPr>
          <w:rStyle w:val="FootnoteReference"/>
          <w:color w:val="008000"/>
          <w:rtl/>
        </w:rPr>
        <w:footnoteReference w:id="16"/>
      </w:r>
    </w:p>
    <w:p w:rsidR="00E172FC" w:rsidRPr="00046CE5" w:rsidRDefault="00046CE5" w:rsidP="00974771">
      <w:pPr>
        <w:pStyle w:val="ListParagraph"/>
        <w:numPr>
          <w:ilvl w:val="0"/>
          <w:numId w:val="19"/>
        </w:numPr>
        <w:jc w:val="lowKashida"/>
      </w:pPr>
      <w:r>
        <w:rPr>
          <w:rFonts w:hint="cs"/>
          <w:rtl/>
        </w:rPr>
        <w:t xml:space="preserve">در روایت دیگر آمده است: </w:t>
      </w:r>
      <w:r w:rsidRPr="00046CE5">
        <w:rPr>
          <w:rFonts w:hint="cs"/>
          <w:color w:val="008000"/>
          <w:rtl/>
        </w:rPr>
        <w:t>«</w:t>
      </w:r>
      <w:r w:rsidRPr="00046CE5">
        <w:rPr>
          <w:color w:val="008000"/>
          <w:rtl/>
        </w:rPr>
        <w:t>إِنَّ الْقِتَالَ مَعَ غَيْرِ الْإِمَامِ الْمُفْتَرَضِ طَاعَتُهُ حَرَام‏</w:t>
      </w:r>
      <w:r w:rsidRPr="00046CE5">
        <w:rPr>
          <w:rFonts w:hint="cs"/>
          <w:color w:val="008000"/>
          <w:rtl/>
        </w:rPr>
        <w:t>»</w:t>
      </w:r>
      <w:r>
        <w:rPr>
          <w:rStyle w:val="FootnoteReference"/>
          <w:color w:val="008000"/>
          <w:rtl/>
        </w:rPr>
        <w:footnoteReference w:id="17"/>
      </w:r>
      <w:r>
        <w:rPr>
          <w:rFonts w:hint="cs"/>
          <w:color w:val="008000"/>
          <w:rtl/>
        </w:rPr>
        <w:t xml:space="preserve"> </w:t>
      </w:r>
    </w:p>
    <w:p w:rsidR="00E172FC" w:rsidRPr="003A212E" w:rsidRDefault="003A212E" w:rsidP="00974771">
      <w:pPr>
        <w:pStyle w:val="ListParagraph"/>
        <w:numPr>
          <w:ilvl w:val="0"/>
          <w:numId w:val="19"/>
        </w:numPr>
        <w:jc w:val="lowKashida"/>
      </w:pPr>
      <w:r>
        <w:rPr>
          <w:rFonts w:hint="cs"/>
          <w:rtl/>
        </w:rPr>
        <w:t xml:space="preserve">در روایت دیگر آمد است: </w:t>
      </w:r>
      <w:r w:rsidRPr="003A212E">
        <w:rPr>
          <w:rFonts w:hint="cs"/>
          <w:color w:val="008000"/>
          <w:rtl/>
        </w:rPr>
        <w:t>«</w:t>
      </w:r>
      <w:r w:rsidRPr="003A212E">
        <w:rPr>
          <w:color w:val="008000"/>
          <w:rtl/>
        </w:rPr>
        <w:t>فِي حَلَالِهَا حِسَابٌ وَ فِي حَرَامِهَا عِقَاب‏</w:t>
      </w:r>
      <w:r w:rsidRPr="003A212E">
        <w:rPr>
          <w:rFonts w:hint="cs"/>
          <w:color w:val="008000"/>
          <w:rtl/>
        </w:rPr>
        <w:t>»</w:t>
      </w:r>
      <w:r w:rsidRPr="003A212E">
        <w:rPr>
          <w:rStyle w:val="FootnoteReference"/>
          <w:color w:val="008000"/>
          <w:rtl/>
        </w:rPr>
        <w:footnoteReference w:id="18"/>
      </w:r>
    </w:p>
    <w:p w:rsidR="00E172FC" w:rsidRPr="0053543E" w:rsidRDefault="007E2B67" w:rsidP="00974771">
      <w:pPr>
        <w:pStyle w:val="ListParagraph"/>
        <w:numPr>
          <w:ilvl w:val="0"/>
          <w:numId w:val="19"/>
        </w:numPr>
        <w:jc w:val="lowKashida"/>
      </w:pPr>
      <w:r>
        <w:rPr>
          <w:rFonts w:hint="cs"/>
          <w:rtl/>
        </w:rPr>
        <w:t xml:space="preserve">در روایت تحف العقول آمده است: </w:t>
      </w:r>
      <w:r w:rsidRPr="0053543E">
        <w:rPr>
          <w:rFonts w:hint="cs"/>
          <w:color w:val="008000"/>
          <w:rtl/>
        </w:rPr>
        <w:t>«</w:t>
      </w:r>
      <w:r w:rsidR="0053543E" w:rsidRPr="0053543E">
        <w:rPr>
          <w:color w:val="008000"/>
          <w:rtl/>
        </w:rPr>
        <w:t xml:space="preserve">فَكُلُّ أَمْرٍ يَكُونُ فِيهِ الْفَسَادُ مِمَّا هُوَ مَنْهِيٌّ عَنْهُ </w:t>
      </w:r>
      <w:r w:rsidR="0053543E" w:rsidRPr="0053543E">
        <w:rPr>
          <w:color w:val="008000"/>
        </w:rPr>
        <w:t>…</w:t>
      </w:r>
      <w:r w:rsidR="0053543E" w:rsidRPr="0053543E">
        <w:rPr>
          <w:color w:val="008000"/>
          <w:rtl/>
        </w:rPr>
        <w:t xml:space="preserve"> فَهَذَا كُلُّهُ حَرَامٌ وَ مُحَرَّمٌ لِأَنَّ ذَلِكَ كُلَّهُ مَنْهِيٌّ عَنْ أَكْلِهِ وَ شُرْبِهِ وَ لُبْسِهِ وَ مِلْكِهِ وَ إِمْسَاكِهِ وَ التَّقَلُّبِ فِيهِ بِوَجْهٍ مِنَ الْوُجُوه‏</w:t>
      </w:r>
      <w:r w:rsidR="0053543E" w:rsidRPr="0053543E">
        <w:rPr>
          <w:rFonts w:hint="cs"/>
          <w:color w:val="008000"/>
          <w:rtl/>
        </w:rPr>
        <w:t>»</w:t>
      </w:r>
      <w:r w:rsidR="0053543E">
        <w:rPr>
          <w:rStyle w:val="FootnoteReference"/>
          <w:color w:val="008000"/>
          <w:rtl/>
        </w:rPr>
        <w:footnoteReference w:id="19"/>
      </w:r>
    </w:p>
    <w:p w:rsidR="00E172FC" w:rsidRDefault="00C70DCD" w:rsidP="00974771">
      <w:pPr>
        <w:pStyle w:val="ListParagraph"/>
        <w:numPr>
          <w:ilvl w:val="0"/>
          <w:numId w:val="19"/>
        </w:numPr>
        <w:jc w:val="lowKashida"/>
      </w:pPr>
      <w:r>
        <w:rPr>
          <w:rFonts w:hint="cs"/>
          <w:rtl/>
        </w:rPr>
        <w:t xml:space="preserve"> در روایت دیگر آمده است: </w:t>
      </w:r>
      <w:r w:rsidRPr="00C70DCD">
        <w:rPr>
          <w:rFonts w:hint="cs"/>
          <w:color w:val="008000"/>
          <w:rtl/>
        </w:rPr>
        <w:t>«</w:t>
      </w:r>
      <w:r w:rsidRPr="00C70DCD">
        <w:rPr>
          <w:color w:val="008000"/>
          <w:rtl/>
        </w:rPr>
        <w:t>كُلُّ سَمَكٍ لَا يَكُونُ لَهُ فُلُوسٌ فَأَكْلُهُ حَرَام‏</w:t>
      </w:r>
      <w:r w:rsidRPr="00C70DCD">
        <w:rPr>
          <w:rFonts w:hint="cs"/>
          <w:color w:val="008000"/>
          <w:rtl/>
        </w:rPr>
        <w:t>»</w:t>
      </w:r>
      <w:r>
        <w:rPr>
          <w:rStyle w:val="FootnoteReference"/>
          <w:color w:val="008000"/>
          <w:rtl/>
        </w:rPr>
        <w:footnoteReference w:id="20"/>
      </w:r>
      <w:r w:rsidR="00616696">
        <w:rPr>
          <w:rFonts w:hint="cs"/>
          <w:color w:val="008000"/>
          <w:rtl/>
        </w:rPr>
        <w:t xml:space="preserve"> </w:t>
      </w:r>
      <w:r w:rsidR="00616696">
        <w:rPr>
          <w:rFonts w:hint="cs"/>
          <w:rtl/>
        </w:rPr>
        <w:t>حرمت ماهی که دارای فلس نیست، در قرآن کریم ذکر نشده است و دلیل قاطعی بر حرمت هم ندارد؛ چون عامه آن را حلال می دانند و روایات ما هم مختلف است.</w:t>
      </w:r>
    </w:p>
    <w:p w:rsidR="00616696" w:rsidRPr="00E8703F" w:rsidRDefault="00616696" w:rsidP="00974771">
      <w:pPr>
        <w:pStyle w:val="ListParagraph"/>
        <w:numPr>
          <w:ilvl w:val="0"/>
          <w:numId w:val="19"/>
        </w:numPr>
        <w:jc w:val="lowKashida"/>
      </w:pPr>
      <w:r>
        <w:rPr>
          <w:rFonts w:hint="cs"/>
          <w:rtl/>
        </w:rPr>
        <w:t xml:space="preserve">در روایت دیگر آمده است: </w:t>
      </w:r>
      <w:r w:rsidRPr="00616696">
        <w:rPr>
          <w:rFonts w:hint="cs"/>
          <w:color w:val="008000"/>
          <w:rtl/>
        </w:rPr>
        <w:t>«</w:t>
      </w:r>
      <w:r w:rsidRPr="00616696">
        <w:rPr>
          <w:color w:val="008000"/>
          <w:rtl/>
        </w:rPr>
        <w:t>كُلُّ عَصِيرٍ أَصَابَتْهُ النَّارُ فَهُوَ حَرَامٌ حَتَّى يَذْهَبَ ثُلُثَاهُ وَ يَبْقَى ثُلُثُهُ</w:t>
      </w:r>
      <w:r w:rsidRPr="00616696">
        <w:rPr>
          <w:rFonts w:hint="cs"/>
          <w:color w:val="008000"/>
          <w:rtl/>
        </w:rPr>
        <w:t>»</w:t>
      </w:r>
      <w:r>
        <w:rPr>
          <w:rStyle w:val="FootnoteReference"/>
          <w:color w:val="008000"/>
          <w:rtl/>
        </w:rPr>
        <w:footnoteReference w:id="21"/>
      </w:r>
    </w:p>
    <w:p w:rsidR="00B72DB6" w:rsidRDefault="00E8703F" w:rsidP="00974771">
      <w:pPr>
        <w:pStyle w:val="ListParagraph"/>
        <w:numPr>
          <w:ilvl w:val="0"/>
          <w:numId w:val="19"/>
        </w:numPr>
        <w:jc w:val="lowKashida"/>
      </w:pPr>
      <w:r>
        <w:rPr>
          <w:rFonts w:hint="cs"/>
          <w:rtl/>
        </w:rPr>
        <w:t xml:space="preserve">از عمری نائب امام عصر عج الله تعالی فرجه الشریف در مورد مساله ای سوال شده است. ایشان فرموده اند: </w:t>
      </w:r>
      <w:r w:rsidR="00B528E2" w:rsidRPr="00B528E2">
        <w:rPr>
          <w:rFonts w:hint="cs"/>
          <w:color w:val="008000"/>
          <w:rtl/>
        </w:rPr>
        <w:t>«</w:t>
      </w:r>
      <w:r w:rsidR="00B528E2" w:rsidRPr="00B528E2">
        <w:rPr>
          <w:color w:val="008000"/>
          <w:rtl/>
        </w:rPr>
        <w:t xml:space="preserve"> وَ لَا أَقُولُ هَذَا مِنْ عِنْدِي فَلَيْسَ لِي أَنْ أُحَلِّلَ وَ لَا أُحَرِّمَ وَ لَكِنْ عَنْهُ </w:t>
      </w:r>
      <w:r w:rsidR="00B528E2" w:rsidRPr="00B528E2">
        <w:rPr>
          <w:rFonts w:hint="cs"/>
          <w:color w:val="008000"/>
          <w:rtl/>
        </w:rPr>
        <w:t>علیه السلام»</w:t>
      </w:r>
      <w:r w:rsidR="00B72DB6">
        <w:rPr>
          <w:rStyle w:val="FootnoteReference"/>
          <w:color w:val="008000"/>
          <w:rtl/>
        </w:rPr>
        <w:footnoteReference w:id="22"/>
      </w:r>
      <w:r w:rsidR="00B72DB6">
        <w:rPr>
          <w:rFonts w:hint="cs"/>
          <w:color w:val="008000"/>
          <w:rtl/>
        </w:rPr>
        <w:t xml:space="preserve"> </w:t>
      </w:r>
      <w:r w:rsidR="00B72DB6">
        <w:rPr>
          <w:rFonts w:hint="cs"/>
          <w:rtl/>
        </w:rPr>
        <w:t>این عبارت به این معنا است که عمری از نزد خود حکمی جعل نمی کنم که «احرّم» به معنای «امنع» است و معانی آقای سیستانی ندارد.</w:t>
      </w:r>
    </w:p>
    <w:p w:rsidR="00B72DB6" w:rsidRDefault="00B72DB6" w:rsidP="00974771">
      <w:pPr>
        <w:jc w:val="lowKashida"/>
        <w:rPr>
          <w:rtl/>
        </w:rPr>
      </w:pPr>
      <w:r>
        <w:rPr>
          <w:rFonts w:hint="cs"/>
          <w:rtl/>
        </w:rPr>
        <w:lastRenderedPageBreak/>
        <w:t xml:space="preserve">بنابراین به نظر ما استعمالات در کلمات فقهاء و روایات </w:t>
      </w:r>
      <w:r w:rsidR="00610312">
        <w:rPr>
          <w:rFonts w:hint="cs"/>
          <w:rtl/>
        </w:rPr>
        <w:t>در غیر از معنای معهود هیچ ظهوری ندارد و فرضا اگر یک مورد به یکی از معانی سه گانه باشد، دلیل نخواهد بود که به صورت کلی حرام در یکی از این سه معنا باشد.</w:t>
      </w:r>
    </w:p>
    <w:p w:rsidR="006323A5" w:rsidRDefault="006323A5" w:rsidP="006323A5">
      <w:pPr>
        <w:pStyle w:val="Heading4"/>
      </w:pPr>
      <w:bookmarkStart w:id="14" w:name="_Toc510012007"/>
      <w:r>
        <w:rPr>
          <w:rFonts w:hint="cs"/>
          <w:rtl/>
        </w:rPr>
        <w:t>ج: پاسخ از روایت «لم یکن علی یکره الحلال»</w:t>
      </w:r>
      <w:bookmarkEnd w:id="14"/>
    </w:p>
    <w:p w:rsidR="008609E3" w:rsidRDefault="004A0C82" w:rsidP="00974771">
      <w:pPr>
        <w:jc w:val="lowKashida"/>
        <w:rPr>
          <w:rtl/>
        </w:rPr>
      </w:pPr>
      <w:r>
        <w:rPr>
          <w:rFonts w:hint="cs"/>
          <w:rtl/>
        </w:rPr>
        <w:t xml:space="preserve">آقای سیستانی </w:t>
      </w:r>
      <w:r w:rsidR="00E81BA1">
        <w:rPr>
          <w:rFonts w:hint="cs"/>
          <w:rtl/>
        </w:rPr>
        <w:t>برای اثبات اینکه مکروه در روایات به یکی از معانی سه گانه به کار رفته است، به روایتی استشهاد کردند که در آن تعبیر «لم یکن علی یکره الحلال» به کار رفته است که به نظر ما این استشهاد صحیح</w:t>
      </w:r>
      <w:r w:rsidR="007225AD">
        <w:rPr>
          <w:rFonts w:hint="cs"/>
          <w:rtl/>
        </w:rPr>
        <w:t xml:space="preserve"> نیست. </w:t>
      </w:r>
    </w:p>
    <w:p w:rsidR="00435964" w:rsidRDefault="007225AD" w:rsidP="00974771">
      <w:pPr>
        <w:jc w:val="lowKashida"/>
        <w:rPr>
          <w:rtl/>
        </w:rPr>
      </w:pPr>
      <w:r>
        <w:rPr>
          <w:rFonts w:hint="cs"/>
          <w:rtl/>
        </w:rPr>
        <w:t>ما با تتبّعی که انجام داده ایم، ظهوری در لسان روایات نیافتیم که مکروه به معنای ممنوع باشد</w:t>
      </w:r>
      <w:r w:rsidR="008609E3">
        <w:rPr>
          <w:rFonts w:hint="cs"/>
          <w:rtl/>
        </w:rPr>
        <w:t xml:space="preserve">. از طرف دیگر استدلال ایشان به روایت «لم یکن علی یکره الحلال» هم صحیح نیست؛ چون استعمال اعم از حقیقت است و مسلما در این روایت مراد از تعبیر «لم یکن علی یکره الحلال» این است که «لم یکن یکره کراهة لزومیه» و الا قطعا امیر المومنین علیه السلام از حلال هایی که مکروه مصطلح است، خوشایندشان نبود. به عنوان مثال حضرت امیرالمومنین از مواردی از قبیل بیع العنب ممن یعمله خمرا، </w:t>
      </w:r>
      <w:r w:rsidR="00435964">
        <w:rPr>
          <w:rFonts w:hint="cs"/>
          <w:rtl/>
        </w:rPr>
        <w:t>استمتاع های مکروه</w:t>
      </w:r>
      <w:r w:rsidR="008F7DAE">
        <w:rPr>
          <w:rFonts w:hint="cs"/>
          <w:rtl/>
        </w:rPr>
        <w:t>، لغو</w:t>
      </w:r>
      <w:r w:rsidR="00435964">
        <w:rPr>
          <w:rFonts w:hint="cs"/>
          <w:rtl/>
        </w:rPr>
        <w:t xml:space="preserve"> و مواردی از این قبیل قطعا کراهت داشته است؛ چون وقتی خداوند کراهت دارد، قطعا حضرت امیر المومنین هم کراهت دارد. طبیعتا وقتی خداوند متعال کراهت غیر لزومیه دارد، حضرت امیر المومنین هم </w:t>
      </w:r>
      <w:r w:rsidR="008F7DAE">
        <w:rPr>
          <w:rFonts w:hint="cs"/>
          <w:rtl/>
        </w:rPr>
        <w:t>که فانی فی ذات الله است و اراده آنها اراده رب</w:t>
      </w:r>
      <w:r w:rsidR="0029792F">
        <w:rPr>
          <w:rFonts w:hint="cs"/>
          <w:rtl/>
        </w:rPr>
        <w:t>ّ</w:t>
      </w:r>
      <w:r w:rsidR="008F7DAE">
        <w:rPr>
          <w:rFonts w:hint="cs"/>
          <w:rtl/>
        </w:rPr>
        <w:t xml:space="preserve"> است، </w:t>
      </w:r>
      <w:r w:rsidR="00435964">
        <w:rPr>
          <w:rFonts w:hint="cs"/>
          <w:rtl/>
        </w:rPr>
        <w:t>کراهت غیر لزومیه دارد.</w:t>
      </w:r>
    </w:p>
    <w:p w:rsidR="0029792F" w:rsidRDefault="0029792F" w:rsidP="00974771">
      <w:pPr>
        <w:jc w:val="lowKashida"/>
        <w:rPr>
          <w:rtl/>
        </w:rPr>
      </w:pPr>
      <w:r>
        <w:rPr>
          <w:rFonts w:hint="cs"/>
          <w:rtl/>
        </w:rPr>
        <w:t>بنابراین در این استعمال به معنای این بوده است که کراهت لزومیه نبوده است و این دلیل نمی شود که هر جایی که مکروه به کار رود، به معنای کراهت لزومیه باشد.</w:t>
      </w:r>
    </w:p>
    <w:p w:rsidR="000359B2" w:rsidRDefault="000359B2" w:rsidP="00974771">
      <w:pPr>
        <w:jc w:val="lowKashida"/>
        <w:rPr>
          <w:rtl/>
        </w:rPr>
      </w:pPr>
      <w:r>
        <w:rPr>
          <w:rFonts w:hint="cs"/>
          <w:rtl/>
        </w:rPr>
        <w:t>نتیجه مطالب ذکر شده این است که</w:t>
      </w:r>
      <w:r w:rsidR="00FF162E">
        <w:rPr>
          <w:rFonts w:hint="cs"/>
          <w:rtl/>
        </w:rPr>
        <w:t xml:space="preserve"> مرجّح</w:t>
      </w:r>
      <w:r>
        <w:rPr>
          <w:rFonts w:hint="cs"/>
          <w:rtl/>
        </w:rPr>
        <w:t xml:space="preserve"> نهم هم مورد پذیرش ما واقع نمی شود.</w:t>
      </w:r>
      <w:r w:rsidR="00A25776">
        <w:rPr>
          <w:rFonts w:hint="cs"/>
          <w:rtl/>
        </w:rPr>
        <w:t xml:space="preserve"> در پایان به چند نکته اشاره می کنیم:</w:t>
      </w:r>
    </w:p>
    <w:p w:rsidR="00A25776" w:rsidRDefault="00A25776" w:rsidP="00A25776">
      <w:pPr>
        <w:pStyle w:val="ListParagraph"/>
        <w:numPr>
          <w:ilvl w:val="0"/>
          <w:numId w:val="21"/>
        </w:numPr>
        <w:jc w:val="lowKashida"/>
      </w:pPr>
      <w:r>
        <w:rPr>
          <w:rFonts w:hint="cs"/>
          <w:rtl/>
        </w:rPr>
        <w:t xml:space="preserve">آقای سیستانی می فرمایند: </w:t>
      </w:r>
      <w:r w:rsidR="000359B2">
        <w:rPr>
          <w:rFonts w:hint="cs"/>
          <w:rtl/>
        </w:rPr>
        <w:t>اگر حرام بودن چیزی به واسطه قرآن ثابت شود، فریضه به معنای «ماقد</w:t>
      </w:r>
      <w:r w:rsidR="008B6F8A">
        <w:rPr>
          <w:rFonts w:hint="cs"/>
          <w:rtl/>
        </w:rPr>
        <w:t>ّ</w:t>
      </w:r>
      <w:r w:rsidR="000359B2">
        <w:rPr>
          <w:rFonts w:hint="cs"/>
          <w:rtl/>
        </w:rPr>
        <w:t xml:space="preserve">ره الله» </w:t>
      </w:r>
      <w:r w:rsidR="008B6F8A">
        <w:rPr>
          <w:rFonts w:hint="cs"/>
          <w:rtl/>
        </w:rPr>
        <w:t xml:space="preserve">خواهد شد که حرام هم می تواند فریضه باشد، همان طور که ارث فریضه است. </w:t>
      </w:r>
    </w:p>
    <w:p w:rsidR="00D02688" w:rsidRDefault="008B6F8A" w:rsidP="00D02688">
      <w:pPr>
        <w:pStyle w:val="ListParagraph"/>
        <w:numPr>
          <w:ilvl w:val="0"/>
          <w:numId w:val="21"/>
        </w:numPr>
        <w:jc w:val="lowKashida"/>
      </w:pPr>
      <w:r>
        <w:rPr>
          <w:rFonts w:hint="cs"/>
          <w:rtl/>
        </w:rPr>
        <w:t xml:space="preserve">معنای سومی که </w:t>
      </w:r>
      <w:r w:rsidR="00A25776">
        <w:rPr>
          <w:rFonts w:hint="cs"/>
          <w:rtl/>
        </w:rPr>
        <w:t>آقای سیستانی</w:t>
      </w:r>
      <w:r>
        <w:rPr>
          <w:rFonts w:hint="cs"/>
          <w:rtl/>
        </w:rPr>
        <w:t xml:space="preserve"> ذکر کردند که حرام اشد در مقابل حرام اخف باشد، </w:t>
      </w:r>
      <w:r w:rsidR="00D02688">
        <w:rPr>
          <w:rFonts w:hint="cs"/>
          <w:rtl/>
        </w:rPr>
        <w:t xml:space="preserve">بازگشت به </w:t>
      </w:r>
      <w:r>
        <w:rPr>
          <w:rFonts w:hint="cs"/>
          <w:rtl/>
        </w:rPr>
        <w:t xml:space="preserve">ترجیح به اهمیت خواهد </w:t>
      </w:r>
      <w:r w:rsidR="00D02688">
        <w:rPr>
          <w:rFonts w:hint="cs"/>
          <w:rtl/>
        </w:rPr>
        <w:t>داشت</w:t>
      </w:r>
      <w:r>
        <w:rPr>
          <w:rFonts w:hint="cs"/>
          <w:rtl/>
        </w:rPr>
        <w:t xml:space="preserve">. </w:t>
      </w:r>
    </w:p>
    <w:p w:rsidR="000359B2" w:rsidRDefault="00D02688" w:rsidP="003B76DF">
      <w:pPr>
        <w:pStyle w:val="ListParagraph"/>
        <w:numPr>
          <w:ilvl w:val="0"/>
          <w:numId w:val="21"/>
        </w:numPr>
        <w:jc w:val="lowKashida"/>
        <w:rPr>
          <w:rtl/>
        </w:rPr>
      </w:pPr>
      <w:r>
        <w:rPr>
          <w:rFonts w:hint="cs"/>
          <w:rtl/>
        </w:rPr>
        <w:t>ما بیان چگونگی مرج</w:t>
      </w:r>
      <w:r w:rsidR="003B76DF">
        <w:rPr>
          <w:rFonts w:hint="cs"/>
          <w:rtl/>
        </w:rPr>
        <w:t>ّ</w:t>
      </w:r>
      <w:r>
        <w:rPr>
          <w:rFonts w:hint="cs"/>
          <w:rtl/>
        </w:rPr>
        <w:t xml:space="preserve">حیت </w:t>
      </w:r>
      <w:r w:rsidR="008B6F8A">
        <w:rPr>
          <w:rFonts w:hint="cs"/>
          <w:rtl/>
        </w:rPr>
        <w:t>احتما</w:t>
      </w:r>
      <w:r w:rsidR="003B76DF">
        <w:rPr>
          <w:rFonts w:hint="cs"/>
          <w:rtl/>
        </w:rPr>
        <w:t xml:space="preserve">ل دوم که یکی دلیل قاطع از کتاب </w:t>
      </w:r>
      <w:r w:rsidR="008B6F8A">
        <w:rPr>
          <w:rFonts w:hint="cs"/>
          <w:rtl/>
        </w:rPr>
        <w:t>و سنت دارد</w:t>
      </w:r>
      <w:r w:rsidR="00D8003A">
        <w:rPr>
          <w:rFonts w:hint="cs"/>
          <w:rtl/>
        </w:rPr>
        <w:t xml:space="preserve"> که حرام خواهد شد</w:t>
      </w:r>
      <w:r w:rsidR="008B6F8A">
        <w:rPr>
          <w:rFonts w:hint="cs"/>
          <w:rtl/>
        </w:rPr>
        <w:t xml:space="preserve"> و دیگری دلیل قاطع ندارد</w:t>
      </w:r>
      <w:r w:rsidR="00D8003A">
        <w:rPr>
          <w:rFonts w:hint="cs"/>
          <w:rtl/>
        </w:rPr>
        <w:t xml:space="preserve"> بلکه دلیل اجتهادی دارد که مکروه می شود</w:t>
      </w:r>
      <w:r w:rsidR="003B76DF">
        <w:rPr>
          <w:rFonts w:hint="cs"/>
          <w:rtl/>
        </w:rPr>
        <w:t xml:space="preserve"> را </w:t>
      </w:r>
      <w:r w:rsidR="00D8003A">
        <w:rPr>
          <w:rFonts w:hint="cs"/>
          <w:rtl/>
        </w:rPr>
        <w:t>به عنوان</w:t>
      </w:r>
      <w:r w:rsidR="00FF162E">
        <w:rPr>
          <w:rFonts w:hint="cs"/>
          <w:rtl/>
        </w:rPr>
        <w:t xml:space="preserve"> مرجّح</w:t>
      </w:r>
      <w:r w:rsidR="00D8003A">
        <w:rPr>
          <w:rFonts w:hint="cs"/>
          <w:rtl/>
        </w:rPr>
        <w:t xml:space="preserve"> دهم مطرح می کنیم.</w:t>
      </w:r>
    </w:p>
    <w:p w:rsidR="00060BF4" w:rsidRDefault="001F387E" w:rsidP="00060BF4">
      <w:pPr>
        <w:pStyle w:val="ListParagraph"/>
        <w:numPr>
          <w:ilvl w:val="0"/>
          <w:numId w:val="21"/>
        </w:numPr>
        <w:jc w:val="lowKashida"/>
      </w:pPr>
      <w:r>
        <w:rPr>
          <w:rFonts w:hint="cs"/>
          <w:rtl/>
        </w:rPr>
        <w:t>صاحب عروه در تزاحم بین غصب و استعمال آنیه ذهب و فضه، فرموده اند: باید استعمال آنیه ذهب و فضه شود. در مورد کلام صاحب عروه روشن نیست که وجه آن مطالبی باشد که آقای سیستانی مطرح کرده اند</w:t>
      </w:r>
      <w:r w:rsidR="00AC42BF">
        <w:rPr>
          <w:rFonts w:hint="cs"/>
          <w:rtl/>
        </w:rPr>
        <w:t xml:space="preserve"> یا به جهت حق الناس بودن آنیه ذهب و فضه مقدم شود؛ چون خود صاحب عروه در کتاب حج این مطلب را نپذیرفته اند. </w:t>
      </w:r>
      <w:r w:rsidR="00AC42BF">
        <w:rPr>
          <w:rFonts w:hint="cs"/>
          <w:rtl/>
        </w:rPr>
        <w:lastRenderedPageBreak/>
        <w:t>بنابراین احتمالا وجه کلام صاحب عروه این است که در روایت وارد شده است که «حرمه مال المسلم کحرمه دمه» که تعبیر غلیظ است و ممکن است وجه کلام صاحب عروه این باشد.</w:t>
      </w:r>
    </w:p>
    <w:p w:rsidR="00AC42BF" w:rsidRDefault="00AC42BF" w:rsidP="00060BF4">
      <w:pPr>
        <w:pStyle w:val="ListParagraph"/>
        <w:jc w:val="lowKashida"/>
        <w:rPr>
          <w:rtl/>
        </w:rPr>
      </w:pPr>
      <w:r>
        <w:rPr>
          <w:rFonts w:hint="cs"/>
          <w:rtl/>
        </w:rPr>
        <w:t>به نظر ما اگر استظهار این باشد ک</w:t>
      </w:r>
      <w:r w:rsidR="00060BF4">
        <w:rPr>
          <w:rFonts w:hint="cs"/>
          <w:rtl/>
        </w:rPr>
        <w:t xml:space="preserve">ه این روایت شدت </w:t>
      </w:r>
      <w:r>
        <w:rPr>
          <w:rFonts w:hint="cs"/>
          <w:rtl/>
        </w:rPr>
        <w:t xml:space="preserve">حرمت غصب را بیان می کند، </w:t>
      </w:r>
      <w:r w:rsidR="006D5CA2">
        <w:rPr>
          <w:rFonts w:hint="cs"/>
          <w:rtl/>
        </w:rPr>
        <w:t xml:space="preserve">غصب مقدم خواهد شد ولکن ما از این تعبیر شدت حرمت را نمی فهمیم بلکه این روایت بیان کرده است که </w:t>
      </w:r>
      <w:r w:rsidR="00060BF4">
        <w:rPr>
          <w:rFonts w:hint="cs"/>
          <w:rtl/>
        </w:rPr>
        <w:t xml:space="preserve">مال مسلمان </w:t>
      </w:r>
      <w:r w:rsidR="006D5CA2">
        <w:rPr>
          <w:rFonts w:hint="cs"/>
          <w:rtl/>
        </w:rPr>
        <w:t>در اصل احترام</w:t>
      </w:r>
      <w:r w:rsidR="00060BF4">
        <w:rPr>
          <w:rFonts w:hint="cs"/>
          <w:rtl/>
        </w:rPr>
        <w:t>،</w:t>
      </w:r>
      <w:r w:rsidR="006D5CA2">
        <w:rPr>
          <w:rFonts w:hint="cs"/>
          <w:rtl/>
        </w:rPr>
        <w:t xml:space="preserve"> همانند و برابر دم مسلمان است و لذا استفاده نمی شود که شدت احترام مال مسلمان همانند شدت احترام دم مسلمان است.</w:t>
      </w:r>
    </w:p>
    <w:p w:rsidR="006D5CA2" w:rsidRDefault="006D5CA2" w:rsidP="002A51F7">
      <w:pPr>
        <w:pStyle w:val="Heading2"/>
        <w:rPr>
          <w:rtl/>
        </w:rPr>
      </w:pPr>
      <w:bookmarkStart w:id="15" w:name="_Toc510012008"/>
      <w:r>
        <w:rPr>
          <w:rFonts w:hint="cs"/>
          <w:rtl/>
        </w:rPr>
        <w:t xml:space="preserve">10- </w:t>
      </w:r>
      <w:r w:rsidR="002A51F7">
        <w:rPr>
          <w:rFonts w:hint="cs"/>
          <w:rtl/>
        </w:rPr>
        <w:t>قطعیت دلیل در یک طرف و عدم قطعیت طرف آخر</w:t>
      </w:r>
      <w:bookmarkEnd w:id="15"/>
    </w:p>
    <w:p w:rsidR="006D5CA2" w:rsidRDefault="006D5CA2" w:rsidP="002A51F7">
      <w:pPr>
        <w:jc w:val="lowKashida"/>
        <w:rPr>
          <w:rtl/>
        </w:rPr>
      </w:pPr>
      <w:r>
        <w:rPr>
          <w:rFonts w:hint="cs"/>
          <w:rtl/>
        </w:rPr>
        <w:t>دهمین و آخرین</w:t>
      </w:r>
      <w:r w:rsidR="00FF162E">
        <w:rPr>
          <w:rFonts w:hint="cs"/>
          <w:rtl/>
        </w:rPr>
        <w:t xml:space="preserve"> مرجّح</w:t>
      </w:r>
      <w:r>
        <w:rPr>
          <w:rFonts w:hint="cs"/>
          <w:rtl/>
        </w:rPr>
        <w:t xml:space="preserve"> </w:t>
      </w:r>
      <w:r w:rsidR="002A51F7">
        <w:rPr>
          <w:rFonts w:hint="cs"/>
          <w:rtl/>
        </w:rPr>
        <w:t xml:space="preserve">از مرجّحات باب تزاحم </w:t>
      </w:r>
      <w:r>
        <w:rPr>
          <w:rFonts w:hint="cs"/>
          <w:rtl/>
        </w:rPr>
        <w:t>این ا</w:t>
      </w:r>
      <w:r w:rsidR="00FD47C0">
        <w:rPr>
          <w:rFonts w:hint="cs"/>
          <w:rtl/>
        </w:rPr>
        <w:t>ست که یک واجب یا حرام دارای دلیل قطعی باشد</w:t>
      </w:r>
      <w:r w:rsidR="002A51F7">
        <w:rPr>
          <w:rFonts w:hint="cs"/>
          <w:rtl/>
        </w:rPr>
        <w:t>،</w:t>
      </w:r>
      <w:r w:rsidR="00FD47C0">
        <w:rPr>
          <w:rFonts w:hint="cs"/>
          <w:rtl/>
        </w:rPr>
        <w:t xml:space="preserve"> اما مزاحم </w:t>
      </w:r>
      <w:r w:rsidR="00DA1E2F">
        <w:rPr>
          <w:rFonts w:hint="cs"/>
          <w:rtl/>
        </w:rPr>
        <w:t>آن دلیل قطعی نداشته باشد؛</w:t>
      </w:r>
      <w:r w:rsidR="00FD47C0">
        <w:rPr>
          <w:rFonts w:hint="cs"/>
          <w:rtl/>
        </w:rPr>
        <w:t xml:space="preserve"> بلکه به عنوان مثال دارای دلیل استصحابی باشد</w:t>
      </w:r>
      <w:r w:rsidR="00DA1E2F">
        <w:rPr>
          <w:rFonts w:hint="cs"/>
          <w:rtl/>
        </w:rPr>
        <w:t>؛</w:t>
      </w:r>
      <w:r w:rsidR="00FD47C0">
        <w:rPr>
          <w:rFonts w:hint="cs"/>
          <w:rtl/>
        </w:rPr>
        <w:t xml:space="preserve"> مثل اینکه شخص یا باید آب </w:t>
      </w:r>
      <w:r w:rsidR="00DA1E2F">
        <w:rPr>
          <w:rFonts w:hint="cs"/>
          <w:rtl/>
        </w:rPr>
        <w:t>«</w:t>
      </w:r>
      <w:r w:rsidR="00FD47C0">
        <w:rPr>
          <w:rFonts w:hint="cs"/>
          <w:rtl/>
        </w:rPr>
        <w:t>الف</w:t>
      </w:r>
      <w:r w:rsidR="00DA1E2F">
        <w:rPr>
          <w:rFonts w:hint="cs"/>
          <w:rtl/>
        </w:rPr>
        <w:t>»</w:t>
      </w:r>
      <w:r w:rsidR="00FD47C0">
        <w:rPr>
          <w:rFonts w:hint="cs"/>
          <w:rtl/>
        </w:rPr>
        <w:t xml:space="preserve"> را بخورد که معلوم النجاسه است و یا آب </w:t>
      </w:r>
      <w:r w:rsidR="00DA1E2F">
        <w:rPr>
          <w:rFonts w:hint="cs"/>
          <w:rtl/>
        </w:rPr>
        <w:t>«</w:t>
      </w:r>
      <w:r w:rsidR="00FD47C0">
        <w:rPr>
          <w:rFonts w:hint="cs"/>
          <w:rtl/>
        </w:rPr>
        <w:t>ب</w:t>
      </w:r>
      <w:r w:rsidR="00DA1E2F">
        <w:rPr>
          <w:rFonts w:hint="cs"/>
          <w:rtl/>
        </w:rPr>
        <w:t>»</w:t>
      </w:r>
      <w:r w:rsidR="00FD47C0">
        <w:rPr>
          <w:rFonts w:hint="cs"/>
          <w:rtl/>
        </w:rPr>
        <w:t xml:space="preserve"> را بخورد که مستصحب النجاسه است. در این صورت درجه اثبات یکی از آنها اقوی از دیگری است.</w:t>
      </w:r>
    </w:p>
    <w:p w:rsidR="00FD47C0" w:rsidRDefault="00FD47C0" w:rsidP="001821A4">
      <w:pPr>
        <w:jc w:val="lowKashida"/>
        <w:rPr>
          <w:rtl/>
        </w:rPr>
      </w:pPr>
      <w:r>
        <w:rPr>
          <w:rFonts w:hint="cs"/>
          <w:rtl/>
        </w:rPr>
        <w:t>انصاف این است که به وجدان عقل</w:t>
      </w:r>
      <w:r w:rsidR="00573BA3">
        <w:rPr>
          <w:rFonts w:hint="cs"/>
          <w:rtl/>
        </w:rPr>
        <w:t>ایی این حالت از</w:t>
      </w:r>
      <w:r w:rsidR="00FF162E">
        <w:rPr>
          <w:rFonts w:hint="cs"/>
          <w:rtl/>
        </w:rPr>
        <w:t xml:space="preserve"> مرجّح</w:t>
      </w:r>
      <w:r w:rsidR="00573BA3">
        <w:rPr>
          <w:rFonts w:hint="cs"/>
          <w:rtl/>
        </w:rPr>
        <w:t>ات است. البته درجه بندی ظهورها عقلایی نیست</w:t>
      </w:r>
      <w:r w:rsidR="001821A4">
        <w:rPr>
          <w:rFonts w:hint="cs"/>
          <w:rtl/>
        </w:rPr>
        <w:t>،</w:t>
      </w:r>
      <w:r w:rsidR="00573BA3">
        <w:rPr>
          <w:rFonts w:hint="cs"/>
          <w:rtl/>
        </w:rPr>
        <w:t xml:space="preserve"> بلکه اگر دلیلی ظاهر در حرمت فعلی باشد و فعل دیگر دلیل بر حرمت نداشته باشد</w:t>
      </w:r>
      <w:r w:rsidR="001821A4">
        <w:rPr>
          <w:rFonts w:hint="cs"/>
          <w:rtl/>
        </w:rPr>
        <w:t>، بلکه نسبت به آن اصل عملی وجود داشته باشد</w:t>
      </w:r>
      <w:r w:rsidR="00573BA3">
        <w:rPr>
          <w:rFonts w:hint="cs"/>
          <w:rtl/>
        </w:rPr>
        <w:t>، انصاف این است که از نظر عقلاء، چیزی که حرمت آن به اماره ثابت شده است، دارای</w:t>
      </w:r>
      <w:r w:rsidR="00FF162E">
        <w:rPr>
          <w:rFonts w:hint="cs"/>
          <w:rtl/>
        </w:rPr>
        <w:t xml:space="preserve"> مرجّح</w:t>
      </w:r>
      <w:r w:rsidR="00573BA3">
        <w:rPr>
          <w:rFonts w:hint="cs"/>
          <w:rtl/>
        </w:rPr>
        <w:t xml:space="preserve"> است</w:t>
      </w:r>
      <w:r w:rsidR="007A44FD">
        <w:rPr>
          <w:rFonts w:hint="cs"/>
          <w:rtl/>
        </w:rPr>
        <w:t xml:space="preserve"> بر چیزی که حرمت آن با اصل عملی ثابت شده است.</w:t>
      </w:r>
    </w:p>
    <w:p w:rsidR="007A44FD" w:rsidRDefault="007A44FD" w:rsidP="00974771">
      <w:pPr>
        <w:jc w:val="lowKashida"/>
      </w:pPr>
      <w:r>
        <w:rPr>
          <w:rFonts w:hint="cs"/>
          <w:rtl/>
        </w:rPr>
        <w:t>در اینجا بحث</w:t>
      </w:r>
      <w:r w:rsidR="00FF162E">
        <w:rPr>
          <w:rFonts w:hint="cs"/>
          <w:rtl/>
        </w:rPr>
        <w:t xml:space="preserve"> مرجّح</w:t>
      </w:r>
      <w:r>
        <w:rPr>
          <w:rFonts w:hint="cs"/>
          <w:rtl/>
        </w:rPr>
        <w:t>ات به اتمام رسیده و در ادامه بحث در تنبیهات تزاحم قرار می گیرد.</w:t>
      </w:r>
    </w:p>
    <w:p w:rsidR="00616696" w:rsidRPr="007147FB" w:rsidRDefault="00616696" w:rsidP="00974771">
      <w:pPr>
        <w:jc w:val="lowKashida"/>
        <w:rPr>
          <w:rtl/>
        </w:rPr>
      </w:pPr>
    </w:p>
    <w:sectPr w:rsidR="00616696" w:rsidRPr="007147F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A28" w:rsidRDefault="001D1A28" w:rsidP="008B750B">
      <w:pPr>
        <w:spacing w:line="240" w:lineRule="auto"/>
      </w:pPr>
      <w:r>
        <w:separator/>
      </w:r>
    </w:p>
  </w:endnote>
  <w:endnote w:type="continuationSeparator" w:id="0">
    <w:p w:rsidR="001D1A28" w:rsidRDefault="001D1A2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10312" w:rsidRPr="007C5E96" w:rsidTr="0020241A">
      <w:tc>
        <w:tcPr>
          <w:tcW w:w="3382" w:type="dxa"/>
          <w:tcBorders>
            <w:top w:val="nil"/>
            <w:left w:val="nil"/>
            <w:bottom w:val="nil"/>
            <w:right w:val="nil"/>
          </w:tcBorders>
        </w:tcPr>
        <w:p w:rsidR="00610312" w:rsidRPr="007C5E96" w:rsidRDefault="00610312" w:rsidP="006D44C1">
          <w:pPr>
            <w:pStyle w:val="Footer"/>
            <w:rPr>
              <w:rFonts w:cs="B Badr"/>
              <w:rtl/>
            </w:rPr>
          </w:pPr>
          <w:r w:rsidRPr="007C5E96">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10312" w:rsidRPr="007C5E96" w:rsidRDefault="00610312" w:rsidP="006D44C1">
          <w:pPr>
            <w:pStyle w:val="Footer"/>
            <w:jc w:val="right"/>
            <w:rPr>
              <w:rFonts w:cs="B Badr"/>
              <w:rtl/>
            </w:rPr>
          </w:pPr>
          <w:r w:rsidRPr="007C5E96">
            <w:rPr>
              <w:rFonts w:cs="B Badr" w:hint="cs"/>
              <w:rtl/>
            </w:rPr>
            <w:t xml:space="preserve">صفحه </w:t>
          </w:r>
          <w:r w:rsidRPr="007C5E96">
            <w:rPr>
              <w:rFonts w:cs="B Badr"/>
            </w:rPr>
            <w:fldChar w:fldCharType="begin"/>
          </w:r>
          <w:r w:rsidRPr="007C5E96">
            <w:rPr>
              <w:rFonts w:cs="B Badr"/>
            </w:rPr>
            <w:instrText>PAGE   \* MERGEFORMAT</w:instrText>
          </w:r>
          <w:r w:rsidRPr="007C5E96">
            <w:rPr>
              <w:rFonts w:cs="B Badr"/>
            </w:rPr>
            <w:fldChar w:fldCharType="separate"/>
          </w:r>
          <w:r w:rsidR="007C5E96" w:rsidRPr="007C5E96">
            <w:rPr>
              <w:rFonts w:cs="B Badr"/>
              <w:noProof/>
              <w:rtl/>
              <w:lang w:val="fa-IR"/>
            </w:rPr>
            <w:t>1</w:t>
          </w:r>
          <w:r w:rsidRPr="007C5E96">
            <w:rPr>
              <w:rFonts w:cs="B Badr"/>
              <w:noProof/>
            </w:rPr>
            <w:fldChar w:fldCharType="end"/>
          </w:r>
        </w:p>
      </w:tc>
      <w:tc>
        <w:tcPr>
          <w:tcW w:w="4786" w:type="dxa"/>
          <w:tcBorders>
            <w:top w:val="nil"/>
            <w:left w:val="nil"/>
            <w:bottom w:val="nil"/>
            <w:right w:val="nil"/>
          </w:tcBorders>
          <w:vAlign w:val="center"/>
        </w:tcPr>
        <w:p w:rsidR="00610312" w:rsidRPr="007C5E96" w:rsidRDefault="00610312" w:rsidP="001B6799">
          <w:pPr>
            <w:pStyle w:val="Footer"/>
            <w:bidi w:val="0"/>
            <w:rPr>
              <w:rFonts w:cs="B Badr"/>
              <w:color w:val="808080" w:themeColor="background1" w:themeShade="80"/>
              <w:rtl/>
            </w:rPr>
          </w:pPr>
          <w:bookmarkStart w:id="22" w:name="BokAdres"/>
          <w:bookmarkEnd w:id="22"/>
          <w:r w:rsidRPr="007C5E96">
            <w:rPr>
              <w:rFonts w:cs="B Badr"/>
              <w:color w:val="808080" w:themeColor="background1" w:themeShade="80"/>
            </w:rPr>
            <w:t>U1ms4_13970108-107_mm2_mfeb.ir</w:t>
          </w:r>
        </w:p>
      </w:tc>
    </w:tr>
  </w:tbl>
  <w:p w:rsidR="00610312" w:rsidRPr="007C5E96" w:rsidRDefault="00610312"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A28" w:rsidRDefault="001D1A28" w:rsidP="008B750B">
      <w:pPr>
        <w:spacing w:line="240" w:lineRule="auto"/>
      </w:pPr>
      <w:r>
        <w:separator/>
      </w:r>
    </w:p>
  </w:footnote>
  <w:footnote w:type="continuationSeparator" w:id="0">
    <w:p w:rsidR="001D1A28" w:rsidRDefault="001D1A28" w:rsidP="008B750B">
      <w:pPr>
        <w:spacing w:line="240" w:lineRule="auto"/>
      </w:pPr>
      <w:r>
        <w:continuationSeparator/>
      </w:r>
    </w:p>
  </w:footnote>
  <w:footnote w:id="1">
    <w:p w:rsidR="00610312" w:rsidRPr="003023F6" w:rsidRDefault="00062354" w:rsidP="003023F6">
      <w:pPr>
        <w:pStyle w:val="FootnoteText"/>
      </w:pPr>
      <w:r w:rsidRPr="00062354">
        <w:footnoteRef/>
      </w:r>
      <w:r>
        <w:t>.</w:t>
      </w:r>
      <w:r w:rsidR="00610312" w:rsidRPr="003023F6">
        <w:rPr>
          <w:rtl/>
        </w:rPr>
        <w:t xml:space="preserve"> </w:t>
      </w:r>
      <w:hyperlink r:id="rId1" w:history="1">
        <w:r w:rsidR="00610312" w:rsidRPr="003023F6">
          <w:rPr>
            <w:rStyle w:val="Hyperlink"/>
            <w:rtl/>
          </w:rPr>
          <w:t>الکاف</w:t>
        </w:r>
        <w:r w:rsidR="00610312" w:rsidRPr="003023F6">
          <w:rPr>
            <w:rStyle w:val="Hyperlink"/>
            <w:rFonts w:hint="cs"/>
            <w:rtl/>
          </w:rPr>
          <w:t>ی</w:t>
        </w:r>
        <w:r w:rsidR="00610312" w:rsidRPr="003023F6">
          <w:rPr>
            <w:rStyle w:val="Hyperlink"/>
            <w:rFonts w:hint="eastAsia"/>
            <w:rtl/>
          </w:rPr>
          <w:t>،</w:t>
        </w:r>
        <w:r w:rsidR="00610312" w:rsidRPr="003023F6">
          <w:rPr>
            <w:rStyle w:val="Hyperlink"/>
            <w:rtl/>
          </w:rPr>
          <w:t xml:space="preserve"> محمد بن </w:t>
        </w:r>
        <w:r w:rsidR="00610312" w:rsidRPr="003023F6">
          <w:rPr>
            <w:rStyle w:val="Hyperlink"/>
            <w:rFonts w:hint="cs"/>
            <w:rtl/>
          </w:rPr>
          <w:t>ی</w:t>
        </w:r>
        <w:r w:rsidR="00610312" w:rsidRPr="003023F6">
          <w:rPr>
            <w:rStyle w:val="Hyperlink"/>
            <w:rFonts w:hint="eastAsia"/>
            <w:rtl/>
          </w:rPr>
          <w:t>عقوب</w:t>
        </w:r>
        <w:r w:rsidR="00610312" w:rsidRPr="003023F6">
          <w:rPr>
            <w:rStyle w:val="Hyperlink"/>
            <w:rtl/>
          </w:rPr>
          <w:t xml:space="preserve"> کل</w:t>
        </w:r>
        <w:r w:rsidR="00610312" w:rsidRPr="003023F6">
          <w:rPr>
            <w:rStyle w:val="Hyperlink"/>
            <w:rFonts w:hint="cs"/>
            <w:rtl/>
          </w:rPr>
          <w:t>ی</w:t>
        </w:r>
        <w:r w:rsidR="00610312" w:rsidRPr="003023F6">
          <w:rPr>
            <w:rStyle w:val="Hyperlink"/>
            <w:rFonts w:hint="eastAsia"/>
            <w:rtl/>
          </w:rPr>
          <w:t>ن</w:t>
        </w:r>
        <w:r w:rsidR="00610312" w:rsidRPr="003023F6">
          <w:rPr>
            <w:rStyle w:val="Hyperlink"/>
            <w:rFonts w:hint="cs"/>
            <w:rtl/>
          </w:rPr>
          <w:t>ی</w:t>
        </w:r>
        <w:r w:rsidR="00610312" w:rsidRPr="003023F6">
          <w:rPr>
            <w:rStyle w:val="Hyperlink"/>
            <w:rFonts w:hint="eastAsia"/>
            <w:rtl/>
          </w:rPr>
          <w:t>،</w:t>
        </w:r>
        <w:r w:rsidR="00610312" w:rsidRPr="003023F6">
          <w:rPr>
            <w:rStyle w:val="Hyperlink"/>
            <w:rtl/>
          </w:rPr>
          <w:t xml:space="preserve"> ج4، ص276.</w:t>
        </w:r>
      </w:hyperlink>
    </w:p>
  </w:footnote>
  <w:footnote w:id="2">
    <w:p w:rsidR="00610312" w:rsidRDefault="00062354">
      <w:pPr>
        <w:pStyle w:val="FootnoteText"/>
        <w:rPr>
          <w:rtl/>
        </w:rPr>
      </w:pPr>
      <w:r w:rsidRPr="00062354">
        <w:rPr>
          <w:rStyle w:val="FootnoteReference"/>
          <w:vertAlign w:val="baseline"/>
        </w:rPr>
        <w:footnoteRef/>
      </w:r>
      <w:r>
        <w:rPr>
          <w:rStyle w:val="FootnoteReference"/>
          <w:vertAlign w:val="baseline"/>
        </w:rPr>
        <w:t>.</w:t>
      </w:r>
      <w:r w:rsidR="00610312">
        <w:rPr>
          <w:rtl/>
        </w:rPr>
        <w:t xml:space="preserve"> </w:t>
      </w:r>
      <w:hyperlink r:id="rId2" w:history="1">
        <w:r w:rsidR="00610312" w:rsidRPr="008215DD">
          <w:rPr>
            <w:rStyle w:val="Hyperlink"/>
            <w:rFonts w:hint="cs"/>
            <w:rtl/>
          </w:rPr>
          <w:t>غرر الحکم و درر الکلم، تمیمی آمدی، ص340</w:t>
        </w:r>
      </w:hyperlink>
    </w:p>
  </w:footnote>
  <w:footnote w:id="3">
    <w:p w:rsidR="00610312" w:rsidRPr="00D973B0" w:rsidRDefault="00062354" w:rsidP="00D973B0">
      <w:pPr>
        <w:pStyle w:val="FootnoteText"/>
      </w:pPr>
      <w:r w:rsidRPr="00062354">
        <w:footnoteRef/>
      </w:r>
      <w:r>
        <w:t>.</w:t>
      </w:r>
      <w:r w:rsidR="00610312" w:rsidRPr="00D973B0">
        <w:rPr>
          <w:rtl/>
        </w:rPr>
        <w:t xml:space="preserve"> </w:t>
      </w:r>
      <w:hyperlink r:id="rId3" w:history="1">
        <w:r w:rsidR="00610312" w:rsidRPr="00D973B0">
          <w:rPr>
            <w:rStyle w:val="Hyperlink"/>
            <w:rtl/>
          </w:rPr>
          <w:t>وسائل الش</w:t>
        </w:r>
        <w:r w:rsidR="00610312" w:rsidRPr="00D973B0">
          <w:rPr>
            <w:rStyle w:val="Hyperlink"/>
            <w:rFonts w:hint="cs"/>
            <w:rtl/>
          </w:rPr>
          <w:t>ی</w:t>
        </w:r>
        <w:r w:rsidR="00610312" w:rsidRPr="00D973B0">
          <w:rPr>
            <w:rStyle w:val="Hyperlink"/>
            <w:rFonts w:hint="eastAsia"/>
            <w:rtl/>
          </w:rPr>
          <w:t>عة،</w:t>
        </w:r>
        <w:r w:rsidR="00610312" w:rsidRPr="00D973B0">
          <w:rPr>
            <w:rStyle w:val="Hyperlink"/>
            <w:rtl/>
          </w:rPr>
          <w:t xml:space="preserve"> الش</w:t>
        </w:r>
        <w:r w:rsidR="00610312" w:rsidRPr="00D973B0">
          <w:rPr>
            <w:rStyle w:val="Hyperlink"/>
            <w:rFonts w:hint="cs"/>
            <w:rtl/>
          </w:rPr>
          <w:t>ی</w:t>
        </w:r>
        <w:r w:rsidR="00610312" w:rsidRPr="00D973B0">
          <w:rPr>
            <w:rStyle w:val="Hyperlink"/>
            <w:rFonts w:hint="eastAsia"/>
            <w:rtl/>
          </w:rPr>
          <w:t>خ</w:t>
        </w:r>
        <w:r w:rsidR="00610312" w:rsidRPr="00D973B0">
          <w:rPr>
            <w:rStyle w:val="Hyperlink"/>
            <w:rtl/>
          </w:rPr>
          <w:t xml:space="preserve"> الحر العاملي، ج3، ص508، أبواب ، باب، ح، ط آل البيت.</w:t>
        </w:r>
      </w:hyperlink>
    </w:p>
  </w:footnote>
  <w:footnote w:id="4">
    <w:p w:rsidR="00610312" w:rsidRPr="00D973B0" w:rsidRDefault="00062354" w:rsidP="00D973B0">
      <w:pPr>
        <w:pStyle w:val="FootnoteText"/>
      </w:pPr>
      <w:r w:rsidRPr="00062354">
        <w:footnoteRef/>
      </w:r>
      <w:r>
        <w:t>.</w:t>
      </w:r>
      <w:r w:rsidR="00610312" w:rsidRPr="00D973B0">
        <w:rPr>
          <w:rtl/>
        </w:rPr>
        <w:t xml:space="preserve"> </w:t>
      </w:r>
      <w:hyperlink r:id="rId4" w:history="1">
        <w:r w:rsidR="00610312" w:rsidRPr="00D973B0">
          <w:rPr>
            <w:rStyle w:val="Hyperlink"/>
            <w:rFonts w:hint="eastAsia"/>
            <w:rtl/>
          </w:rPr>
          <w:t>الکاف</w:t>
        </w:r>
        <w:r w:rsidR="00610312" w:rsidRPr="00D973B0">
          <w:rPr>
            <w:rStyle w:val="Hyperlink"/>
            <w:rFonts w:hint="cs"/>
            <w:rtl/>
          </w:rPr>
          <w:t>ی</w:t>
        </w:r>
        <w:r w:rsidR="00610312" w:rsidRPr="00D973B0">
          <w:rPr>
            <w:rStyle w:val="Hyperlink"/>
            <w:rFonts w:hint="eastAsia"/>
            <w:rtl/>
          </w:rPr>
          <w:t>،</w:t>
        </w:r>
        <w:r w:rsidR="00610312" w:rsidRPr="00D973B0">
          <w:rPr>
            <w:rStyle w:val="Hyperlink"/>
            <w:rtl/>
          </w:rPr>
          <w:t xml:space="preserve"> محمد بن </w:t>
        </w:r>
        <w:r w:rsidR="00610312" w:rsidRPr="00D973B0">
          <w:rPr>
            <w:rStyle w:val="Hyperlink"/>
            <w:rFonts w:hint="cs"/>
            <w:rtl/>
          </w:rPr>
          <w:t>ی</w:t>
        </w:r>
        <w:r w:rsidR="00610312" w:rsidRPr="00D973B0">
          <w:rPr>
            <w:rStyle w:val="Hyperlink"/>
            <w:rFonts w:hint="eastAsia"/>
            <w:rtl/>
          </w:rPr>
          <w:t>عقوب</w:t>
        </w:r>
        <w:r w:rsidR="00610312" w:rsidRPr="00D973B0">
          <w:rPr>
            <w:rStyle w:val="Hyperlink"/>
            <w:rtl/>
          </w:rPr>
          <w:t xml:space="preserve"> کل</w:t>
        </w:r>
        <w:r w:rsidR="00610312" w:rsidRPr="00D973B0">
          <w:rPr>
            <w:rStyle w:val="Hyperlink"/>
            <w:rFonts w:hint="cs"/>
            <w:rtl/>
          </w:rPr>
          <w:t>ی</w:t>
        </w:r>
        <w:r w:rsidR="00610312" w:rsidRPr="00D973B0">
          <w:rPr>
            <w:rStyle w:val="Hyperlink"/>
            <w:rFonts w:hint="eastAsia"/>
            <w:rtl/>
          </w:rPr>
          <w:t>ن</w:t>
        </w:r>
        <w:r w:rsidR="00610312" w:rsidRPr="00D973B0">
          <w:rPr>
            <w:rStyle w:val="Hyperlink"/>
            <w:rFonts w:hint="cs"/>
            <w:rtl/>
          </w:rPr>
          <w:t>ی</w:t>
        </w:r>
        <w:r w:rsidR="00610312" w:rsidRPr="00D973B0">
          <w:rPr>
            <w:rStyle w:val="Hyperlink"/>
            <w:rFonts w:hint="eastAsia"/>
            <w:rtl/>
          </w:rPr>
          <w:t>،</w:t>
        </w:r>
        <w:r w:rsidR="00610312" w:rsidRPr="00D973B0">
          <w:rPr>
            <w:rStyle w:val="Hyperlink"/>
            <w:rtl/>
          </w:rPr>
          <w:t xml:space="preserve"> ج6، ص267.</w:t>
        </w:r>
      </w:hyperlink>
    </w:p>
  </w:footnote>
  <w:footnote w:id="5">
    <w:p w:rsidR="00610312" w:rsidRPr="00A06997" w:rsidRDefault="00062354" w:rsidP="00A06997">
      <w:pPr>
        <w:pStyle w:val="FootnoteText"/>
      </w:pPr>
      <w:r w:rsidRPr="00062354">
        <w:footnoteRef/>
      </w:r>
      <w:r>
        <w:t>.</w:t>
      </w:r>
      <w:r w:rsidR="00610312" w:rsidRPr="00A06997">
        <w:rPr>
          <w:rtl/>
        </w:rPr>
        <w:t xml:space="preserve"> </w:t>
      </w:r>
      <w:hyperlink r:id="rId5" w:history="1">
        <w:r w:rsidR="00610312" w:rsidRPr="00A06997">
          <w:rPr>
            <w:rStyle w:val="Hyperlink"/>
            <w:rFonts w:hint="eastAsia"/>
            <w:rtl/>
          </w:rPr>
          <w:t>تهذ</w:t>
        </w:r>
        <w:r w:rsidR="00610312" w:rsidRPr="00A06997">
          <w:rPr>
            <w:rStyle w:val="Hyperlink"/>
            <w:rFonts w:hint="cs"/>
            <w:rtl/>
          </w:rPr>
          <w:t>ی</w:t>
        </w:r>
        <w:r w:rsidR="00610312" w:rsidRPr="00A06997">
          <w:rPr>
            <w:rStyle w:val="Hyperlink"/>
            <w:rFonts w:hint="eastAsia"/>
            <w:rtl/>
          </w:rPr>
          <w:t>ب</w:t>
        </w:r>
        <w:r w:rsidR="00610312" w:rsidRPr="00A06997">
          <w:rPr>
            <w:rStyle w:val="Hyperlink"/>
            <w:rtl/>
          </w:rPr>
          <w:t xml:space="preserve"> الاحکام، ش</w:t>
        </w:r>
        <w:r w:rsidR="00610312" w:rsidRPr="00A06997">
          <w:rPr>
            <w:rStyle w:val="Hyperlink"/>
            <w:rFonts w:hint="cs"/>
            <w:rtl/>
          </w:rPr>
          <w:t>ی</w:t>
        </w:r>
        <w:r w:rsidR="00610312" w:rsidRPr="00A06997">
          <w:rPr>
            <w:rStyle w:val="Hyperlink"/>
            <w:rFonts w:hint="eastAsia"/>
            <w:rtl/>
          </w:rPr>
          <w:t>خ</w:t>
        </w:r>
        <w:r w:rsidR="00610312" w:rsidRPr="00A06997">
          <w:rPr>
            <w:rStyle w:val="Hyperlink"/>
            <w:rtl/>
          </w:rPr>
          <w:t xml:space="preserve"> طوس</w:t>
        </w:r>
        <w:r w:rsidR="00610312" w:rsidRPr="00A06997">
          <w:rPr>
            <w:rStyle w:val="Hyperlink"/>
            <w:rFonts w:hint="cs"/>
            <w:rtl/>
          </w:rPr>
          <w:t>ی</w:t>
        </w:r>
        <w:r w:rsidR="00610312" w:rsidRPr="00A06997">
          <w:rPr>
            <w:rStyle w:val="Hyperlink"/>
            <w:rFonts w:hint="eastAsia"/>
            <w:rtl/>
          </w:rPr>
          <w:t>،</w:t>
        </w:r>
        <w:r w:rsidR="00610312" w:rsidRPr="00A06997">
          <w:rPr>
            <w:rStyle w:val="Hyperlink"/>
            <w:rtl/>
          </w:rPr>
          <w:t xml:space="preserve"> ج9، ص42.</w:t>
        </w:r>
      </w:hyperlink>
    </w:p>
  </w:footnote>
  <w:footnote w:id="6">
    <w:p w:rsidR="00610312" w:rsidRPr="003A1EB5" w:rsidRDefault="00062354" w:rsidP="003A1EB5">
      <w:pPr>
        <w:pStyle w:val="FootnoteText"/>
      </w:pPr>
      <w:r w:rsidRPr="00062354">
        <w:footnoteRef/>
      </w:r>
      <w:r>
        <w:t>.</w:t>
      </w:r>
      <w:r w:rsidR="00610312" w:rsidRPr="003A1EB5">
        <w:rPr>
          <w:rtl/>
        </w:rPr>
        <w:t xml:space="preserve"> </w:t>
      </w:r>
      <w:hyperlink r:id="rId6" w:history="1">
        <w:r w:rsidR="00610312" w:rsidRPr="003A1EB5">
          <w:rPr>
            <w:rStyle w:val="Hyperlink"/>
            <w:rtl/>
          </w:rPr>
          <w:t>تهذ</w:t>
        </w:r>
        <w:r w:rsidR="00610312" w:rsidRPr="003A1EB5">
          <w:rPr>
            <w:rStyle w:val="Hyperlink"/>
            <w:rFonts w:hint="cs"/>
            <w:rtl/>
          </w:rPr>
          <w:t>ی</w:t>
        </w:r>
        <w:r w:rsidR="00610312" w:rsidRPr="003A1EB5">
          <w:rPr>
            <w:rStyle w:val="Hyperlink"/>
            <w:rFonts w:hint="eastAsia"/>
            <w:rtl/>
          </w:rPr>
          <w:t>ب</w:t>
        </w:r>
        <w:r w:rsidR="00610312" w:rsidRPr="003A1EB5">
          <w:rPr>
            <w:rStyle w:val="Hyperlink"/>
            <w:rtl/>
          </w:rPr>
          <w:t xml:space="preserve"> الاحکام، ش</w:t>
        </w:r>
        <w:r w:rsidR="00610312" w:rsidRPr="003A1EB5">
          <w:rPr>
            <w:rStyle w:val="Hyperlink"/>
            <w:rFonts w:hint="cs"/>
            <w:rtl/>
          </w:rPr>
          <w:t>ی</w:t>
        </w:r>
        <w:r w:rsidR="00610312" w:rsidRPr="003A1EB5">
          <w:rPr>
            <w:rStyle w:val="Hyperlink"/>
            <w:rFonts w:hint="eastAsia"/>
            <w:rtl/>
          </w:rPr>
          <w:t>خ</w:t>
        </w:r>
        <w:r w:rsidR="00610312" w:rsidRPr="003A1EB5">
          <w:rPr>
            <w:rStyle w:val="Hyperlink"/>
            <w:rtl/>
          </w:rPr>
          <w:t xml:space="preserve"> طوس</w:t>
        </w:r>
        <w:r w:rsidR="00610312" w:rsidRPr="003A1EB5">
          <w:rPr>
            <w:rStyle w:val="Hyperlink"/>
            <w:rFonts w:hint="cs"/>
            <w:rtl/>
          </w:rPr>
          <w:t>ی</w:t>
        </w:r>
        <w:r w:rsidR="00610312" w:rsidRPr="003A1EB5">
          <w:rPr>
            <w:rStyle w:val="Hyperlink"/>
            <w:rFonts w:hint="eastAsia"/>
            <w:rtl/>
          </w:rPr>
          <w:t>،</w:t>
        </w:r>
        <w:r w:rsidR="00610312" w:rsidRPr="003A1EB5">
          <w:rPr>
            <w:rStyle w:val="Hyperlink"/>
            <w:rtl/>
          </w:rPr>
          <w:t xml:space="preserve"> ج9، ص6.</w:t>
        </w:r>
      </w:hyperlink>
    </w:p>
  </w:footnote>
  <w:footnote w:id="7">
    <w:p w:rsidR="00610312" w:rsidRPr="004720CD" w:rsidRDefault="00062354" w:rsidP="004720CD">
      <w:pPr>
        <w:pStyle w:val="FootnoteText"/>
      </w:pPr>
      <w:r w:rsidRPr="00062354">
        <w:footnoteRef/>
      </w:r>
      <w:r>
        <w:t>.</w:t>
      </w:r>
      <w:r w:rsidR="00610312" w:rsidRPr="004720CD">
        <w:rPr>
          <w:rtl/>
        </w:rPr>
        <w:t xml:space="preserve"> </w:t>
      </w:r>
      <w:hyperlink r:id="rId7" w:history="1">
        <w:r w:rsidR="00610312" w:rsidRPr="004720CD">
          <w:rPr>
            <w:rStyle w:val="Hyperlink"/>
            <w:rtl/>
          </w:rPr>
          <w:t>الذر</w:t>
        </w:r>
        <w:r w:rsidR="00610312" w:rsidRPr="004720CD">
          <w:rPr>
            <w:rStyle w:val="Hyperlink"/>
            <w:rFonts w:hint="cs"/>
            <w:rtl/>
          </w:rPr>
          <w:t>ی</w:t>
        </w:r>
        <w:r w:rsidR="00610312" w:rsidRPr="004720CD">
          <w:rPr>
            <w:rStyle w:val="Hyperlink"/>
            <w:rFonts w:hint="eastAsia"/>
            <w:rtl/>
          </w:rPr>
          <w:t>عة</w:t>
        </w:r>
        <w:r w:rsidR="00610312" w:rsidRPr="004720CD">
          <w:rPr>
            <w:rStyle w:val="Hyperlink"/>
            <w:rtl/>
          </w:rPr>
          <w:t xml:space="preserve"> ال</w:t>
        </w:r>
        <w:r w:rsidR="00610312" w:rsidRPr="004720CD">
          <w:rPr>
            <w:rStyle w:val="Hyperlink"/>
            <w:rFonts w:hint="cs"/>
            <w:rtl/>
          </w:rPr>
          <w:t>ی</w:t>
        </w:r>
        <w:r w:rsidR="00610312" w:rsidRPr="004720CD">
          <w:rPr>
            <w:rStyle w:val="Hyperlink"/>
            <w:rtl/>
          </w:rPr>
          <w:t xml:space="preserve"> اصول الشر</w:t>
        </w:r>
        <w:r w:rsidR="00610312" w:rsidRPr="004720CD">
          <w:rPr>
            <w:rStyle w:val="Hyperlink"/>
            <w:rFonts w:hint="cs"/>
            <w:rtl/>
          </w:rPr>
          <w:t>ی</w:t>
        </w:r>
        <w:r w:rsidR="00610312" w:rsidRPr="004720CD">
          <w:rPr>
            <w:rStyle w:val="Hyperlink"/>
            <w:rFonts w:hint="eastAsia"/>
            <w:rtl/>
          </w:rPr>
          <w:t>عة،</w:t>
        </w:r>
        <w:r w:rsidR="00610312" w:rsidRPr="004720CD">
          <w:rPr>
            <w:rStyle w:val="Hyperlink"/>
            <w:rtl/>
          </w:rPr>
          <w:t xml:space="preserve"> الس</w:t>
        </w:r>
        <w:r w:rsidR="00610312" w:rsidRPr="004720CD">
          <w:rPr>
            <w:rStyle w:val="Hyperlink"/>
            <w:rFonts w:hint="cs"/>
            <w:rtl/>
          </w:rPr>
          <w:t>ی</w:t>
        </w:r>
        <w:r w:rsidR="00610312" w:rsidRPr="004720CD">
          <w:rPr>
            <w:rStyle w:val="Hyperlink"/>
            <w:rFonts w:hint="eastAsia"/>
            <w:rtl/>
          </w:rPr>
          <w:t>د</w:t>
        </w:r>
        <w:r w:rsidR="00610312" w:rsidRPr="004720CD">
          <w:rPr>
            <w:rStyle w:val="Hyperlink"/>
            <w:rtl/>
          </w:rPr>
          <w:t xml:space="preserve"> الشر</w:t>
        </w:r>
        <w:r w:rsidR="00610312" w:rsidRPr="004720CD">
          <w:rPr>
            <w:rStyle w:val="Hyperlink"/>
            <w:rFonts w:hint="cs"/>
            <w:rtl/>
          </w:rPr>
          <w:t>ی</w:t>
        </w:r>
        <w:r w:rsidR="00610312" w:rsidRPr="004720CD">
          <w:rPr>
            <w:rStyle w:val="Hyperlink"/>
            <w:rFonts w:hint="eastAsia"/>
            <w:rtl/>
          </w:rPr>
          <w:t>ف</w:t>
        </w:r>
        <w:r w:rsidR="00610312" w:rsidRPr="004720CD">
          <w:rPr>
            <w:rStyle w:val="Hyperlink"/>
            <w:rtl/>
          </w:rPr>
          <w:t xml:space="preserve"> المرتض</w:t>
        </w:r>
        <w:r w:rsidR="00610312" w:rsidRPr="004720CD">
          <w:rPr>
            <w:rStyle w:val="Hyperlink"/>
            <w:rFonts w:hint="cs"/>
            <w:rtl/>
          </w:rPr>
          <w:t>ی</w:t>
        </w:r>
        <w:r w:rsidR="00610312" w:rsidRPr="004720CD">
          <w:rPr>
            <w:rStyle w:val="Hyperlink"/>
            <w:rFonts w:hint="eastAsia"/>
            <w:rtl/>
          </w:rPr>
          <w:t>،</w:t>
        </w:r>
        <w:r w:rsidR="00610312" w:rsidRPr="004720CD">
          <w:rPr>
            <w:rStyle w:val="Hyperlink"/>
            <w:rtl/>
          </w:rPr>
          <w:t xml:space="preserve"> ج2، ص568</w:t>
        </w:r>
        <w:r w:rsidR="00610312" w:rsidRPr="004720CD">
          <w:rPr>
            <w:rStyle w:val="Hyperlink"/>
          </w:rPr>
          <w:t>.</w:t>
        </w:r>
      </w:hyperlink>
    </w:p>
  </w:footnote>
  <w:footnote w:id="8">
    <w:p w:rsidR="00610312" w:rsidRPr="00B26436" w:rsidRDefault="00062354" w:rsidP="00B26436">
      <w:pPr>
        <w:pStyle w:val="FootnoteText"/>
      </w:pPr>
      <w:r w:rsidRPr="00062354">
        <w:footnoteRef/>
      </w:r>
      <w:r>
        <w:t>.</w:t>
      </w:r>
      <w:r w:rsidR="00610312" w:rsidRPr="00B26436">
        <w:rPr>
          <w:rtl/>
        </w:rPr>
        <w:t xml:space="preserve"> </w:t>
      </w:r>
      <w:hyperlink r:id="rId8" w:history="1">
        <w:r w:rsidR="00610312" w:rsidRPr="00B26436">
          <w:rPr>
            <w:rStyle w:val="Hyperlink"/>
            <w:rFonts w:hint="eastAsia"/>
            <w:rtl/>
          </w:rPr>
          <w:t>الکاف</w:t>
        </w:r>
        <w:r w:rsidR="00610312" w:rsidRPr="00B26436">
          <w:rPr>
            <w:rStyle w:val="Hyperlink"/>
            <w:rFonts w:hint="cs"/>
            <w:rtl/>
          </w:rPr>
          <w:t>ی</w:t>
        </w:r>
        <w:r w:rsidR="00610312" w:rsidRPr="00B26436">
          <w:rPr>
            <w:rStyle w:val="Hyperlink"/>
            <w:rFonts w:hint="eastAsia"/>
            <w:rtl/>
          </w:rPr>
          <w:t>،</w:t>
        </w:r>
        <w:r w:rsidR="00610312" w:rsidRPr="00B26436">
          <w:rPr>
            <w:rStyle w:val="Hyperlink"/>
            <w:rtl/>
          </w:rPr>
          <w:t xml:space="preserve"> محمد بن </w:t>
        </w:r>
        <w:r w:rsidR="00610312" w:rsidRPr="00B26436">
          <w:rPr>
            <w:rStyle w:val="Hyperlink"/>
            <w:rFonts w:hint="cs"/>
            <w:rtl/>
          </w:rPr>
          <w:t>ی</w:t>
        </w:r>
        <w:r w:rsidR="00610312" w:rsidRPr="00B26436">
          <w:rPr>
            <w:rStyle w:val="Hyperlink"/>
            <w:rFonts w:hint="eastAsia"/>
            <w:rtl/>
          </w:rPr>
          <w:t>عقوب</w:t>
        </w:r>
        <w:r w:rsidR="00610312" w:rsidRPr="00B26436">
          <w:rPr>
            <w:rStyle w:val="Hyperlink"/>
            <w:rtl/>
          </w:rPr>
          <w:t xml:space="preserve"> کل</w:t>
        </w:r>
        <w:r w:rsidR="00610312" w:rsidRPr="00B26436">
          <w:rPr>
            <w:rStyle w:val="Hyperlink"/>
            <w:rFonts w:hint="cs"/>
            <w:rtl/>
          </w:rPr>
          <w:t>ی</w:t>
        </w:r>
        <w:r w:rsidR="00610312" w:rsidRPr="00B26436">
          <w:rPr>
            <w:rStyle w:val="Hyperlink"/>
            <w:rFonts w:hint="eastAsia"/>
            <w:rtl/>
          </w:rPr>
          <w:t>ن</w:t>
        </w:r>
        <w:r w:rsidR="00610312" w:rsidRPr="00B26436">
          <w:rPr>
            <w:rStyle w:val="Hyperlink"/>
            <w:rFonts w:hint="cs"/>
            <w:rtl/>
          </w:rPr>
          <w:t>ی</w:t>
        </w:r>
        <w:r w:rsidR="00610312" w:rsidRPr="00B26436">
          <w:rPr>
            <w:rStyle w:val="Hyperlink"/>
            <w:rFonts w:hint="eastAsia"/>
            <w:rtl/>
          </w:rPr>
          <w:t>،</w:t>
        </w:r>
        <w:r w:rsidR="00610312" w:rsidRPr="00B26436">
          <w:rPr>
            <w:rStyle w:val="Hyperlink"/>
            <w:rtl/>
          </w:rPr>
          <w:t xml:space="preserve"> ج5، ص188.</w:t>
        </w:r>
      </w:hyperlink>
    </w:p>
  </w:footnote>
  <w:footnote w:id="9">
    <w:p w:rsidR="00610312" w:rsidRDefault="00062354" w:rsidP="007C0258">
      <w:pPr>
        <w:pStyle w:val="FootnoteText"/>
      </w:pPr>
      <w:r w:rsidRPr="00062354">
        <w:rPr>
          <w:rStyle w:val="FootnoteReference"/>
          <w:vertAlign w:val="baseline"/>
        </w:rPr>
        <w:footnoteRef/>
      </w:r>
      <w:r>
        <w:rPr>
          <w:rStyle w:val="FootnoteReference"/>
          <w:vertAlign w:val="baseline"/>
        </w:rPr>
        <w:t>.</w:t>
      </w:r>
      <w:r w:rsidR="00610312">
        <w:rPr>
          <w:rtl/>
        </w:rPr>
        <w:t xml:space="preserve"> </w:t>
      </w:r>
      <w:hyperlink r:id="rId9" w:history="1">
        <w:r w:rsidR="00610312" w:rsidRPr="007B76D9">
          <w:rPr>
            <w:rStyle w:val="Hyperlink"/>
            <w:rtl/>
          </w:rPr>
          <w:t>تفسير القرطبي ج10</w:t>
        </w:r>
        <w:r w:rsidR="00610312" w:rsidRPr="007B76D9">
          <w:rPr>
            <w:rStyle w:val="Hyperlink"/>
            <w:rFonts w:hint="cs"/>
            <w:rtl/>
          </w:rPr>
          <w:t xml:space="preserve">، </w:t>
        </w:r>
        <w:r w:rsidR="00610312" w:rsidRPr="007B76D9">
          <w:rPr>
            <w:rStyle w:val="Hyperlink"/>
            <w:rtl/>
          </w:rPr>
          <w:t>ص196</w:t>
        </w:r>
      </w:hyperlink>
    </w:p>
  </w:footnote>
  <w:footnote w:id="10">
    <w:p w:rsidR="00610312" w:rsidRPr="0034317F" w:rsidRDefault="00062354" w:rsidP="0034317F">
      <w:pPr>
        <w:pStyle w:val="FootnoteText"/>
      </w:pPr>
      <w:r w:rsidRPr="00062354">
        <w:footnoteRef/>
      </w:r>
      <w:r>
        <w:t>.</w:t>
      </w:r>
      <w:r w:rsidR="00610312" w:rsidRPr="0034317F">
        <w:rPr>
          <w:rtl/>
        </w:rPr>
        <w:t xml:space="preserve"> </w:t>
      </w:r>
      <w:hyperlink r:id="rId10" w:history="1">
        <w:r w:rsidR="00610312" w:rsidRPr="0034317F">
          <w:rPr>
            <w:rStyle w:val="Hyperlink"/>
            <w:rtl/>
          </w:rPr>
          <w:t>وسائل الش</w:t>
        </w:r>
        <w:r w:rsidR="00610312" w:rsidRPr="0034317F">
          <w:rPr>
            <w:rStyle w:val="Hyperlink"/>
            <w:rFonts w:hint="cs"/>
            <w:rtl/>
          </w:rPr>
          <w:t>ی</w:t>
        </w:r>
        <w:r w:rsidR="00610312" w:rsidRPr="0034317F">
          <w:rPr>
            <w:rStyle w:val="Hyperlink"/>
            <w:rFonts w:hint="eastAsia"/>
            <w:rtl/>
          </w:rPr>
          <w:t>عة،</w:t>
        </w:r>
        <w:r w:rsidR="00610312" w:rsidRPr="0034317F">
          <w:rPr>
            <w:rStyle w:val="Hyperlink"/>
            <w:rtl/>
          </w:rPr>
          <w:t xml:space="preserve"> الش</w:t>
        </w:r>
        <w:r w:rsidR="00610312" w:rsidRPr="0034317F">
          <w:rPr>
            <w:rStyle w:val="Hyperlink"/>
            <w:rFonts w:hint="cs"/>
            <w:rtl/>
          </w:rPr>
          <w:t>ی</w:t>
        </w:r>
        <w:r w:rsidR="00610312" w:rsidRPr="0034317F">
          <w:rPr>
            <w:rStyle w:val="Hyperlink"/>
            <w:rFonts w:hint="eastAsia"/>
            <w:rtl/>
          </w:rPr>
          <w:t>خ</w:t>
        </w:r>
        <w:r w:rsidR="00610312" w:rsidRPr="0034317F">
          <w:rPr>
            <w:rStyle w:val="Hyperlink"/>
            <w:rtl/>
          </w:rPr>
          <w:t xml:space="preserve"> الحر العاملي، ج24، ص1</w:t>
        </w:r>
        <w:r w:rsidR="00610312">
          <w:rPr>
            <w:rStyle w:val="Hyperlink"/>
            <w:rtl/>
          </w:rPr>
          <w:t>12</w:t>
        </w:r>
        <w:r w:rsidR="00610312" w:rsidRPr="0034317F">
          <w:rPr>
            <w:rStyle w:val="Hyperlink"/>
            <w:rtl/>
          </w:rPr>
          <w:t>، باب</w:t>
        </w:r>
        <w:r w:rsidR="00610312">
          <w:rPr>
            <w:rStyle w:val="Hyperlink"/>
            <w:rFonts w:hint="cs"/>
            <w:rtl/>
          </w:rPr>
          <w:t>2</w:t>
        </w:r>
        <w:r w:rsidR="00610312" w:rsidRPr="0034317F">
          <w:rPr>
            <w:rStyle w:val="Hyperlink"/>
            <w:rtl/>
          </w:rPr>
          <w:t>، ح</w:t>
        </w:r>
        <w:r w:rsidR="00610312">
          <w:rPr>
            <w:rStyle w:val="Hyperlink"/>
            <w:rFonts w:hint="cs"/>
            <w:rtl/>
          </w:rPr>
          <w:t>20</w:t>
        </w:r>
        <w:r w:rsidR="00610312" w:rsidRPr="0034317F">
          <w:rPr>
            <w:rStyle w:val="Hyperlink"/>
            <w:rtl/>
          </w:rPr>
          <w:t>، ط آل البيت.</w:t>
        </w:r>
      </w:hyperlink>
    </w:p>
  </w:footnote>
  <w:footnote w:id="11">
    <w:p w:rsidR="00610312" w:rsidRPr="002E0D32" w:rsidRDefault="00062354" w:rsidP="002E0D32">
      <w:pPr>
        <w:pStyle w:val="FootnoteText"/>
      </w:pPr>
      <w:r w:rsidRPr="00062354">
        <w:footnoteRef/>
      </w:r>
      <w:r>
        <w:t>.</w:t>
      </w:r>
      <w:r w:rsidR="00610312" w:rsidRPr="002E0D32">
        <w:rPr>
          <w:rtl/>
        </w:rPr>
        <w:t xml:space="preserve"> </w:t>
      </w:r>
      <w:hyperlink r:id="rId11" w:history="1">
        <w:r w:rsidR="00610312" w:rsidRPr="002E0D32">
          <w:rPr>
            <w:rStyle w:val="Hyperlink"/>
            <w:rtl/>
          </w:rPr>
          <w:t>الکاف</w:t>
        </w:r>
        <w:r w:rsidR="00610312" w:rsidRPr="002E0D32">
          <w:rPr>
            <w:rStyle w:val="Hyperlink"/>
            <w:rFonts w:hint="cs"/>
            <w:rtl/>
          </w:rPr>
          <w:t>ی</w:t>
        </w:r>
        <w:r w:rsidR="00610312" w:rsidRPr="002E0D32">
          <w:rPr>
            <w:rStyle w:val="Hyperlink"/>
            <w:rFonts w:hint="eastAsia"/>
            <w:rtl/>
          </w:rPr>
          <w:t>،</w:t>
        </w:r>
        <w:r w:rsidR="00610312" w:rsidRPr="002E0D32">
          <w:rPr>
            <w:rStyle w:val="Hyperlink"/>
            <w:rtl/>
          </w:rPr>
          <w:t xml:space="preserve"> محمد بن </w:t>
        </w:r>
        <w:r w:rsidR="00610312" w:rsidRPr="002E0D32">
          <w:rPr>
            <w:rStyle w:val="Hyperlink"/>
            <w:rFonts w:hint="cs"/>
            <w:rtl/>
          </w:rPr>
          <w:t>ی</w:t>
        </w:r>
        <w:r w:rsidR="00610312" w:rsidRPr="002E0D32">
          <w:rPr>
            <w:rStyle w:val="Hyperlink"/>
            <w:rFonts w:hint="eastAsia"/>
            <w:rtl/>
          </w:rPr>
          <w:t>عقوب</w:t>
        </w:r>
        <w:r w:rsidR="00610312" w:rsidRPr="002E0D32">
          <w:rPr>
            <w:rStyle w:val="Hyperlink"/>
            <w:rtl/>
          </w:rPr>
          <w:t xml:space="preserve"> کل</w:t>
        </w:r>
        <w:r w:rsidR="00610312" w:rsidRPr="002E0D32">
          <w:rPr>
            <w:rStyle w:val="Hyperlink"/>
            <w:rFonts w:hint="cs"/>
            <w:rtl/>
          </w:rPr>
          <w:t>ی</w:t>
        </w:r>
        <w:r w:rsidR="00610312" w:rsidRPr="002E0D32">
          <w:rPr>
            <w:rStyle w:val="Hyperlink"/>
            <w:rFonts w:hint="eastAsia"/>
            <w:rtl/>
          </w:rPr>
          <w:t>ن</w:t>
        </w:r>
        <w:r w:rsidR="00610312" w:rsidRPr="002E0D32">
          <w:rPr>
            <w:rStyle w:val="Hyperlink"/>
            <w:rFonts w:hint="cs"/>
            <w:rtl/>
          </w:rPr>
          <w:t>ی</w:t>
        </w:r>
        <w:r w:rsidR="00610312" w:rsidRPr="002E0D32">
          <w:rPr>
            <w:rStyle w:val="Hyperlink"/>
            <w:rFonts w:hint="eastAsia"/>
            <w:rtl/>
          </w:rPr>
          <w:t>،</w:t>
        </w:r>
        <w:r w:rsidR="00610312" w:rsidRPr="002E0D32">
          <w:rPr>
            <w:rStyle w:val="Hyperlink"/>
            <w:rtl/>
          </w:rPr>
          <w:t xml:space="preserve"> ج1، ص68.</w:t>
        </w:r>
      </w:hyperlink>
    </w:p>
  </w:footnote>
  <w:footnote w:id="12">
    <w:p w:rsidR="00610312" w:rsidRPr="003A6823" w:rsidRDefault="00062354" w:rsidP="003A6823">
      <w:pPr>
        <w:pStyle w:val="FootnoteText"/>
      </w:pPr>
      <w:r w:rsidRPr="00062354">
        <w:footnoteRef/>
      </w:r>
      <w:r>
        <w:t>.</w:t>
      </w:r>
      <w:r w:rsidR="00610312" w:rsidRPr="003A6823">
        <w:rPr>
          <w:rtl/>
        </w:rPr>
        <w:t xml:space="preserve"> </w:t>
      </w:r>
      <w:hyperlink r:id="rId12" w:history="1">
        <w:r w:rsidR="00610312" w:rsidRPr="003A6823">
          <w:rPr>
            <w:rStyle w:val="Hyperlink"/>
            <w:rtl/>
          </w:rPr>
          <w:t>الکاف</w:t>
        </w:r>
        <w:r w:rsidR="00610312" w:rsidRPr="003A6823">
          <w:rPr>
            <w:rStyle w:val="Hyperlink"/>
            <w:rFonts w:hint="cs"/>
            <w:rtl/>
          </w:rPr>
          <w:t>ی</w:t>
        </w:r>
        <w:r w:rsidR="00610312" w:rsidRPr="003A6823">
          <w:rPr>
            <w:rStyle w:val="Hyperlink"/>
            <w:rFonts w:hint="eastAsia"/>
            <w:rtl/>
          </w:rPr>
          <w:t>،</w:t>
        </w:r>
        <w:r w:rsidR="00610312" w:rsidRPr="003A6823">
          <w:rPr>
            <w:rStyle w:val="Hyperlink"/>
            <w:rtl/>
          </w:rPr>
          <w:t xml:space="preserve"> محمد بن </w:t>
        </w:r>
        <w:r w:rsidR="00610312" w:rsidRPr="003A6823">
          <w:rPr>
            <w:rStyle w:val="Hyperlink"/>
            <w:rFonts w:hint="cs"/>
            <w:rtl/>
          </w:rPr>
          <w:t>ی</w:t>
        </w:r>
        <w:r w:rsidR="00610312" w:rsidRPr="003A6823">
          <w:rPr>
            <w:rStyle w:val="Hyperlink"/>
            <w:rFonts w:hint="eastAsia"/>
            <w:rtl/>
          </w:rPr>
          <w:t>عقوب</w:t>
        </w:r>
        <w:r w:rsidR="00610312" w:rsidRPr="003A6823">
          <w:rPr>
            <w:rStyle w:val="Hyperlink"/>
            <w:rtl/>
          </w:rPr>
          <w:t xml:space="preserve"> کل</w:t>
        </w:r>
        <w:r w:rsidR="00610312" w:rsidRPr="003A6823">
          <w:rPr>
            <w:rStyle w:val="Hyperlink"/>
            <w:rFonts w:hint="cs"/>
            <w:rtl/>
          </w:rPr>
          <w:t>ی</w:t>
        </w:r>
        <w:r w:rsidR="00610312" w:rsidRPr="003A6823">
          <w:rPr>
            <w:rStyle w:val="Hyperlink"/>
            <w:rFonts w:hint="eastAsia"/>
            <w:rtl/>
          </w:rPr>
          <w:t>ن</w:t>
        </w:r>
        <w:r w:rsidR="00610312" w:rsidRPr="003A6823">
          <w:rPr>
            <w:rStyle w:val="Hyperlink"/>
            <w:rFonts w:hint="cs"/>
            <w:rtl/>
          </w:rPr>
          <w:t>ی</w:t>
        </w:r>
        <w:r w:rsidR="00610312" w:rsidRPr="003A6823">
          <w:rPr>
            <w:rStyle w:val="Hyperlink"/>
            <w:rFonts w:hint="eastAsia"/>
            <w:rtl/>
          </w:rPr>
          <w:t>،</w:t>
        </w:r>
        <w:r w:rsidR="00610312" w:rsidRPr="003A6823">
          <w:rPr>
            <w:rStyle w:val="Hyperlink"/>
            <w:rtl/>
          </w:rPr>
          <w:t xml:space="preserve"> ج3، ص217.</w:t>
        </w:r>
      </w:hyperlink>
    </w:p>
  </w:footnote>
  <w:footnote w:id="13">
    <w:p w:rsidR="00610312" w:rsidRDefault="00062354">
      <w:pPr>
        <w:pStyle w:val="FootnoteText"/>
      </w:pPr>
      <w:r w:rsidRPr="00062354">
        <w:rPr>
          <w:rStyle w:val="FootnoteReference"/>
          <w:vertAlign w:val="baseline"/>
        </w:rPr>
        <w:footnoteRef/>
      </w:r>
      <w:r>
        <w:rPr>
          <w:rStyle w:val="FootnoteReference"/>
          <w:vertAlign w:val="baseline"/>
        </w:rPr>
        <w:t>.</w:t>
      </w:r>
      <w:r w:rsidR="00610312">
        <w:rPr>
          <w:rtl/>
        </w:rPr>
        <w:t xml:space="preserve"> </w:t>
      </w:r>
      <w:r w:rsidR="00610312">
        <w:rPr>
          <w:rFonts w:hint="cs"/>
          <w:rtl/>
        </w:rPr>
        <w:t>حرمت صوم دهر به این جهت است صوم دهر به این معنا است که ایامی که روزه آن حرام است، هم روزه گرفته شود.</w:t>
      </w:r>
    </w:p>
  </w:footnote>
  <w:footnote w:id="14">
    <w:p w:rsidR="00610312" w:rsidRPr="005B59FF" w:rsidRDefault="00062354" w:rsidP="005B59FF">
      <w:pPr>
        <w:pStyle w:val="FootnoteText"/>
      </w:pPr>
      <w:r w:rsidRPr="00062354">
        <w:footnoteRef/>
      </w:r>
      <w:r>
        <w:t>.</w:t>
      </w:r>
      <w:r w:rsidR="00610312" w:rsidRPr="005B59FF">
        <w:rPr>
          <w:rtl/>
        </w:rPr>
        <w:t xml:space="preserve"> </w:t>
      </w:r>
      <w:hyperlink r:id="rId13" w:history="1">
        <w:r w:rsidR="00610312" w:rsidRPr="005B59FF">
          <w:rPr>
            <w:rStyle w:val="Hyperlink"/>
            <w:rtl/>
          </w:rPr>
          <w:t>الکاف</w:t>
        </w:r>
        <w:r w:rsidR="00610312" w:rsidRPr="005B59FF">
          <w:rPr>
            <w:rStyle w:val="Hyperlink"/>
            <w:rFonts w:hint="cs"/>
            <w:rtl/>
          </w:rPr>
          <w:t>ی</w:t>
        </w:r>
        <w:r w:rsidR="00610312" w:rsidRPr="005B59FF">
          <w:rPr>
            <w:rStyle w:val="Hyperlink"/>
            <w:rFonts w:hint="eastAsia"/>
            <w:rtl/>
          </w:rPr>
          <w:t>،</w:t>
        </w:r>
        <w:r w:rsidR="00610312" w:rsidRPr="005B59FF">
          <w:rPr>
            <w:rStyle w:val="Hyperlink"/>
            <w:rtl/>
          </w:rPr>
          <w:t xml:space="preserve"> محمد بن </w:t>
        </w:r>
        <w:r w:rsidR="00610312" w:rsidRPr="005B59FF">
          <w:rPr>
            <w:rStyle w:val="Hyperlink"/>
            <w:rFonts w:hint="cs"/>
            <w:rtl/>
          </w:rPr>
          <w:t>ی</w:t>
        </w:r>
        <w:r w:rsidR="00610312" w:rsidRPr="005B59FF">
          <w:rPr>
            <w:rStyle w:val="Hyperlink"/>
            <w:rFonts w:hint="eastAsia"/>
            <w:rtl/>
          </w:rPr>
          <w:t>عقوب</w:t>
        </w:r>
        <w:r w:rsidR="00610312" w:rsidRPr="005B59FF">
          <w:rPr>
            <w:rStyle w:val="Hyperlink"/>
            <w:rtl/>
          </w:rPr>
          <w:t xml:space="preserve"> کل</w:t>
        </w:r>
        <w:r w:rsidR="00610312" w:rsidRPr="005B59FF">
          <w:rPr>
            <w:rStyle w:val="Hyperlink"/>
            <w:rFonts w:hint="cs"/>
            <w:rtl/>
          </w:rPr>
          <w:t>ی</w:t>
        </w:r>
        <w:r w:rsidR="00610312" w:rsidRPr="005B59FF">
          <w:rPr>
            <w:rStyle w:val="Hyperlink"/>
            <w:rFonts w:hint="eastAsia"/>
            <w:rtl/>
          </w:rPr>
          <w:t>ن</w:t>
        </w:r>
        <w:r w:rsidR="00610312" w:rsidRPr="005B59FF">
          <w:rPr>
            <w:rStyle w:val="Hyperlink"/>
            <w:rFonts w:hint="cs"/>
            <w:rtl/>
          </w:rPr>
          <w:t>ی</w:t>
        </w:r>
        <w:r w:rsidR="00610312" w:rsidRPr="005B59FF">
          <w:rPr>
            <w:rStyle w:val="Hyperlink"/>
            <w:rFonts w:hint="eastAsia"/>
            <w:rtl/>
          </w:rPr>
          <w:t>،</w:t>
        </w:r>
        <w:r w:rsidR="00610312" w:rsidRPr="005B59FF">
          <w:rPr>
            <w:rStyle w:val="Hyperlink"/>
            <w:rtl/>
          </w:rPr>
          <w:t xml:space="preserve"> ج4، ص85.</w:t>
        </w:r>
      </w:hyperlink>
    </w:p>
  </w:footnote>
  <w:footnote w:id="15">
    <w:p w:rsidR="00610312" w:rsidRPr="008634A3" w:rsidRDefault="00062354" w:rsidP="008C69F9">
      <w:pPr>
        <w:pStyle w:val="FootnoteText"/>
      </w:pPr>
      <w:r w:rsidRPr="00062354">
        <w:footnoteRef/>
      </w:r>
      <w:r>
        <w:t>.</w:t>
      </w:r>
      <w:r w:rsidR="00610312" w:rsidRPr="008634A3">
        <w:rPr>
          <w:rtl/>
        </w:rPr>
        <w:t xml:space="preserve"> </w:t>
      </w:r>
      <w:hyperlink r:id="rId14" w:history="1">
        <w:r w:rsidR="00610312" w:rsidRPr="008634A3">
          <w:rPr>
            <w:rStyle w:val="Hyperlink"/>
            <w:rFonts w:hint="eastAsia"/>
            <w:rtl/>
          </w:rPr>
          <w:t>الکاف</w:t>
        </w:r>
        <w:r w:rsidR="00610312" w:rsidRPr="008634A3">
          <w:rPr>
            <w:rStyle w:val="Hyperlink"/>
            <w:rFonts w:hint="cs"/>
            <w:rtl/>
          </w:rPr>
          <w:t>ی</w:t>
        </w:r>
        <w:r w:rsidR="00610312" w:rsidRPr="008634A3">
          <w:rPr>
            <w:rStyle w:val="Hyperlink"/>
            <w:rFonts w:hint="eastAsia"/>
            <w:rtl/>
          </w:rPr>
          <w:t>،</w:t>
        </w:r>
        <w:r w:rsidR="00610312" w:rsidRPr="008634A3">
          <w:rPr>
            <w:rStyle w:val="Hyperlink"/>
            <w:rtl/>
          </w:rPr>
          <w:t xml:space="preserve"> محمد بن </w:t>
        </w:r>
        <w:r w:rsidR="00610312" w:rsidRPr="008634A3">
          <w:rPr>
            <w:rStyle w:val="Hyperlink"/>
            <w:rFonts w:hint="cs"/>
            <w:rtl/>
          </w:rPr>
          <w:t>ی</w:t>
        </w:r>
        <w:r w:rsidR="00610312" w:rsidRPr="008634A3">
          <w:rPr>
            <w:rStyle w:val="Hyperlink"/>
            <w:rFonts w:hint="eastAsia"/>
            <w:rtl/>
          </w:rPr>
          <w:t>عقوب</w:t>
        </w:r>
        <w:r w:rsidR="00610312" w:rsidRPr="008634A3">
          <w:rPr>
            <w:rStyle w:val="Hyperlink"/>
            <w:rtl/>
          </w:rPr>
          <w:t xml:space="preserve"> کل</w:t>
        </w:r>
        <w:r w:rsidR="00610312" w:rsidRPr="008634A3">
          <w:rPr>
            <w:rStyle w:val="Hyperlink"/>
            <w:rFonts w:hint="cs"/>
            <w:rtl/>
          </w:rPr>
          <w:t>ی</w:t>
        </w:r>
        <w:r w:rsidR="00610312" w:rsidRPr="008634A3">
          <w:rPr>
            <w:rStyle w:val="Hyperlink"/>
            <w:rFonts w:hint="eastAsia"/>
            <w:rtl/>
          </w:rPr>
          <w:t>ن</w:t>
        </w:r>
        <w:r w:rsidR="00610312" w:rsidRPr="008634A3">
          <w:rPr>
            <w:rStyle w:val="Hyperlink"/>
            <w:rFonts w:hint="cs"/>
            <w:rtl/>
          </w:rPr>
          <w:t>ی</w:t>
        </w:r>
        <w:r w:rsidR="00610312" w:rsidRPr="008634A3">
          <w:rPr>
            <w:rStyle w:val="Hyperlink"/>
            <w:rFonts w:hint="eastAsia"/>
            <w:rtl/>
          </w:rPr>
          <w:t>،</w:t>
        </w:r>
        <w:r w:rsidR="00610312" w:rsidRPr="008634A3">
          <w:rPr>
            <w:rStyle w:val="Hyperlink"/>
            <w:rtl/>
          </w:rPr>
          <w:t xml:space="preserve"> ج4، ص2</w:t>
        </w:r>
        <w:r w:rsidR="00610312">
          <w:rPr>
            <w:rStyle w:val="Hyperlink"/>
            <w:rFonts w:hint="cs"/>
            <w:rtl/>
          </w:rPr>
          <w:t>31</w:t>
        </w:r>
        <w:r w:rsidR="00610312" w:rsidRPr="008634A3">
          <w:rPr>
            <w:rStyle w:val="Hyperlink"/>
            <w:rtl/>
          </w:rPr>
          <w:t>.</w:t>
        </w:r>
      </w:hyperlink>
    </w:p>
  </w:footnote>
  <w:footnote w:id="16">
    <w:p w:rsidR="00610312" w:rsidRPr="007147FB" w:rsidRDefault="00062354" w:rsidP="007147FB">
      <w:pPr>
        <w:pStyle w:val="FootnoteText"/>
      </w:pPr>
      <w:r w:rsidRPr="00062354">
        <w:footnoteRef/>
      </w:r>
      <w:r>
        <w:t>.</w:t>
      </w:r>
      <w:r w:rsidR="00610312" w:rsidRPr="007147FB">
        <w:rPr>
          <w:rtl/>
        </w:rPr>
        <w:t xml:space="preserve"> </w:t>
      </w:r>
      <w:hyperlink r:id="rId15" w:history="1">
        <w:r w:rsidR="00610312" w:rsidRPr="007147FB">
          <w:rPr>
            <w:rStyle w:val="Hyperlink"/>
            <w:rFonts w:hint="eastAsia"/>
            <w:rtl/>
          </w:rPr>
          <w:t>وسائل</w:t>
        </w:r>
        <w:r w:rsidR="00610312" w:rsidRPr="007147FB">
          <w:rPr>
            <w:rStyle w:val="Hyperlink"/>
            <w:rtl/>
          </w:rPr>
          <w:t xml:space="preserve"> الش</w:t>
        </w:r>
        <w:r w:rsidR="00610312" w:rsidRPr="007147FB">
          <w:rPr>
            <w:rStyle w:val="Hyperlink"/>
            <w:rFonts w:hint="cs"/>
            <w:rtl/>
          </w:rPr>
          <w:t>ی</w:t>
        </w:r>
        <w:r w:rsidR="00610312" w:rsidRPr="007147FB">
          <w:rPr>
            <w:rStyle w:val="Hyperlink"/>
            <w:rFonts w:hint="eastAsia"/>
            <w:rtl/>
          </w:rPr>
          <w:t>عة،</w:t>
        </w:r>
        <w:r w:rsidR="00610312" w:rsidRPr="007147FB">
          <w:rPr>
            <w:rStyle w:val="Hyperlink"/>
            <w:rtl/>
          </w:rPr>
          <w:t xml:space="preserve"> الش</w:t>
        </w:r>
        <w:r w:rsidR="00610312" w:rsidRPr="007147FB">
          <w:rPr>
            <w:rStyle w:val="Hyperlink"/>
            <w:rFonts w:hint="cs"/>
            <w:rtl/>
          </w:rPr>
          <w:t>ی</w:t>
        </w:r>
        <w:r w:rsidR="00610312" w:rsidRPr="007147FB">
          <w:rPr>
            <w:rStyle w:val="Hyperlink"/>
            <w:rFonts w:hint="eastAsia"/>
            <w:rtl/>
          </w:rPr>
          <w:t>خ</w:t>
        </w:r>
        <w:r w:rsidR="00610312" w:rsidRPr="007147FB">
          <w:rPr>
            <w:rStyle w:val="Hyperlink"/>
            <w:rtl/>
          </w:rPr>
          <w:t xml:space="preserve"> الحر ا</w:t>
        </w:r>
        <w:r w:rsidR="00610312">
          <w:rPr>
            <w:rStyle w:val="Hyperlink"/>
            <w:rtl/>
          </w:rPr>
          <w:t>لعاملي، ج14، ص529،</w:t>
        </w:r>
        <w:r w:rsidR="00610312" w:rsidRPr="007147FB">
          <w:rPr>
            <w:rStyle w:val="Hyperlink"/>
            <w:rtl/>
          </w:rPr>
          <w:t xml:space="preserve"> ط آل البيت.</w:t>
        </w:r>
      </w:hyperlink>
    </w:p>
  </w:footnote>
  <w:footnote w:id="17">
    <w:p w:rsidR="00610312" w:rsidRPr="00046CE5" w:rsidRDefault="00062354" w:rsidP="00046CE5">
      <w:pPr>
        <w:pStyle w:val="FootnoteText"/>
      </w:pPr>
      <w:r w:rsidRPr="00062354">
        <w:footnoteRef/>
      </w:r>
      <w:r>
        <w:t>.</w:t>
      </w:r>
      <w:r w:rsidR="00610312" w:rsidRPr="00046CE5">
        <w:rPr>
          <w:rtl/>
        </w:rPr>
        <w:t xml:space="preserve"> </w:t>
      </w:r>
      <w:hyperlink r:id="rId16" w:history="1">
        <w:r w:rsidR="00610312" w:rsidRPr="00046CE5">
          <w:rPr>
            <w:rStyle w:val="Hyperlink"/>
            <w:rtl/>
          </w:rPr>
          <w:t>وسائل الش</w:t>
        </w:r>
        <w:r w:rsidR="00610312" w:rsidRPr="00046CE5">
          <w:rPr>
            <w:rStyle w:val="Hyperlink"/>
            <w:rFonts w:hint="cs"/>
            <w:rtl/>
          </w:rPr>
          <w:t>ی</w:t>
        </w:r>
        <w:r w:rsidR="00610312" w:rsidRPr="00046CE5">
          <w:rPr>
            <w:rStyle w:val="Hyperlink"/>
            <w:rFonts w:hint="eastAsia"/>
            <w:rtl/>
          </w:rPr>
          <w:t>عة،</w:t>
        </w:r>
        <w:r w:rsidR="00610312" w:rsidRPr="00046CE5">
          <w:rPr>
            <w:rStyle w:val="Hyperlink"/>
            <w:rtl/>
          </w:rPr>
          <w:t xml:space="preserve"> الش</w:t>
        </w:r>
        <w:r w:rsidR="00610312" w:rsidRPr="00046CE5">
          <w:rPr>
            <w:rStyle w:val="Hyperlink"/>
            <w:rFonts w:hint="cs"/>
            <w:rtl/>
          </w:rPr>
          <w:t>ی</w:t>
        </w:r>
        <w:r w:rsidR="00610312" w:rsidRPr="00046CE5">
          <w:rPr>
            <w:rStyle w:val="Hyperlink"/>
            <w:rFonts w:hint="eastAsia"/>
            <w:rtl/>
          </w:rPr>
          <w:t>خ</w:t>
        </w:r>
        <w:r w:rsidR="00610312" w:rsidRPr="00046CE5">
          <w:rPr>
            <w:rStyle w:val="Hyperlink"/>
            <w:rtl/>
          </w:rPr>
          <w:t xml:space="preserve"> الح</w:t>
        </w:r>
        <w:r w:rsidR="00610312">
          <w:rPr>
            <w:rStyle w:val="Hyperlink"/>
            <w:rtl/>
          </w:rPr>
          <w:t>ر العاملي، ج15، ص45</w:t>
        </w:r>
        <w:r w:rsidR="00610312" w:rsidRPr="00046CE5">
          <w:rPr>
            <w:rStyle w:val="Hyperlink"/>
            <w:rtl/>
          </w:rPr>
          <w:t>، ط آل البيت.</w:t>
        </w:r>
      </w:hyperlink>
    </w:p>
  </w:footnote>
  <w:footnote w:id="18">
    <w:p w:rsidR="00610312" w:rsidRPr="003A212E" w:rsidRDefault="00062354" w:rsidP="003A212E">
      <w:pPr>
        <w:pStyle w:val="FootnoteText"/>
      </w:pPr>
      <w:r w:rsidRPr="00062354">
        <w:footnoteRef/>
      </w:r>
      <w:r>
        <w:t>.</w:t>
      </w:r>
      <w:r w:rsidR="00610312" w:rsidRPr="003A212E">
        <w:rPr>
          <w:rtl/>
        </w:rPr>
        <w:t xml:space="preserve"> </w:t>
      </w:r>
      <w:hyperlink r:id="rId17" w:history="1">
        <w:r w:rsidR="00610312" w:rsidRPr="003A212E">
          <w:rPr>
            <w:rStyle w:val="Hyperlink"/>
            <w:rtl/>
          </w:rPr>
          <w:t>تحف العقول، ابن شعبه حران</w:t>
        </w:r>
        <w:r w:rsidR="00610312" w:rsidRPr="003A212E">
          <w:rPr>
            <w:rStyle w:val="Hyperlink"/>
            <w:rFonts w:hint="cs"/>
            <w:rtl/>
          </w:rPr>
          <w:t>ی</w:t>
        </w:r>
        <w:r w:rsidR="00610312" w:rsidRPr="003A212E">
          <w:rPr>
            <w:rStyle w:val="Hyperlink"/>
            <w:rFonts w:hint="eastAsia"/>
            <w:rtl/>
          </w:rPr>
          <w:t>،</w:t>
        </w:r>
        <w:r w:rsidR="00610312" w:rsidRPr="003A212E">
          <w:rPr>
            <w:rStyle w:val="Hyperlink"/>
            <w:rtl/>
          </w:rPr>
          <w:t xml:space="preserve"> ج1، ص201.</w:t>
        </w:r>
      </w:hyperlink>
    </w:p>
  </w:footnote>
  <w:footnote w:id="19">
    <w:p w:rsidR="00610312" w:rsidRPr="0053543E" w:rsidRDefault="00062354" w:rsidP="0053543E">
      <w:pPr>
        <w:pStyle w:val="FootnoteText"/>
      </w:pPr>
      <w:r w:rsidRPr="00062354">
        <w:footnoteRef/>
      </w:r>
      <w:r>
        <w:t>.</w:t>
      </w:r>
      <w:r w:rsidR="00610312" w:rsidRPr="0053543E">
        <w:rPr>
          <w:rtl/>
        </w:rPr>
        <w:t xml:space="preserve"> </w:t>
      </w:r>
      <w:hyperlink r:id="rId18" w:history="1">
        <w:r w:rsidR="00610312" w:rsidRPr="0053543E">
          <w:rPr>
            <w:rStyle w:val="Hyperlink"/>
            <w:rFonts w:hint="eastAsia"/>
            <w:rtl/>
          </w:rPr>
          <w:t>تحف</w:t>
        </w:r>
        <w:r w:rsidR="00610312" w:rsidRPr="0053543E">
          <w:rPr>
            <w:rStyle w:val="Hyperlink"/>
            <w:rtl/>
          </w:rPr>
          <w:t xml:space="preserve"> العقول، ابن شعبه حران</w:t>
        </w:r>
        <w:r w:rsidR="00610312" w:rsidRPr="0053543E">
          <w:rPr>
            <w:rStyle w:val="Hyperlink"/>
            <w:rFonts w:hint="cs"/>
            <w:rtl/>
          </w:rPr>
          <w:t>ی</w:t>
        </w:r>
        <w:r w:rsidR="00610312" w:rsidRPr="0053543E">
          <w:rPr>
            <w:rStyle w:val="Hyperlink"/>
            <w:rFonts w:hint="eastAsia"/>
            <w:rtl/>
          </w:rPr>
          <w:t>،</w:t>
        </w:r>
        <w:r w:rsidR="00610312" w:rsidRPr="0053543E">
          <w:rPr>
            <w:rStyle w:val="Hyperlink"/>
            <w:rtl/>
          </w:rPr>
          <w:t xml:space="preserve"> ج1، ص333.</w:t>
        </w:r>
      </w:hyperlink>
    </w:p>
  </w:footnote>
  <w:footnote w:id="20">
    <w:p w:rsidR="00610312" w:rsidRPr="00C70DCD" w:rsidRDefault="00062354" w:rsidP="00C70DCD">
      <w:pPr>
        <w:pStyle w:val="FootnoteText"/>
      </w:pPr>
      <w:r w:rsidRPr="00062354">
        <w:footnoteRef/>
      </w:r>
      <w:r>
        <w:t>.</w:t>
      </w:r>
      <w:r w:rsidR="00610312" w:rsidRPr="00C70DCD">
        <w:rPr>
          <w:rtl/>
        </w:rPr>
        <w:t xml:space="preserve"> </w:t>
      </w:r>
      <w:hyperlink r:id="rId19" w:history="1">
        <w:r w:rsidR="00610312" w:rsidRPr="00C70DCD">
          <w:rPr>
            <w:rStyle w:val="Hyperlink"/>
            <w:rtl/>
          </w:rPr>
          <w:t>وسائل الش</w:t>
        </w:r>
        <w:r w:rsidR="00610312" w:rsidRPr="00C70DCD">
          <w:rPr>
            <w:rStyle w:val="Hyperlink"/>
            <w:rFonts w:hint="cs"/>
            <w:rtl/>
          </w:rPr>
          <w:t>ی</w:t>
        </w:r>
        <w:r w:rsidR="00610312" w:rsidRPr="00C70DCD">
          <w:rPr>
            <w:rStyle w:val="Hyperlink"/>
            <w:rFonts w:hint="eastAsia"/>
            <w:rtl/>
          </w:rPr>
          <w:t>عة،</w:t>
        </w:r>
        <w:r w:rsidR="00610312" w:rsidRPr="00C70DCD">
          <w:rPr>
            <w:rStyle w:val="Hyperlink"/>
            <w:rtl/>
          </w:rPr>
          <w:t xml:space="preserve"> الش</w:t>
        </w:r>
        <w:r w:rsidR="00610312" w:rsidRPr="00C70DCD">
          <w:rPr>
            <w:rStyle w:val="Hyperlink"/>
            <w:rFonts w:hint="cs"/>
            <w:rtl/>
          </w:rPr>
          <w:t>ی</w:t>
        </w:r>
        <w:r w:rsidR="00610312" w:rsidRPr="00C70DCD">
          <w:rPr>
            <w:rStyle w:val="Hyperlink"/>
            <w:rFonts w:hint="eastAsia"/>
            <w:rtl/>
          </w:rPr>
          <w:t>خ</w:t>
        </w:r>
        <w:r w:rsidR="00610312" w:rsidRPr="00C70DCD">
          <w:rPr>
            <w:rStyle w:val="Hyperlink"/>
            <w:rtl/>
          </w:rPr>
          <w:t xml:space="preserve"> الحر العاملي، ج24، ص116، أبواب ، باب، ح، ط آل البيت.</w:t>
        </w:r>
      </w:hyperlink>
    </w:p>
  </w:footnote>
  <w:footnote w:id="21">
    <w:p w:rsidR="00610312" w:rsidRPr="00616696" w:rsidRDefault="00062354" w:rsidP="00616696">
      <w:pPr>
        <w:pStyle w:val="FootnoteText"/>
      </w:pPr>
      <w:r w:rsidRPr="00062354">
        <w:footnoteRef/>
      </w:r>
      <w:r>
        <w:t>.</w:t>
      </w:r>
      <w:r w:rsidR="00610312" w:rsidRPr="00616696">
        <w:rPr>
          <w:rtl/>
        </w:rPr>
        <w:t xml:space="preserve"> </w:t>
      </w:r>
      <w:hyperlink r:id="rId20" w:history="1">
        <w:r w:rsidR="00610312" w:rsidRPr="00616696">
          <w:rPr>
            <w:rStyle w:val="Hyperlink"/>
            <w:rFonts w:hint="eastAsia"/>
            <w:rtl/>
          </w:rPr>
          <w:t>الکاف</w:t>
        </w:r>
        <w:r w:rsidR="00610312" w:rsidRPr="00616696">
          <w:rPr>
            <w:rStyle w:val="Hyperlink"/>
            <w:rFonts w:hint="cs"/>
            <w:rtl/>
          </w:rPr>
          <w:t>ی</w:t>
        </w:r>
        <w:r w:rsidR="00610312" w:rsidRPr="00616696">
          <w:rPr>
            <w:rStyle w:val="Hyperlink"/>
            <w:rFonts w:hint="eastAsia"/>
            <w:rtl/>
          </w:rPr>
          <w:t>،</w:t>
        </w:r>
        <w:r w:rsidR="00610312" w:rsidRPr="00616696">
          <w:rPr>
            <w:rStyle w:val="Hyperlink"/>
            <w:rtl/>
          </w:rPr>
          <w:t xml:space="preserve"> محمد بن </w:t>
        </w:r>
        <w:r w:rsidR="00610312" w:rsidRPr="00616696">
          <w:rPr>
            <w:rStyle w:val="Hyperlink"/>
            <w:rFonts w:hint="cs"/>
            <w:rtl/>
          </w:rPr>
          <w:t>ی</w:t>
        </w:r>
        <w:r w:rsidR="00610312" w:rsidRPr="00616696">
          <w:rPr>
            <w:rStyle w:val="Hyperlink"/>
            <w:rFonts w:hint="eastAsia"/>
            <w:rtl/>
          </w:rPr>
          <w:t>عقوب</w:t>
        </w:r>
        <w:r w:rsidR="00610312" w:rsidRPr="00616696">
          <w:rPr>
            <w:rStyle w:val="Hyperlink"/>
            <w:rtl/>
          </w:rPr>
          <w:t xml:space="preserve"> کل</w:t>
        </w:r>
        <w:r w:rsidR="00610312" w:rsidRPr="00616696">
          <w:rPr>
            <w:rStyle w:val="Hyperlink"/>
            <w:rFonts w:hint="cs"/>
            <w:rtl/>
          </w:rPr>
          <w:t>ی</w:t>
        </w:r>
        <w:r w:rsidR="00610312" w:rsidRPr="00616696">
          <w:rPr>
            <w:rStyle w:val="Hyperlink"/>
            <w:rFonts w:hint="eastAsia"/>
            <w:rtl/>
          </w:rPr>
          <w:t>ن</w:t>
        </w:r>
        <w:r w:rsidR="00610312" w:rsidRPr="00616696">
          <w:rPr>
            <w:rStyle w:val="Hyperlink"/>
            <w:rFonts w:hint="cs"/>
            <w:rtl/>
          </w:rPr>
          <w:t>ی</w:t>
        </w:r>
        <w:r w:rsidR="00610312" w:rsidRPr="00616696">
          <w:rPr>
            <w:rStyle w:val="Hyperlink"/>
            <w:rFonts w:hint="eastAsia"/>
            <w:rtl/>
          </w:rPr>
          <w:t>،</w:t>
        </w:r>
        <w:r w:rsidR="00610312" w:rsidRPr="00616696">
          <w:rPr>
            <w:rStyle w:val="Hyperlink"/>
            <w:rtl/>
          </w:rPr>
          <w:t xml:space="preserve"> ج6، ص419.</w:t>
        </w:r>
      </w:hyperlink>
    </w:p>
  </w:footnote>
  <w:footnote w:id="22">
    <w:p w:rsidR="00610312" w:rsidRPr="00B72DB6" w:rsidRDefault="00062354" w:rsidP="00B72DB6">
      <w:pPr>
        <w:pStyle w:val="FootnoteText"/>
      </w:pPr>
      <w:r w:rsidRPr="00062354">
        <w:footnoteRef/>
      </w:r>
      <w:r>
        <w:t>.</w:t>
      </w:r>
      <w:r w:rsidR="00610312" w:rsidRPr="00B72DB6">
        <w:rPr>
          <w:rtl/>
        </w:rPr>
        <w:t xml:space="preserve"> </w:t>
      </w:r>
      <w:hyperlink r:id="rId21" w:history="1">
        <w:r w:rsidR="00610312" w:rsidRPr="00B72DB6">
          <w:rPr>
            <w:rStyle w:val="Hyperlink"/>
            <w:rFonts w:hint="eastAsia"/>
            <w:rtl/>
          </w:rPr>
          <w:t>الکاف</w:t>
        </w:r>
        <w:r w:rsidR="00610312" w:rsidRPr="00B72DB6">
          <w:rPr>
            <w:rStyle w:val="Hyperlink"/>
            <w:rFonts w:hint="cs"/>
            <w:rtl/>
          </w:rPr>
          <w:t>ی</w:t>
        </w:r>
        <w:r w:rsidR="00610312" w:rsidRPr="00B72DB6">
          <w:rPr>
            <w:rStyle w:val="Hyperlink"/>
            <w:rFonts w:hint="eastAsia"/>
            <w:rtl/>
          </w:rPr>
          <w:t>،</w:t>
        </w:r>
        <w:r w:rsidR="00610312" w:rsidRPr="00B72DB6">
          <w:rPr>
            <w:rStyle w:val="Hyperlink"/>
            <w:rtl/>
          </w:rPr>
          <w:t xml:space="preserve"> محمد بن </w:t>
        </w:r>
        <w:r w:rsidR="00610312" w:rsidRPr="00B72DB6">
          <w:rPr>
            <w:rStyle w:val="Hyperlink"/>
            <w:rFonts w:hint="cs"/>
            <w:rtl/>
          </w:rPr>
          <w:t>ی</w:t>
        </w:r>
        <w:r w:rsidR="00610312" w:rsidRPr="00B72DB6">
          <w:rPr>
            <w:rStyle w:val="Hyperlink"/>
            <w:rFonts w:hint="eastAsia"/>
            <w:rtl/>
          </w:rPr>
          <w:t>عقوب</w:t>
        </w:r>
        <w:r w:rsidR="00610312" w:rsidRPr="00B72DB6">
          <w:rPr>
            <w:rStyle w:val="Hyperlink"/>
            <w:rtl/>
          </w:rPr>
          <w:t xml:space="preserve"> کل</w:t>
        </w:r>
        <w:r w:rsidR="00610312" w:rsidRPr="00B72DB6">
          <w:rPr>
            <w:rStyle w:val="Hyperlink"/>
            <w:rFonts w:hint="cs"/>
            <w:rtl/>
          </w:rPr>
          <w:t>ی</w:t>
        </w:r>
        <w:r w:rsidR="00610312" w:rsidRPr="00B72DB6">
          <w:rPr>
            <w:rStyle w:val="Hyperlink"/>
            <w:rFonts w:hint="eastAsia"/>
            <w:rtl/>
          </w:rPr>
          <w:t>ن</w:t>
        </w:r>
        <w:r w:rsidR="00610312" w:rsidRPr="00B72DB6">
          <w:rPr>
            <w:rStyle w:val="Hyperlink"/>
            <w:rFonts w:hint="cs"/>
            <w:rtl/>
          </w:rPr>
          <w:t>ی</w:t>
        </w:r>
        <w:r w:rsidR="00610312" w:rsidRPr="00B72DB6">
          <w:rPr>
            <w:rStyle w:val="Hyperlink"/>
            <w:rFonts w:hint="eastAsia"/>
            <w:rtl/>
          </w:rPr>
          <w:t>،</w:t>
        </w:r>
        <w:r w:rsidR="00610312" w:rsidRPr="00B72DB6">
          <w:rPr>
            <w:rStyle w:val="Hyperlink"/>
            <w:rtl/>
          </w:rPr>
          <w:t xml:space="preserve"> ج1، ص330.</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2" w:rsidRPr="001D2E9A" w:rsidRDefault="0061031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6" w:name="BokNum"/>
    <w:bookmarkEnd w:id="16"/>
    <w:r>
      <w:rPr>
        <w:b/>
        <w:bCs/>
        <w:sz w:val="20"/>
        <w:szCs w:val="24"/>
        <w:rtl/>
      </w:rPr>
      <w:t>107</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9" w:name="BokTarikh"/>
    <w:bookmarkEnd w:id="19"/>
    <w:r>
      <w:rPr>
        <w:sz w:val="24"/>
        <w:szCs w:val="24"/>
        <w:rtl/>
      </w:rPr>
      <w:t>8 /1 /1397</w:t>
    </w:r>
  </w:p>
  <w:p w:rsidR="00610312" w:rsidRPr="00F16B53" w:rsidRDefault="0061031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00FF162E">
      <w:rPr>
        <w:rFonts w:hint="cs"/>
        <w:color w:val="000000" w:themeColor="text1"/>
        <w:sz w:val="24"/>
        <w:szCs w:val="24"/>
        <w:rtl/>
      </w:rPr>
      <w:t xml:space="preserve"> مرجّح</w:t>
    </w:r>
    <w:r>
      <w:rPr>
        <w:color w:val="000000" w:themeColor="text1"/>
        <w:sz w:val="24"/>
        <w:szCs w:val="24"/>
        <w:rtl/>
      </w:rPr>
      <w:t>ات باب تزاحم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0" w:name="Bokmoqarer"/>
    <w:bookmarkEnd w:id="20"/>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1" w:name="BokSabj2"/>
    <w:bookmarkEnd w:id="21"/>
    <w:r>
      <w:rPr>
        <w:rFonts w:hint="cs"/>
        <w:sz w:val="24"/>
        <w:szCs w:val="24"/>
        <w:rtl/>
      </w:rPr>
      <w:t>تقدیم حق الناس بر حق الله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C746E"/>
    <w:multiLevelType w:val="hybridMultilevel"/>
    <w:tmpl w:val="8F58844E"/>
    <w:lvl w:ilvl="0" w:tplc="7C7E8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2C6E25"/>
    <w:multiLevelType w:val="hybridMultilevel"/>
    <w:tmpl w:val="E6E0A8F6"/>
    <w:lvl w:ilvl="0" w:tplc="4618718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2152B"/>
    <w:multiLevelType w:val="hybridMultilevel"/>
    <w:tmpl w:val="792AAA4C"/>
    <w:lvl w:ilvl="0" w:tplc="5FDA8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73B48"/>
    <w:multiLevelType w:val="hybridMultilevel"/>
    <w:tmpl w:val="F45AC436"/>
    <w:lvl w:ilvl="0" w:tplc="1AF0E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232BD"/>
    <w:multiLevelType w:val="hybridMultilevel"/>
    <w:tmpl w:val="82B4B9E4"/>
    <w:lvl w:ilvl="0" w:tplc="5FDA8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D3BB1"/>
    <w:multiLevelType w:val="hybridMultilevel"/>
    <w:tmpl w:val="F3FA6E86"/>
    <w:lvl w:ilvl="0" w:tplc="B98E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20"/>
  </w:num>
  <w:num w:numId="14">
    <w:abstractNumId w:val="17"/>
  </w:num>
  <w:num w:numId="15">
    <w:abstractNumId w:val="18"/>
  </w:num>
  <w:num w:numId="16">
    <w:abstractNumId w:val="19"/>
  </w:num>
  <w:num w:numId="17">
    <w:abstractNumId w:val="14"/>
  </w:num>
  <w:num w:numId="18">
    <w:abstractNumId w:val="11"/>
  </w:num>
  <w:num w:numId="19">
    <w:abstractNumId w:val="12"/>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59B2"/>
    <w:rsid w:val="00046CE5"/>
    <w:rsid w:val="00055496"/>
    <w:rsid w:val="00060BF4"/>
    <w:rsid w:val="00062354"/>
    <w:rsid w:val="00080A41"/>
    <w:rsid w:val="0008299B"/>
    <w:rsid w:val="000913AA"/>
    <w:rsid w:val="00094847"/>
    <w:rsid w:val="00096C63"/>
    <w:rsid w:val="000A3130"/>
    <w:rsid w:val="000B5DB5"/>
    <w:rsid w:val="000C3947"/>
    <w:rsid w:val="000C679C"/>
    <w:rsid w:val="000D2A37"/>
    <w:rsid w:val="000D30E9"/>
    <w:rsid w:val="000D6818"/>
    <w:rsid w:val="000E0890"/>
    <w:rsid w:val="000E335E"/>
    <w:rsid w:val="000F16CF"/>
    <w:rsid w:val="000F5BAC"/>
    <w:rsid w:val="00102585"/>
    <w:rsid w:val="00114AB7"/>
    <w:rsid w:val="00116B2B"/>
    <w:rsid w:val="00117EED"/>
    <w:rsid w:val="00124E3D"/>
    <w:rsid w:val="00127E95"/>
    <w:rsid w:val="00130659"/>
    <w:rsid w:val="001347C7"/>
    <w:rsid w:val="001356B0"/>
    <w:rsid w:val="00151937"/>
    <w:rsid w:val="001812A4"/>
    <w:rsid w:val="00181844"/>
    <w:rsid w:val="001821A4"/>
    <w:rsid w:val="001837E9"/>
    <w:rsid w:val="00187DFA"/>
    <w:rsid w:val="001A1BC1"/>
    <w:rsid w:val="001A1EA5"/>
    <w:rsid w:val="001A2574"/>
    <w:rsid w:val="001A27D7"/>
    <w:rsid w:val="001A294E"/>
    <w:rsid w:val="001A4ED8"/>
    <w:rsid w:val="001B2488"/>
    <w:rsid w:val="001B6799"/>
    <w:rsid w:val="001C1362"/>
    <w:rsid w:val="001D1A28"/>
    <w:rsid w:val="001D2E9A"/>
    <w:rsid w:val="001D597F"/>
    <w:rsid w:val="001E3FD4"/>
    <w:rsid w:val="001E78BA"/>
    <w:rsid w:val="001F387E"/>
    <w:rsid w:val="0020241A"/>
    <w:rsid w:val="00203821"/>
    <w:rsid w:val="00211632"/>
    <w:rsid w:val="0021630D"/>
    <w:rsid w:val="0024121B"/>
    <w:rsid w:val="00247D2F"/>
    <w:rsid w:val="00251366"/>
    <w:rsid w:val="00256560"/>
    <w:rsid w:val="0027605E"/>
    <w:rsid w:val="00281E00"/>
    <w:rsid w:val="0028588B"/>
    <w:rsid w:val="00294A52"/>
    <w:rsid w:val="0029792F"/>
    <w:rsid w:val="002A4615"/>
    <w:rsid w:val="002A51F7"/>
    <w:rsid w:val="002B575F"/>
    <w:rsid w:val="002B729B"/>
    <w:rsid w:val="002C23B5"/>
    <w:rsid w:val="002C53A2"/>
    <w:rsid w:val="002D0040"/>
    <w:rsid w:val="002D2FA8"/>
    <w:rsid w:val="002E0D32"/>
    <w:rsid w:val="002E220F"/>
    <w:rsid w:val="002E57B7"/>
    <w:rsid w:val="003023F6"/>
    <w:rsid w:val="00307311"/>
    <w:rsid w:val="00307FEB"/>
    <w:rsid w:val="00313E35"/>
    <w:rsid w:val="0032100F"/>
    <w:rsid w:val="0032151F"/>
    <w:rsid w:val="0033402C"/>
    <w:rsid w:val="00337726"/>
    <w:rsid w:val="00340521"/>
    <w:rsid w:val="0034317F"/>
    <w:rsid w:val="00345C73"/>
    <w:rsid w:val="00354A99"/>
    <w:rsid w:val="00360311"/>
    <w:rsid w:val="00361922"/>
    <w:rsid w:val="0037339B"/>
    <w:rsid w:val="00386C11"/>
    <w:rsid w:val="00397466"/>
    <w:rsid w:val="00397D97"/>
    <w:rsid w:val="003A1EB5"/>
    <w:rsid w:val="003A212E"/>
    <w:rsid w:val="003A6148"/>
    <w:rsid w:val="003A6823"/>
    <w:rsid w:val="003B04A2"/>
    <w:rsid w:val="003B32EE"/>
    <w:rsid w:val="003B76DF"/>
    <w:rsid w:val="003C33F6"/>
    <w:rsid w:val="003C3D2E"/>
    <w:rsid w:val="003C43A5"/>
    <w:rsid w:val="003E1C5C"/>
    <w:rsid w:val="003E6650"/>
    <w:rsid w:val="003F5B46"/>
    <w:rsid w:val="00401363"/>
    <w:rsid w:val="00402E47"/>
    <w:rsid w:val="00425015"/>
    <w:rsid w:val="00430994"/>
    <w:rsid w:val="00435964"/>
    <w:rsid w:val="00441B6D"/>
    <w:rsid w:val="004556EF"/>
    <w:rsid w:val="00460F0E"/>
    <w:rsid w:val="00462B07"/>
    <w:rsid w:val="00465BD2"/>
    <w:rsid w:val="004715C8"/>
    <w:rsid w:val="004720CD"/>
    <w:rsid w:val="00481C31"/>
    <w:rsid w:val="00482FC1"/>
    <w:rsid w:val="00483027"/>
    <w:rsid w:val="004871AA"/>
    <w:rsid w:val="004918D7"/>
    <w:rsid w:val="004926E1"/>
    <w:rsid w:val="004A0C82"/>
    <w:rsid w:val="004A2FEA"/>
    <w:rsid w:val="004A4FC4"/>
    <w:rsid w:val="004D2DD7"/>
    <w:rsid w:val="004D75C5"/>
    <w:rsid w:val="004E2186"/>
    <w:rsid w:val="004E66FB"/>
    <w:rsid w:val="004E74DE"/>
    <w:rsid w:val="004F470A"/>
    <w:rsid w:val="004F4C59"/>
    <w:rsid w:val="00500C8F"/>
    <w:rsid w:val="00501909"/>
    <w:rsid w:val="00504135"/>
    <w:rsid w:val="00507BBB"/>
    <w:rsid w:val="005128DF"/>
    <w:rsid w:val="0051592A"/>
    <w:rsid w:val="005206FE"/>
    <w:rsid w:val="005257ED"/>
    <w:rsid w:val="005306F8"/>
    <w:rsid w:val="00530FDD"/>
    <w:rsid w:val="00534165"/>
    <w:rsid w:val="0053543E"/>
    <w:rsid w:val="0054023D"/>
    <w:rsid w:val="005426BF"/>
    <w:rsid w:val="0056213C"/>
    <w:rsid w:val="00567276"/>
    <w:rsid w:val="00573BA3"/>
    <w:rsid w:val="00580C24"/>
    <w:rsid w:val="0059045A"/>
    <w:rsid w:val="00590D1F"/>
    <w:rsid w:val="0059174E"/>
    <w:rsid w:val="005968EF"/>
    <w:rsid w:val="00596C1E"/>
    <w:rsid w:val="005A2E26"/>
    <w:rsid w:val="005B4B89"/>
    <w:rsid w:val="005B59FF"/>
    <w:rsid w:val="005B7BCA"/>
    <w:rsid w:val="005C0DAE"/>
    <w:rsid w:val="005C188E"/>
    <w:rsid w:val="005C5F09"/>
    <w:rsid w:val="005D2349"/>
    <w:rsid w:val="005E1B60"/>
    <w:rsid w:val="005E5507"/>
    <w:rsid w:val="005E607B"/>
    <w:rsid w:val="005F0A8D"/>
    <w:rsid w:val="00601229"/>
    <w:rsid w:val="00603B67"/>
    <w:rsid w:val="00610312"/>
    <w:rsid w:val="006162A2"/>
    <w:rsid w:val="00616696"/>
    <w:rsid w:val="00616A78"/>
    <w:rsid w:val="006178B6"/>
    <w:rsid w:val="006240DA"/>
    <w:rsid w:val="006323A5"/>
    <w:rsid w:val="0063256E"/>
    <w:rsid w:val="00633F04"/>
    <w:rsid w:val="00635219"/>
    <w:rsid w:val="00635EC0"/>
    <w:rsid w:val="00640B58"/>
    <w:rsid w:val="00642897"/>
    <w:rsid w:val="00651676"/>
    <w:rsid w:val="00651B02"/>
    <w:rsid w:val="00651B19"/>
    <w:rsid w:val="00660A29"/>
    <w:rsid w:val="006700EB"/>
    <w:rsid w:val="006722B3"/>
    <w:rsid w:val="00676215"/>
    <w:rsid w:val="00695519"/>
    <w:rsid w:val="006A4134"/>
    <w:rsid w:val="006A5DDA"/>
    <w:rsid w:val="006A6701"/>
    <w:rsid w:val="006B21F4"/>
    <w:rsid w:val="006B3753"/>
    <w:rsid w:val="006B7AD6"/>
    <w:rsid w:val="006C50FD"/>
    <w:rsid w:val="006C561E"/>
    <w:rsid w:val="006D1DD4"/>
    <w:rsid w:val="006D4014"/>
    <w:rsid w:val="006D44C1"/>
    <w:rsid w:val="006D5CA2"/>
    <w:rsid w:val="006E5651"/>
    <w:rsid w:val="006E5B85"/>
    <w:rsid w:val="006E6E43"/>
    <w:rsid w:val="006F026A"/>
    <w:rsid w:val="0070265B"/>
    <w:rsid w:val="00704813"/>
    <w:rsid w:val="00706171"/>
    <w:rsid w:val="007147FB"/>
    <w:rsid w:val="007225AD"/>
    <w:rsid w:val="0072290D"/>
    <w:rsid w:val="00723D6D"/>
    <w:rsid w:val="00724537"/>
    <w:rsid w:val="00731724"/>
    <w:rsid w:val="0073474B"/>
    <w:rsid w:val="00735511"/>
    <w:rsid w:val="00736922"/>
    <w:rsid w:val="00737208"/>
    <w:rsid w:val="00743FD2"/>
    <w:rsid w:val="00744DE6"/>
    <w:rsid w:val="007502E4"/>
    <w:rsid w:val="00754801"/>
    <w:rsid w:val="00762452"/>
    <w:rsid w:val="007639E0"/>
    <w:rsid w:val="00775507"/>
    <w:rsid w:val="00783473"/>
    <w:rsid w:val="007847AC"/>
    <w:rsid w:val="0078594B"/>
    <w:rsid w:val="00795E02"/>
    <w:rsid w:val="007979D0"/>
    <w:rsid w:val="007A44FD"/>
    <w:rsid w:val="007A4E18"/>
    <w:rsid w:val="007A7B8C"/>
    <w:rsid w:val="007B1DC4"/>
    <w:rsid w:val="007B76D9"/>
    <w:rsid w:val="007C0258"/>
    <w:rsid w:val="007C5E96"/>
    <w:rsid w:val="007C6D9E"/>
    <w:rsid w:val="007D1C43"/>
    <w:rsid w:val="007D6C53"/>
    <w:rsid w:val="007E1564"/>
    <w:rsid w:val="007E1E87"/>
    <w:rsid w:val="007E2B67"/>
    <w:rsid w:val="007E5B3F"/>
    <w:rsid w:val="007E5B60"/>
    <w:rsid w:val="007E5E16"/>
    <w:rsid w:val="007F2257"/>
    <w:rsid w:val="0080091D"/>
    <w:rsid w:val="00800A80"/>
    <w:rsid w:val="00804108"/>
    <w:rsid w:val="00804FC4"/>
    <w:rsid w:val="00813AB5"/>
    <w:rsid w:val="00816367"/>
    <w:rsid w:val="00816A0B"/>
    <w:rsid w:val="008215DD"/>
    <w:rsid w:val="00824B22"/>
    <w:rsid w:val="00830C53"/>
    <w:rsid w:val="00837FAA"/>
    <w:rsid w:val="00841F77"/>
    <w:rsid w:val="008444CD"/>
    <w:rsid w:val="0085276D"/>
    <w:rsid w:val="00855ED4"/>
    <w:rsid w:val="008609E3"/>
    <w:rsid w:val="00863390"/>
    <w:rsid w:val="008634A3"/>
    <w:rsid w:val="0086385C"/>
    <w:rsid w:val="00871916"/>
    <w:rsid w:val="008767C6"/>
    <w:rsid w:val="00877390"/>
    <w:rsid w:val="008956DD"/>
    <w:rsid w:val="008A510E"/>
    <w:rsid w:val="008A522A"/>
    <w:rsid w:val="008B4464"/>
    <w:rsid w:val="008B6F8A"/>
    <w:rsid w:val="008B750B"/>
    <w:rsid w:val="008C3162"/>
    <w:rsid w:val="008C5B36"/>
    <w:rsid w:val="008C69F9"/>
    <w:rsid w:val="008D1F14"/>
    <w:rsid w:val="008D31AB"/>
    <w:rsid w:val="008D62AB"/>
    <w:rsid w:val="008E3924"/>
    <w:rsid w:val="008F13F7"/>
    <w:rsid w:val="008F5B4D"/>
    <w:rsid w:val="008F7DAE"/>
    <w:rsid w:val="009069AC"/>
    <w:rsid w:val="00907425"/>
    <w:rsid w:val="00923C34"/>
    <w:rsid w:val="00924152"/>
    <w:rsid w:val="0092513D"/>
    <w:rsid w:val="00926B44"/>
    <w:rsid w:val="00927A9F"/>
    <w:rsid w:val="009335CC"/>
    <w:rsid w:val="00935A55"/>
    <w:rsid w:val="00941CEB"/>
    <w:rsid w:val="00945132"/>
    <w:rsid w:val="0094720F"/>
    <w:rsid w:val="00952764"/>
    <w:rsid w:val="00953B28"/>
    <w:rsid w:val="00954322"/>
    <w:rsid w:val="00957CAA"/>
    <w:rsid w:val="0096022C"/>
    <w:rsid w:val="0096778A"/>
    <w:rsid w:val="009708B5"/>
    <w:rsid w:val="00974771"/>
    <w:rsid w:val="00977656"/>
    <w:rsid w:val="009846A7"/>
    <w:rsid w:val="0098794D"/>
    <w:rsid w:val="0099497B"/>
    <w:rsid w:val="009A43BA"/>
    <w:rsid w:val="009B0D05"/>
    <w:rsid w:val="009B4CA6"/>
    <w:rsid w:val="009B79F8"/>
    <w:rsid w:val="009C66D5"/>
    <w:rsid w:val="009D13FD"/>
    <w:rsid w:val="009D266A"/>
    <w:rsid w:val="009F7E07"/>
    <w:rsid w:val="00A01522"/>
    <w:rsid w:val="00A06997"/>
    <w:rsid w:val="00A10A11"/>
    <w:rsid w:val="00A13C6A"/>
    <w:rsid w:val="00A17B09"/>
    <w:rsid w:val="00A25776"/>
    <w:rsid w:val="00A3786F"/>
    <w:rsid w:val="00A457C6"/>
    <w:rsid w:val="00A46AD0"/>
    <w:rsid w:val="00A47063"/>
    <w:rsid w:val="00A473A8"/>
    <w:rsid w:val="00A513F0"/>
    <w:rsid w:val="00A61AC8"/>
    <w:rsid w:val="00A6366F"/>
    <w:rsid w:val="00A65D4C"/>
    <w:rsid w:val="00A70512"/>
    <w:rsid w:val="00AA1F60"/>
    <w:rsid w:val="00AA40D7"/>
    <w:rsid w:val="00AB5F7D"/>
    <w:rsid w:val="00AC0C50"/>
    <w:rsid w:val="00AC42BF"/>
    <w:rsid w:val="00AC6FE2"/>
    <w:rsid w:val="00AF3925"/>
    <w:rsid w:val="00B00156"/>
    <w:rsid w:val="00B060F4"/>
    <w:rsid w:val="00B1160E"/>
    <w:rsid w:val="00B1296B"/>
    <w:rsid w:val="00B2292F"/>
    <w:rsid w:val="00B26436"/>
    <w:rsid w:val="00B32FEA"/>
    <w:rsid w:val="00B43169"/>
    <w:rsid w:val="00B501A8"/>
    <w:rsid w:val="00B528E2"/>
    <w:rsid w:val="00B55AE4"/>
    <w:rsid w:val="00B56286"/>
    <w:rsid w:val="00B66870"/>
    <w:rsid w:val="00B70B46"/>
    <w:rsid w:val="00B72DB6"/>
    <w:rsid w:val="00B739B0"/>
    <w:rsid w:val="00B814A3"/>
    <w:rsid w:val="00B95606"/>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0DCD"/>
    <w:rsid w:val="00C91EB6"/>
    <w:rsid w:val="00CA10B0"/>
    <w:rsid w:val="00CA2F8E"/>
    <w:rsid w:val="00CA3EE2"/>
    <w:rsid w:val="00CA7FD5"/>
    <w:rsid w:val="00CB3287"/>
    <w:rsid w:val="00CB33E2"/>
    <w:rsid w:val="00CB4E68"/>
    <w:rsid w:val="00CC2733"/>
    <w:rsid w:val="00CD0050"/>
    <w:rsid w:val="00CD6082"/>
    <w:rsid w:val="00CE7481"/>
    <w:rsid w:val="00CF0A8F"/>
    <w:rsid w:val="00D02688"/>
    <w:rsid w:val="00D048CE"/>
    <w:rsid w:val="00D07DDB"/>
    <w:rsid w:val="00D10998"/>
    <w:rsid w:val="00D15CBD"/>
    <w:rsid w:val="00D221CB"/>
    <w:rsid w:val="00D23391"/>
    <w:rsid w:val="00D31805"/>
    <w:rsid w:val="00D46459"/>
    <w:rsid w:val="00D552B9"/>
    <w:rsid w:val="00D735B2"/>
    <w:rsid w:val="00D74021"/>
    <w:rsid w:val="00D75B2B"/>
    <w:rsid w:val="00D76D01"/>
    <w:rsid w:val="00D8003A"/>
    <w:rsid w:val="00D922A9"/>
    <w:rsid w:val="00D9394A"/>
    <w:rsid w:val="00D9674B"/>
    <w:rsid w:val="00D973B0"/>
    <w:rsid w:val="00DA1E2F"/>
    <w:rsid w:val="00DB0CBB"/>
    <w:rsid w:val="00DB67CC"/>
    <w:rsid w:val="00DC3783"/>
    <w:rsid w:val="00DD5592"/>
    <w:rsid w:val="00DE1070"/>
    <w:rsid w:val="00DF3990"/>
    <w:rsid w:val="00DF49CD"/>
    <w:rsid w:val="00DF583B"/>
    <w:rsid w:val="00E00219"/>
    <w:rsid w:val="00E0316B"/>
    <w:rsid w:val="00E172FC"/>
    <w:rsid w:val="00E2049F"/>
    <w:rsid w:val="00E25E10"/>
    <w:rsid w:val="00E50B41"/>
    <w:rsid w:val="00E5219B"/>
    <w:rsid w:val="00E52D07"/>
    <w:rsid w:val="00E5518B"/>
    <w:rsid w:val="00E609FE"/>
    <w:rsid w:val="00E630BE"/>
    <w:rsid w:val="00E75920"/>
    <w:rsid w:val="00E80D96"/>
    <w:rsid w:val="00E81BA1"/>
    <w:rsid w:val="00E8703F"/>
    <w:rsid w:val="00E871FA"/>
    <w:rsid w:val="00E936A4"/>
    <w:rsid w:val="00E954BB"/>
    <w:rsid w:val="00EA45E7"/>
    <w:rsid w:val="00EB4235"/>
    <w:rsid w:val="00EB78E3"/>
    <w:rsid w:val="00EB7BE3"/>
    <w:rsid w:val="00EC1C4B"/>
    <w:rsid w:val="00EC735A"/>
    <w:rsid w:val="00ED3DF1"/>
    <w:rsid w:val="00ED5F38"/>
    <w:rsid w:val="00EF27FE"/>
    <w:rsid w:val="00EF6DB2"/>
    <w:rsid w:val="00F07FB6"/>
    <w:rsid w:val="00F149D0"/>
    <w:rsid w:val="00F14CE0"/>
    <w:rsid w:val="00F16B53"/>
    <w:rsid w:val="00F25ECD"/>
    <w:rsid w:val="00F318BE"/>
    <w:rsid w:val="00F33297"/>
    <w:rsid w:val="00F343FB"/>
    <w:rsid w:val="00F359FE"/>
    <w:rsid w:val="00F42159"/>
    <w:rsid w:val="00F4256E"/>
    <w:rsid w:val="00F42EE1"/>
    <w:rsid w:val="00F60F1F"/>
    <w:rsid w:val="00F64141"/>
    <w:rsid w:val="00F65AE7"/>
    <w:rsid w:val="00F67508"/>
    <w:rsid w:val="00F71FC9"/>
    <w:rsid w:val="00F73B48"/>
    <w:rsid w:val="00F74F51"/>
    <w:rsid w:val="00F77B14"/>
    <w:rsid w:val="00F842AD"/>
    <w:rsid w:val="00F914EB"/>
    <w:rsid w:val="00F91B85"/>
    <w:rsid w:val="00F938E7"/>
    <w:rsid w:val="00FA3B17"/>
    <w:rsid w:val="00FA501B"/>
    <w:rsid w:val="00FA5E8D"/>
    <w:rsid w:val="00FA5F3D"/>
    <w:rsid w:val="00FB399E"/>
    <w:rsid w:val="00FB7C0C"/>
    <w:rsid w:val="00FB7F50"/>
    <w:rsid w:val="00FC2A85"/>
    <w:rsid w:val="00FC40AF"/>
    <w:rsid w:val="00FC73B9"/>
    <w:rsid w:val="00FD0A16"/>
    <w:rsid w:val="00FD47C0"/>
    <w:rsid w:val="00FE06C6"/>
    <w:rsid w:val="00FE3D7D"/>
    <w:rsid w:val="00FE6DCF"/>
    <w:rsid w:val="00FF162E"/>
    <w:rsid w:val="00FF282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82E"/>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3023F6"/>
    <w:rPr>
      <w:color w:val="800080" w:themeColor="followedHyperlink"/>
      <w:u w:val="single"/>
    </w:rPr>
  </w:style>
  <w:style w:type="character" w:styleId="CommentReference">
    <w:name w:val="annotation reference"/>
    <w:basedOn w:val="DefaultParagraphFont"/>
    <w:uiPriority w:val="99"/>
    <w:semiHidden/>
    <w:unhideWhenUsed/>
    <w:rsid w:val="000A3130"/>
    <w:rPr>
      <w:sz w:val="16"/>
      <w:szCs w:val="16"/>
    </w:rPr>
  </w:style>
  <w:style w:type="paragraph" w:styleId="CommentText">
    <w:name w:val="annotation text"/>
    <w:basedOn w:val="Normal"/>
    <w:link w:val="CommentTextChar"/>
    <w:uiPriority w:val="99"/>
    <w:semiHidden/>
    <w:unhideWhenUsed/>
    <w:rsid w:val="000A3130"/>
    <w:pPr>
      <w:spacing w:line="240" w:lineRule="auto"/>
    </w:pPr>
    <w:rPr>
      <w:sz w:val="20"/>
      <w:szCs w:val="20"/>
    </w:rPr>
  </w:style>
  <w:style w:type="character" w:customStyle="1" w:styleId="CommentTextChar">
    <w:name w:val="Comment Text Char"/>
    <w:basedOn w:val="DefaultParagraphFont"/>
    <w:link w:val="CommentText"/>
    <w:uiPriority w:val="99"/>
    <w:semiHidden/>
    <w:rsid w:val="000A3130"/>
    <w:rPr>
      <w:rFonts w:cs="B Lotus"/>
    </w:rPr>
  </w:style>
  <w:style w:type="paragraph" w:styleId="CommentSubject">
    <w:name w:val="annotation subject"/>
    <w:basedOn w:val="CommentText"/>
    <w:next w:val="CommentText"/>
    <w:link w:val="CommentSubjectChar"/>
    <w:uiPriority w:val="99"/>
    <w:semiHidden/>
    <w:unhideWhenUsed/>
    <w:rsid w:val="000A3130"/>
    <w:rPr>
      <w:b/>
      <w:bCs/>
    </w:rPr>
  </w:style>
  <w:style w:type="character" w:customStyle="1" w:styleId="CommentSubjectChar">
    <w:name w:val="Comment Subject Char"/>
    <w:basedOn w:val="CommentTextChar"/>
    <w:link w:val="CommentSubject"/>
    <w:uiPriority w:val="99"/>
    <w:semiHidden/>
    <w:rsid w:val="000A3130"/>
    <w:rPr>
      <w:rFonts w:cs="B Lotu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5/188/&#1740;&#1705;&#1585;&#1607;" TargetMode="External"/><Relationship Id="rId13" Type="http://schemas.openxmlformats.org/officeDocument/2006/relationships/hyperlink" Target="http://lib.eshia.ir/11005/4/85/&#1575;&#1604;&#1601;&#1591;&#1585;" TargetMode="External"/><Relationship Id="rId18" Type="http://schemas.openxmlformats.org/officeDocument/2006/relationships/hyperlink" Target="http://lib.eshia.ir/15139/1/333/&#1605;&#1606;&#1607;&#1740;" TargetMode="External"/><Relationship Id="rId3" Type="http://schemas.openxmlformats.org/officeDocument/2006/relationships/hyperlink" Target="http://lib.eshia.ir/11025/3/508/&#1705;&#1585;&#1607;" TargetMode="External"/><Relationship Id="rId21" Type="http://schemas.openxmlformats.org/officeDocument/2006/relationships/hyperlink" Target="http://lib.eshia.ir/11005/1/330/&#1593;&#1606;&#1583;&#1740;" TargetMode="External"/><Relationship Id="rId7" Type="http://schemas.openxmlformats.org/officeDocument/2006/relationships/hyperlink" Target="http://lib.eshia.ir/13072/2/568/&#1575;&#1604;&#1601;&#1602;&#1607;&#1575;&#1569;" TargetMode="External"/><Relationship Id="rId12" Type="http://schemas.openxmlformats.org/officeDocument/2006/relationships/hyperlink" Target="http://lib.eshia.ir/11005/3/217/&#1605;&#1575;&#1585;&#1583;" TargetMode="External"/><Relationship Id="rId17" Type="http://schemas.openxmlformats.org/officeDocument/2006/relationships/hyperlink" Target="http://lib.eshia.ir/15139/1/201/&#1581;&#1587;&#1575;&#1576;" TargetMode="External"/><Relationship Id="rId2" Type="http://schemas.openxmlformats.org/officeDocument/2006/relationships/hyperlink" Target="http://lib.eshia.ir/71401/1/340/&#1587;&#1576;&#1581;&#1575;&#1606;&#1607;" TargetMode="External"/><Relationship Id="rId16" Type="http://schemas.openxmlformats.org/officeDocument/2006/relationships/hyperlink" Target="http://lib.eshia.ir/11025/15/45/&#1575;&#1604;&#1602;&#1578;&#1575;&#1604;" TargetMode="External"/><Relationship Id="rId20" Type="http://schemas.openxmlformats.org/officeDocument/2006/relationships/hyperlink" Target="http://lib.eshia.ir/11005/6/419/&#1593;&#1589;&#1740;&#1585;" TargetMode="External"/><Relationship Id="rId1" Type="http://schemas.openxmlformats.org/officeDocument/2006/relationships/hyperlink" Target="http://lib.eshia.ir/11005/4/276/&#1580;&#1593;&#1604;" TargetMode="External"/><Relationship Id="rId6" Type="http://schemas.openxmlformats.org/officeDocument/2006/relationships/hyperlink" Target="http://lib.eshia.ir/10083/9/6/&#1575;&#1602;&#1585;&#1571;" TargetMode="External"/><Relationship Id="rId11" Type="http://schemas.openxmlformats.org/officeDocument/2006/relationships/hyperlink" Target="http://lib.eshia.ir/11005/1/68/&#1579;&#1604;&#1575;&#1579;&#1577;" TargetMode="External"/><Relationship Id="rId5" Type="http://schemas.openxmlformats.org/officeDocument/2006/relationships/hyperlink" Target="http://lib.eshia.ir/10083/9/42/&#1575;&#1604;&#1591;&#1740;&#1585;" TargetMode="External"/><Relationship Id="rId15" Type="http://schemas.openxmlformats.org/officeDocument/2006/relationships/hyperlink" Target="http://lib.eshia.ir/11025/14/529/&#1591;&#1740;&#1606;" TargetMode="External"/><Relationship Id="rId10" Type="http://schemas.openxmlformats.org/officeDocument/2006/relationships/hyperlink" Target="http://lib.eshia.ir/11025/24/112/&#1575;&#1604;&#1571;&#1585;&#1606;&#1576;" TargetMode="External"/><Relationship Id="rId19" Type="http://schemas.openxmlformats.org/officeDocument/2006/relationships/hyperlink" Target="http://lib.eshia.ir/11025/24/116/&#1587;&#1605;&#1705;" TargetMode="External"/><Relationship Id="rId4" Type="http://schemas.openxmlformats.org/officeDocument/2006/relationships/hyperlink" Target="http://lib.eshia.ir/11005/6/267/&#1606;&#1607;&#1740;" TargetMode="External"/><Relationship Id="rId9" Type="http://schemas.openxmlformats.org/officeDocument/2006/relationships/hyperlink" Target="http://lib.eshia.ir/41749/10/196/&#1587;&#1614;&#1605;&#1616;&#1593;&#1618;&#1578;&#1615;" TargetMode="External"/><Relationship Id="rId14" Type="http://schemas.openxmlformats.org/officeDocument/2006/relationships/hyperlink" Target="http://lib.eshia.ir/11005/4/231/&#1740;&#1606;&#1576;&#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C7A0E-0082-48E1-B632-06E42B5F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243</TotalTime>
  <Pages>10</Pages>
  <Words>3024</Words>
  <Characters>17240</Characters>
  <Application>Microsoft Office Word</Application>
  <DocSecurity>0</DocSecurity>
  <Lines>143</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20224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5</cp:revision>
  <dcterms:created xsi:type="dcterms:W3CDTF">2018-03-28T05:49:00Z</dcterms:created>
  <dcterms:modified xsi:type="dcterms:W3CDTF">2018-03-28T10:26:00Z</dcterms:modified>
  <cp:contentStatus>ویرایش 2.5</cp:contentStatus>
  <cp:version>2.7</cp:version>
</cp:coreProperties>
</file>