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B7372B">
      <w:pPr>
        <w:jc w:val="center"/>
        <w:rPr>
          <w:rtl/>
        </w:rPr>
      </w:pPr>
      <w:bookmarkStart w:id="0" w:name="_GoBack"/>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bookmarkEnd w:id="0"/>
    </w:p>
    <w:p w:rsidR="00B7372B" w:rsidRPr="00B7372B" w:rsidRDefault="00B7372B" w:rsidP="00B7372B">
      <w:pPr>
        <w:pStyle w:val="TOC2"/>
        <w:tabs>
          <w:tab w:val="right" w:leader="dot" w:pos="10194"/>
        </w:tabs>
        <w:rPr>
          <w:rFonts w:asciiTheme="minorHAnsi" w:eastAsiaTheme="minorEastAsia" w:hAnsiTheme="minorHAnsi" w:cstheme="minorBidi"/>
          <w:bCs w:val="0"/>
          <w:noProof/>
          <w:color w:val="auto"/>
          <w:szCs w:val="22"/>
          <w:rtl/>
        </w:rPr>
      </w:pPr>
      <w:r>
        <w:rPr>
          <w:noProof/>
          <w:webHidden/>
          <w:szCs w:val="24"/>
          <w:rtl/>
        </w:rPr>
        <w:fldChar w:fldCharType="begin"/>
      </w:r>
      <w:r>
        <w:rPr>
          <w:noProof/>
          <w:webHidden/>
          <w:szCs w:val="24"/>
          <w:rtl/>
        </w:rPr>
        <w:instrText xml:space="preserve"> </w:instrText>
      </w:r>
      <w:r>
        <w:rPr>
          <w:noProof/>
          <w:webHidden/>
          <w:szCs w:val="24"/>
        </w:rPr>
        <w:instrText>TOC</w:instrText>
      </w:r>
      <w:r>
        <w:rPr>
          <w:noProof/>
          <w:webHidden/>
          <w:szCs w:val="24"/>
          <w:rtl/>
        </w:rPr>
        <w:instrText xml:space="preserve"> \</w:instrText>
      </w:r>
      <w:r>
        <w:rPr>
          <w:noProof/>
          <w:webHidden/>
          <w:szCs w:val="24"/>
        </w:rPr>
        <w:instrText>o "1-9" \h \z \u</w:instrText>
      </w:r>
      <w:r>
        <w:rPr>
          <w:noProof/>
          <w:webHidden/>
          <w:szCs w:val="24"/>
          <w:rtl/>
        </w:rPr>
        <w:instrText xml:space="preserve"> </w:instrText>
      </w:r>
      <w:r>
        <w:rPr>
          <w:noProof/>
          <w:webHidden/>
          <w:szCs w:val="24"/>
          <w:rtl/>
        </w:rPr>
        <w:fldChar w:fldCharType="separate"/>
      </w:r>
      <w:hyperlink w:anchor="_Toc36368704" w:history="1">
        <w:r w:rsidRPr="00B7372B">
          <w:rPr>
            <w:rStyle w:val="Hyperlink"/>
            <w:noProof/>
            <w:rtl/>
          </w:rPr>
          <w:t>ب: بررس</w:t>
        </w:r>
        <w:r w:rsidRPr="00B7372B">
          <w:rPr>
            <w:rStyle w:val="Hyperlink"/>
            <w:rFonts w:hint="cs"/>
            <w:noProof/>
            <w:rtl/>
          </w:rPr>
          <w:t>ی</w:t>
        </w:r>
        <w:r w:rsidRPr="00B7372B">
          <w:rPr>
            <w:rStyle w:val="Hyperlink"/>
            <w:noProof/>
            <w:rtl/>
          </w:rPr>
          <w:t xml:space="preserve"> معنا</w:t>
        </w:r>
        <w:r w:rsidRPr="00B7372B">
          <w:rPr>
            <w:rStyle w:val="Hyperlink"/>
            <w:rFonts w:hint="cs"/>
            <w:noProof/>
            <w:rtl/>
          </w:rPr>
          <w:t>ی</w:t>
        </w:r>
        <w:r w:rsidRPr="00B7372B">
          <w:rPr>
            <w:rStyle w:val="Hyperlink"/>
            <w:noProof/>
            <w:rtl/>
          </w:rPr>
          <w:t xml:space="preserve"> دق</w:t>
        </w:r>
        <w:r w:rsidRPr="00B7372B">
          <w:rPr>
            <w:rStyle w:val="Hyperlink"/>
            <w:rFonts w:hint="cs"/>
            <w:noProof/>
            <w:rtl/>
          </w:rPr>
          <w:t>ی</w:t>
        </w:r>
        <w:r w:rsidRPr="00B7372B">
          <w:rPr>
            <w:rStyle w:val="Hyperlink"/>
            <w:rFonts w:hint="eastAsia"/>
            <w:noProof/>
            <w:rtl/>
          </w:rPr>
          <w:t>ق</w:t>
        </w:r>
        <w:r w:rsidRPr="00B7372B">
          <w:rPr>
            <w:rStyle w:val="Hyperlink"/>
            <w:noProof/>
            <w:rtl/>
          </w:rPr>
          <w:t xml:space="preserve"> ماده أمر در صورت به کار رفتن در طلب فعل</w:t>
        </w:r>
        <w:r w:rsidRPr="00B7372B">
          <w:rPr>
            <w:noProof/>
            <w:webHidden/>
            <w:rtl/>
          </w:rPr>
          <w:tab/>
        </w:r>
        <w:r w:rsidRPr="00B7372B">
          <w:rPr>
            <w:rStyle w:val="Hyperlink"/>
            <w:noProof/>
            <w:rtl/>
          </w:rPr>
          <w:fldChar w:fldCharType="begin"/>
        </w:r>
        <w:r w:rsidRPr="00B7372B">
          <w:rPr>
            <w:noProof/>
            <w:webHidden/>
            <w:rtl/>
          </w:rPr>
          <w:instrText xml:space="preserve"> </w:instrText>
        </w:r>
        <w:r w:rsidRPr="00B7372B">
          <w:rPr>
            <w:noProof/>
            <w:webHidden/>
          </w:rPr>
          <w:instrText>PAGEREF</w:instrText>
        </w:r>
        <w:r w:rsidRPr="00B7372B">
          <w:rPr>
            <w:noProof/>
            <w:webHidden/>
            <w:rtl/>
          </w:rPr>
          <w:instrText xml:space="preserve"> _</w:instrText>
        </w:r>
        <w:r w:rsidRPr="00B7372B">
          <w:rPr>
            <w:noProof/>
            <w:webHidden/>
          </w:rPr>
          <w:instrText>Toc36368704 \h</w:instrText>
        </w:r>
        <w:r w:rsidRPr="00B7372B">
          <w:rPr>
            <w:noProof/>
            <w:webHidden/>
            <w:rtl/>
          </w:rPr>
          <w:instrText xml:space="preserve"> </w:instrText>
        </w:r>
        <w:r w:rsidRPr="00B7372B">
          <w:rPr>
            <w:rStyle w:val="Hyperlink"/>
            <w:noProof/>
            <w:rtl/>
          </w:rPr>
        </w:r>
        <w:r w:rsidRPr="00B7372B">
          <w:rPr>
            <w:rStyle w:val="Hyperlink"/>
            <w:noProof/>
            <w:rtl/>
          </w:rPr>
          <w:fldChar w:fldCharType="separate"/>
        </w:r>
        <w:r w:rsidR="00131654">
          <w:rPr>
            <w:noProof/>
            <w:webHidden/>
            <w:rtl/>
          </w:rPr>
          <w:t>1</w:t>
        </w:r>
        <w:r w:rsidRPr="00B7372B">
          <w:rPr>
            <w:rStyle w:val="Hyperlink"/>
            <w:noProof/>
            <w:rtl/>
          </w:rPr>
          <w:fldChar w:fldCharType="end"/>
        </w:r>
      </w:hyperlink>
    </w:p>
    <w:p w:rsidR="00B7372B" w:rsidRPr="00B7372B" w:rsidRDefault="00B7372B" w:rsidP="00B7372B">
      <w:pPr>
        <w:pStyle w:val="TOC2"/>
        <w:tabs>
          <w:tab w:val="right" w:leader="dot" w:pos="10194"/>
        </w:tabs>
        <w:rPr>
          <w:rFonts w:asciiTheme="minorHAnsi" w:eastAsiaTheme="minorEastAsia" w:hAnsiTheme="minorHAnsi" w:cstheme="minorBidi"/>
          <w:bCs w:val="0"/>
          <w:noProof/>
          <w:color w:val="auto"/>
          <w:szCs w:val="22"/>
          <w:rtl/>
        </w:rPr>
      </w:pPr>
      <w:hyperlink w:anchor="_Toc36368705" w:history="1">
        <w:r w:rsidRPr="00B7372B">
          <w:rPr>
            <w:rStyle w:val="Hyperlink"/>
            <w:noProof/>
            <w:rtl/>
          </w:rPr>
          <w:t>د: تحر</w:t>
        </w:r>
        <w:r w:rsidRPr="00B7372B">
          <w:rPr>
            <w:rStyle w:val="Hyperlink"/>
            <w:rFonts w:hint="cs"/>
            <w:noProof/>
            <w:rtl/>
          </w:rPr>
          <w:t>ی</w:t>
        </w:r>
        <w:r w:rsidRPr="00B7372B">
          <w:rPr>
            <w:rStyle w:val="Hyperlink"/>
            <w:rFonts w:hint="eastAsia"/>
            <w:noProof/>
            <w:rtl/>
          </w:rPr>
          <w:t>ک</w:t>
        </w:r>
        <w:r w:rsidRPr="00B7372B">
          <w:rPr>
            <w:rStyle w:val="Hyperlink"/>
            <w:noProof/>
            <w:rtl/>
          </w:rPr>
          <w:t xml:space="preserve"> به سمت فعل</w:t>
        </w:r>
        <w:r w:rsidRPr="00B7372B">
          <w:rPr>
            <w:noProof/>
            <w:webHidden/>
            <w:rtl/>
          </w:rPr>
          <w:tab/>
        </w:r>
        <w:r w:rsidRPr="00B7372B">
          <w:rPr>
            <w:rStyle w:val="Hyperlink"/>
            <w:noProof/>
            <w:rtl/>
          </w:rPr>
          <w:fldChar w:fldCharType="begin"/>
        </w:r>
        <w:r w:rsidRPr="00B7372B">
          <w:rPr>
            <w:noProof/>
            <w:webHidden/>
            <w:rtl/>
          </w:rPr>
          <w:instrText xml:space="preserve"> </w:instrText>
        </w:r>
        <w:r w:rsidRPr="00B7372B">
          <w:rPr>
            <w:noProof/>
            <w:webHidden/>
          </w:rPr>
          <w:instrText>PAGEREF</w:instrText>
        </w:r>
        <w:r w:rsidRPr="00B7372B">
          <w:rPr>
            <w:noProof/>
            <w:webHidden/>
            <w:rtl/>
          </w:rPr>
          <w:instrText xml:space="preserve"> _</w:instrText>
        </w:r>
        <w:r w:rsidRPr="00B7372B">
          <w:rPr>
            <w:noProof/>
            <w:webHidden/>
          </w:rPr>
          <w:instrText>Toc36368705 \h</w:instrText>
        </w:r>
        <w:r w:rsidRPr="00B7372B">
          <w:rPr>
            <w:noProof/>
            <w:webHidden/>
            <w:rtl/>
          </w:rPr>
          <w:instrText xml:space="preserve"> </w:instrText>
        </w:r>
        <w:r w:rsidRPr="00B7372B">
          <w:rPr>
            <w:rStyle w:val="Hyperlink"/>
            <w:noProof/>
            <w:rtl/>
          </w:rPr>
        </w:r>
        <w:r w:rsidRPr="00B7372B">
          <w:rPr>
            <w:rStyle w:val="Hyperlink"/>
            <w:noProof/>
            <w:rtl/>
          </w:rPr>
          <w:fldChar w:fldCharType="separate"/>
        </w:r>
        <w:r w:rsidR="00131654">
          <w:rPr>
            <w:noProof/>
            <w:webHidden/>
            <w:rtl/>
          </w:rPr>
          <w:t>1</w:t>
        </w:r>
        <w:r w:rsidRPr="00B7372B">
          <w:rPr>
            <w:rStyle w:val="Hyperlink"/>
            <w:noProof/>
            <w:rtl/>
          </w:rPr>
          <w:fldChar w:fldCharType="end"/>
        </w:r>
      </w:hyperlink>
    </w:p>
    <w:p w:rsidR="00B7372B" w:rsidRPr="00B7372B" w:rsidRDefault="00B7372B" w:rsidP="00B7372B">
      <w:pPr>
        <w:pStyle w:val="TOC3"/>
        <w:tabs>
          <w:tab w:val="right" w:leader="dot" w:pos="10194"/>
        </w:tabs>
        <w:rPr>
          <w:rFonts w:asciiTheme="minorHAnsi" w:eastAsiaTheme="minorEastAsia" w:hAnsiTheme="minorHAnsi" w:cstheme="minorBidi"/>
          <w:bCs w:val="0"/>
          <w:iCs w:val="0"/>
          <w:noProof/>
          <w:color w:val="auto"/>
          <w:szCs w:val="22"/>
          <w:rtl/>
        </w:rPr>
      </w:pPr>
      <w:hyperlink w:anchor="_Toc36368706" w:history="1">
        <w:r w:rsidRPr="00B7372B">
          <w:rPr>
            <w:rStyle w:val="Hyperlink"/>
            <w:iCs w:val="0"/>
            <w:noProof/>
            <w:rtl/>
          </w:rPr>
          <w:t>مناقشه</w:t>
        </w:r>
        <w:r w:rsidRPr="00B7372B">
          <w:rPr>
            <w:iCs w:val="0"/>
            <w:noProof/>
            <w:webHidden/>
            <w:rtl/>
          </w:rPr>
          <w:tab/>
        </w:r>
        <w:r w:rsidRPr="00B7372B">
          <w:rPr>
            <w:rStyle w:val="Hyperlink"/>
            <w:iCs w:val="0"/>
            <w:noProof/>
            <w:rtl/>
          </w:rPr>
          <w:fldChar w:fldCharType="begin"/>
        </w:r>
        <w:r w:rsidRPr="00B7372B">
          <w:rPr>
            <w:iCs w:val="0"/>
            <w:noProof/>
            <w:webHidden/>
            <w:rtl/>
          </w:rPr>
          <w:instrText xml:space="preserve"> </w:instrText>
        </w:r>
        <w:r w:rsidRPr="00B7372B">
          <w:rPr>
            <w:iCs w:val="0"/>
            <w:noProof/>
            <w:webHidden/>
          </w:rPr>
          <w:instrText>PAGEREF</w:instrText>
        </w:r>
        <w:r w:rsidRPr="00B7372B">
          <w:rPr>
            <w:iCs w:val="0"/>
            <w:noProof/>
            <w:webHidden/>
            <w:rtl/>
          </w:rPr>
          <w:instrText xml:space="preserve"> _</w:instrText>
        </w:r>
        <w:r w:rsidRPr="00B7372B">
          <w:rPr>
            <w:iCs w:val="0"/>
            <w:noProof/>
            <w:webHidden/>
          </w:rPr>
          <w:instrText>Toc36368706 \h</w:instrText>
        </w:r>
        <w:r w:rsidRPr="00B7372B">
          <w:rPr>
            <w:iCs w:val="0"/>
            <w:noProof/>
            <w:webHidden/>
            <w:rtl/>
          </w:rPr>
          <w:instrText xml:space="preserve"> </w:instrText>
        </w:r>
        <w:r w:rsidRPr="00B7372B">
          <w:rPr>
            <w:rStyle w:val="Hyperlink"/>
            <w:iCs w:val="0"/>
            <w:noProof/>
            <w:rtl/>
          </w:rPr>
        </w:r>
        <w:r w:rsidRPr="00B7372B">
          <w:rPr>
            <w:rStyle w:val="Hyperlink"/>
            <w:iCs w:val="0"/>
            <w:noProof/>
            <w:rtl/>
          </w:rPr>
          <w:fldChar w:fldCharType="separate"/>
        </w:r>
        <w:r w:rsidR="00131654">
          <w:rPr>
            <w:iCs w:val="0"/>
            <w:noProof/>
            <w:webHidden/>
            <w:rtl/>
          </w:rPr>
          <w:t>2</w:t>
        </w:r>
        <w:r w:rsidRPr="00B7372B">
          <w:rPr>
            <w:rStyle w:val="Hyperlink"/>
            <w:iCs w:val="0"/>
            <w:noProof/>
            <w:rtl/>
          </w:rPr>
          <w:fldChar w:fldCharType="end"/>
        </w:r>
      </w:hyperlink>
    </w:p>
    <w:p w:rsidR="00B7372B" w:rsidRPr="00B7372B" w:rsidRDefault="00B7372B" w:rsidP="00B7372B">
      <w:pPr>
        <w:pStyle w:val="TOC2"/>
        <w:tabs>
          <w:tab w:val="right" w:leader="dot" w:pos="10194"/>
        </w:tabs>
        <w:rPr>
          <w:rFonts w:asciiTheme="minorHAnsi" w:eastAsiaTheme="minorEastAsia" w:hAnsiTheme="minorHAnsi" w:cstheme="minorBidi"/>
          <w:bCs w:val="0"/>
          <w:noProof/>
          <w:color w:val="auto"/>
          <w:szCs w:val="22"/>
          <w:rtl/>
        </w:rPr>
      </w:pPr>
      <w:hyperlink w:anchor="_Toc36368707" w:history="1">
        <w:r w:rsidRPr="00B7372B">
          <w:rPr>
            <w:rStyle w:val="Hyperlink"/>
            <w:noProof/>
            <w:rtl/>
          </w:rPr>
          <w:t>ه: انشا</w:t>
        </w:r>
        <w:r w:rsidRPr="00B7372B">
          <w:rPr>
            <w:rStyle w:val="Hyperlink"/>
            <w:rFonts w:hint="cs"/>
            <w:noProof/>
            <w:rtl/>
          </w:rPr>
          <w:t>ی</w:t>
        </w:r>
        <w:r w:rsidRPr="00B7372B">
          <w:rPr>
            <w:rStyle w:val="Hyperlink"/>
            <w:noProof/>
            <w:rtl/>
          </w:rPr>
          <w:t xml:space="preserve"> بعث و تحر</w:t>
        </w:r>
        <w:r w:rsidRPr="00B7372B">
          <w:rPr>
            <w:rStyle w:val="Hyperlink"/>
            <w:rFonts w:hint="cs"/>
            <w:noProof/>
            <w:rtl/>
          </w:rPr>
          <w:t>ی</w:t>
        </w:r>
        <w:r w:rsidRPr="00B7372B">
          <w:rPr>
            <w:rStyle w:val="Hyperlink"/>
            <w:rFonts w:hint="eastAsia"/>
            <w:noProof/>
            <w:rtl/>
          </w:rPr>
          <w:t>ک</w:t>
        </w:r>
        <w:r w:rsidRPr="00B7372B">
          <w:rPr>
            <w:rStyle w:val="Hyperlink"/>
            <w:noProof/>
            <w:rtl/>
          </w:rPr>
          <w:t xml:space="preserve"> به سمت فعل</w:t>
        </w:r>
        <w:r w:rsidRPr="00B7372B">
          <w:rPr>
            <w:noProof/>
            <w:webHidden/>
            <w:rtl/>
          </w:rPr>
          <w:tab/>
        </w:r>
        <w:r w:rsidRPr="00B7372B">
          <w:rPr>
            <w:rStyle w:val="Hyperlink"/>
            <w:noProof/>
            <w:rtl/>
          </w:rPr>
          <w:fldChar w:fldCharType="begin"/>
        </w:r>
        <w:r w:rsidRPr="00B7372B">
          <w:rPr>
            <w:noProof/>
            <w:webHidden/>
            <w:rtl/>
          </w:rPr>
          <w:instrText xml:space="preserve"> </w:instrText>
        </w:r>
        <w:r w:rsidRPr="00B7372B">
          <w:rPr>
            <w:noProof/>
            <w:webHidden/>
          </w:rPr>
          <w:instrText>PAGEREF</w:instrText>
        </w:r>
        <w:r w:rsidRPr="00B7372B">
          <w:rPr>
            <w:noProof/>
            <w:webHidden/>
            <w:rtl/>
          </w:rPr>
          <w:instrText xml:space="preserve"> _</w:instrText>
        </w:r>
        <w:r w:rsidRPr="00B7372B">
          <w:rPr>
            <w:noProof/>
            <w:webHidden/>
          </w:rPr>
          <w:instrText>Toc36368707 \h</w:instrText>
        </w:r>
        <w:r w:rsidRPr="00B7372B">
          <w:rPr>
            <w:noProof/>
            <w:webHidden/>
            <w:rtl/>
          </w:rPr>
          <w:instrText xml:space="preserve"> </w:instrText>
        </w:r>
        <w:r w:rsidRPr="00B7372B">
          <w:rPr>
            <w:rStyle w:val="Hyperlink"/>
            <w:noProof/>
            <w:rtl/>
          </w:rPr>
        </w:r>
        <w:r w:rsidRPr="00B7372B">
          <w:rPr>
            <w:rStyle w:val="Hyperlink"/>
            <w:noProof/>
            <w:rtl/>
          </w:rPr>
          <w:fldChar w:fldCharType="separate"/>
        </w:r>
        <w:r w:rsidR="00131654">
          <w:rPr>
            <w:noProof/>
            <w:webHidden/>
            <w:rtl/>
          </w:rPr>
          <w:t>2</w:t>
        </w:r>
        <w:r w:rsidRPr="00B7372B">
          <w:rPr>
            <w:rStyle w:val="Hyperlink"/>
            <w:noProof/>
            <w:rtl/>
          </w:rPr>
          <w:fldChar w:fldCharType="end"/>
        </w:r>
      </w:hyperlink>
    </w:p>
    <w:p w:rsidR="00B7372B" w:rsidRPr="00B7372B" w:rsidRDefault="00B7372B" w:rsidP="00B7372B">
      <w:pPr>
        <w:pStyle w:val="TOC1"/>
        <w:rPr>
          <w:rFonts w:asciiTheme="minorHAnsi" w:eastAsiaTheme="minorEastAsia" w:hAnsiTheme="minorHAnsi" w:cstheme="minorBidi"/>
          <w:noProof/>
          <w:color w:val="auto"/>
          <w:szCs w:val="22"/>
          <w:rtl/>
        </w:rPr>
      </w:pPr>
      <w:hyperlink w:anchor="_Toc36368708" w:history="1">
        <w:r w:rsidRPr="00B7372B">
          <w:rPr>
            <w:rStyle w:val="Hyperlink"/>
            <w:noProof/>
            <w:rtl/>
          </w:rPr>
          <w:t>ج: بررس</w:t>
        </w:r>
        <w:r w:rsidRPr="00B7372B">
          <w:rPr>
            <w:rStyle w:val="Hyperlink"/>
            <w:rFonts w:hint="cs"/>
            <w:noProof/>
            <w:rtl/>
          </w:rPr>
          <w:t>ی</w:t>
        </w:r>
        <w:r w:rsidRPr="00B7372B">
          <w:rPr>
            <w:rStyle w:val="Hyperlink"/>
            <w:noProof/>
            <w:rtl/>
          </w:rPr>
          <w:t xml:space="preserve"> اعتبار علو و استعلاء</w:t>
        </w:r>
        <w:r w:rsidRPr="00B7372B">
          <w:rPr>
            <w:noProof/>
            <w:webHidden/>
            <w:rtl/>
          </w:rPr>
          <w:tab/>
        </w:r>
        <w:r w:rsidRPr="00B7372B">
          <w:rPr>
            <w:rStyle w:val="Hyperlink"/>
            <w:noProof/>
            <w:rtl/>
          </w:rPr>
          <w:fldChar w:fldCharType="begin"/>
        </w:r>
        <w:r w:rsidRPr="00B7372B">
          <w:rPr>
            <w:noProof/>
            <w:webHidden/>
            <w:rtl/>
          </w:rPr>
          <w:instrText xml:space="preserve"> </w:instrText>
        </w:r>
        <w:r w:rsidRPr="00B7372B">
          <w:rPr>
            <w:noProof/>
            <w:webHidden/>
          </w:rPr>
          <w:instrText>PAGEREF</w:instrText>
        </w:r>
        <w:r w:rsidRPr="00B7372B">
          <w:rPr>
            <w:noProof/>
            <w:webHidden/>
            <w:rtl/>
          </w:rPr>
          <w:instrText xml:space="preserve"> _</w:instrText>
        </w:r>
        <w:r w:rsidRPr="00B7372B">
          <w:rPr>
            <w:noProof/>
            <w:webHidden/>
          </w:rPr>
          <w:instrText>Toc36368708 \h</w:instrText>
        </w:r>
        <w:r w:rsidRPr="00B7372B">
          <w:rPr>
            <w:noProof/>
            <w:webHidden/>
            <w:rtl/>
          </w:rPr>
          <w:instrText xml:space="preserve"> </w:instrText>
        </w:r>
        <w:r w:rsidRPr="00B7372B">
          <w:rPr>
            <w:rStyle w:val="Hyperlink"/>
            <w:noProof/>
            <w:rtl/>
          </w:rPr>
        </w:r>
        <w:r w:rsidRPr="00B7372B">
          <w:rPr>
            <w:rStyle w:val="Hyperlink"/>
            <w:noProof/>
            <w:rtl/>
          </w:rPr>
          <w:fldChar w:fldCharType="separate"/>
        </w:r>
        <w:r w:rsidR="00131654">
          <w:rPr>
            <w:noProof/>
            <w:webHidden/>
            <w:rtl/>
          </w:rPr>
          <w:t>2</w:t>
        </w:r>
        <w:r w:rsidRPr="00B7372B">
          <w:rPr>
            <w:rStyle w:val="Hyperlink"/>
            <w:noProof/>
            <w:rtl/>
          </w:rPr>
          <w:fldChar w:fldCharType="end"/>
        </w:r>
      </w:hyperlink>
    </w:p>
    <w:p w:rsidR="00B7372B" w:rsidRPr="00B7372B" w:rsidRDefault="00B7372B" w:rsidP="00B7372B">
      <w:pPr>
        <w:pStyle w:val="TOC2"/>
        <w:tabs>
          <w:tab w:val="right" w:leader="dot" w:pos="10194"/>
        </w:tabs>
        <w:rPr>
          <w:rFonts w:asciiTheme="minorHAnsi" w:eastAsiaTheme="minorEastAsia" w:hAnsiTheme="minorHAnsi" w:cstheme="minorBidi"/>
          <w:bCs w:val="0"/>
          <w:noProof/>
          <w:color w:val="auto"/>
          <w:szCs w:val="22"/>
          <w:rtl/>
        </w:rPr>
      </w:pPr>
      <w:hyperlink w:anchor="_Toc36368709" w:history="1">
        <w:r w:rsidRPr="00B7372B">
          <w:rPr>
            <w:rStyle w:val="Hyperlink"/>
            <w:noProof/>
            <w:rtl/>
          </w:rPr>
          <w:t>معنا</w:t>
        </w:r>
        <w:r w:rsidRPr="00B7372B">
          <w:rPr>
            <w:rStyle w:val="Hyperlink"/>
            <w:rFonts w:hint="cs"/>
            <w:noProof/>
            <w:rtl/>
          </w:rPr>
          <w:t>ی</w:t>
        </w:r>
        <w:r w:rsidRPr="00B7372B">
          <w:rPr>
            <w:rStyle w:val="Hyperlink"/>
            <w:noProof/>
            <w:rtl/>
          </w:rPr>
          <w:t xml:space="preserve"> علو و استعلاء</w:t>
        </w:r>
        <w:r w:rsidRPr="00B7372B">
          <w:rPr>
            <w:noProof/>
            <w:webHidden/>
            <w:rtl/>
          </w:rPr>
          <w:tab/>
        </w:r>
        <w:r w:rsidRPr="00B7372B">
          <w:rPr>
            <w:rStyle w:val="Hyperlink"/>
            <w:noProof/>
            <w:rtl/>
          </w:rPr>
          <w:fldChar w:fldCharType="begin"/>
        </w:r>
        <w:r w:rsidRPr="00B7372B">
          <w:rPr>
            <w:noProof/>
            <w:webHidden/>
            <w:rtl/>
          </w:rPr>
          <w:instrText xml:space="preserve"> </w:instrText>
        </w:r>
        <w:r w:rsidRPr="00B7372B">
          <w:rPr>
            <w:noProof/>
            <w:webHidden/>
          </w:rPr>
          <w:instrText>PAGEREF</w:instrText>
        </w:r>
        <w:r w:rsidRPr="00B7372B">
          <w:rPr>
            <w:noProof/>
            <w:webHidden/>
            <w:rtl/>
          </w:rPr>
          <w:instrText xml:space="preserve"> _</w:instrText>
        </w:r>
        <w:r w:rsidRPr="00B7372B">
          <w:rPr>
            <w:noProof/>
            <w:webHidden/>
          </w:rPr>
          <w:instrText>Toc36368709 \h</w:instrText>
        </w:r>
        <w:r w:rsidRPr="00B7372B">
          <w:rPr>
            <w:noProof/>
            <w:webHidden/>
            <w:rtl/>
          </w:rPr>
          <w:instrText xml:space="preserve"> </w:instrText>
        </w:r>
        <w:r w:rsidRPr="00B7372B">
          <w:rPr>
            <w:rStyle w:val="Hyperlink"/>
            <w:noProof/>
            <w:rtl/>
          </w:rPr>
        </w:r>
        <w:r w:rsidRPr="00B7372B">
          <w:rPr>
            <w:rStyle w:val="Hyperlink"/>
            <w:noProof/>
            <w:rtl/>
          </w:rPr>
          <w:fldChar w:fldCharType="separate"/>
        </w:r>
        <w:r w:rsidR="00131654">
          <w:rPr>
            <w:noProof/>
            <w:webHidden/>
            <w:rtl/>
          </w:rPr>
          <w:t>3</w:t>
        </w:r>
        <w:r w:rsidRPr="00B7372B">
          <w:rPr>
            <w:rStyle w:val="Hyperlink"/>
            <w:noProof/>
            <w:rtl/>
          </w:rPr>
          <w:fldChar w:fldCharType="end"/>
        </w:r>
      </w:hyperlink>
    </w:p>
    <w:p w:rsidR="00B7372B" w:rsidRPr="00B7372B" w:rsidRDefault="00B7372B" w:rsidP="00B7372B">
      <w:pPr>
        <w:pStyle w:val="TOC2"/>
        <w:tabs>
          <w:tab w:val="right" w:leader="dot" w:pos="10194"/>
        </w:tabs>
        <w:rPr>
          <w:rFonts w:asciiTheme="minorHAnsi" w:eastAsiaTheme="minorEastAsia" w:hAnsiTheme="minorHAnsi" w:cstheme="minorBidi"/>
          <w:bCs w:val="0"/>
          <w:noProof/>
          <w:color w:val="auto"/>
          <w:szCs w:val="22"/>
          <w:rtl/>
        </w:rPr>
      </w:pPr>
      <w:hyperlink w:anchor="_Toc36368710" w:history="1">
        <w:r w:rsidRPr="00B7372B">
          <w:rPr>
            <w:rStyle w:val="Hyperlink"/>
            <w:noProof/>
            <w:rtl/>
          </w:rPr>
          <w:t>ثمره بحث</w:t>
        </w:r>
        <w:r w:rsidRPr="00B7372B">
          <w:rPr>
            <w:noProof/>
            <w:webHidden/>
            <w:rtl/>
          </w:rPr>
          <w:tab/>
        </w:r>
        <w:r w:rsidRPr="00B7372B">
          <w:rPr>
            <w:rStyle w:val="Hyperlink"/>
            <w:noProof/>
            <w:rtl/>
          </w:rPr>
          <w:fldChar w:fldCharType="begin"/>
        </w:r>
        <w:r w:rsidRPr="00B7372B">
          <w:rPr>
            <w:noProof/>
            <w:webHidden/>
            <w:rtl/>
          </w:rPr>
          <w:instrText xml:space="preserve"> </w:instrText>
        </w:r>
        <w:r w:rsidRPr="00B7372B">
          <w:rPr>
            <w:noProof/>
            <w:webHidden/>
          </w:rPr>
          <w:instrText>PAGEREF</w:instrText>
        </w:r>
        <w:r w:rsidRPr="00B7372B">
          <w:rPr>
            <w:noProof/>
            <w:webHidden/>
            <w:rtl/>
          </w:rPr>
          <w:instrText xml:space="preserve"> _</w:instrText>
        </w:r>
        <w:r w:rsidRPr="00B7372B">
          <w:rPr>
            <w:noProof/>
            <w:webHidden/>
          </w:rPr>
          <w:instrText>Toc36368710 \h</w:instrText>
        </w:r>
        <w:r w:rsidRPr="00B7372B">
          <w:rPr>
            <w:noProof/>
            <w:webHidden/>
            <w:rtl/>
          </w:rPr>
          <w:instrText xml:space="preserve"> </w:instrText>
        </w:r>
        <w:r w:rsidRPr="00B7372B">
          <w:rPr>
            <w:rStyle w:val="Hyperlink"/>
            <w:noProof/>
            <w:rtl/>
          </w:rPr>
        </w:r>
        <w:r w:rsidRPr="00B7372B">
          <w:rPr>
            <w:rStyle w:val="Hyperlink"/>
            <w:noProof/>
            <w:rtl/>
          </w:rPr>
          <w:fldChar w:fldCharType="separate"/>
        </w:r>
        <w:r w:rsidR="00131654">
          <w:rPr>
            <w:noProof/>
            <w:webHidden/>
            <w:rtl/>
          </w:rPr>
          <w:t>4</w:t>
        </w:r>
        <w:r w:rsidRPr="00B7372B">
          <w:rPr>
            <w:rStyle w:val="Hyperlink"/>
            <w:noProof/>
            <w:rtl/>
          </w:rPr>
          <w:fldChar w:fldCharType="end"/>
        </w:r>
      </w:hyperlink>
    </w:p>
    <w:p w:rsidR="00B7372B" w:rsidRPr="00B7372B" w:rsidRDefault="00B7372B" w:rsidP="00B7372B">
      <w:pPr>
        <w:pStyle w:val="TOC2"/>
        <w:tabs>
          <w:tab w:val="right" w:leader="dot" w:pos="10194"/>
        </w:tabs>
        <w:rPr>
          <w:rFonts w:asciiTheme="minorHAnsi" w:eastAsiaTheme="minorEastAsia" w:hAnsiTheme="minorHAnsi" w:cstheme="minorBidi"/>
          <w:bCs w:val="0"/>
          <w:noProof/>
          <w:color w:val="auto"/>
          <w:szCs w:val="22"/>
          <w:rtl/>
        </w:rPr>
      </w:pPr>
      <w:hyperlink w:anchor="_Toc36368711" w:history="1">
        <w:r w:rsidRPr="00B7372B">
          <w:rPr>
            <w:rStyle w:val="Hyperlink"/>
            <w:noProof/>
            <w:rtl/>
          </w:rPr>
          <w:t>اقوال در مورد اعتبار علو واستعلاء</w:t>
        </w:r>
        <w:r w:rsidRPr="00B7372B">
          <w:rPr>
            <w:noProof/>
            <w:webHidden/>
            <w:rtl/>
          </w:rPr>
          <w:tab/>
        </w:r>
        <w:r w:rsidRPr="00B7372B">
          <w:rPr>
            <w:rStyle w:val="Hyperlink"/>
            <w:noProof/>
            <w:rtl/>
          </w:rPr>
          <w:fldChar w:fldCharType="begin"/>
        </w:r>
        <w:r w:rsidRPr="00B7372B">
          <w:rPr>
            <w:noProof/>
            <w:webHidden/>
            <w:rtl/>
          </w:rPr>
          <w:instrText xml:space="preserve"> </w:instrText>
        </w:r>
        <w:r w:rsidRPr="00B7372B">
          <w:rPr>
            <w:noProof/>
            <w:webHidden/>
          </w:rPr>
          <w:instrText>PAGEREF</w:instrText>
        </w:r>
        <w:r w:rsidRPr="00B7372B">
          <w:rPr>
            <w:noProof/>
            <w:webHidden/>
            <w:rtl/>
          </w:rPr>
          <w:instrText xml:space="preserve"> _</w:instrText>
        </w:r>
        <w:r w:rsidRPr="00B7372B">
          <w:rPr>
            <w:noProof/>
            <w:webHidden/>
          </w:rPr>
          <w:instrText>Toc36368711 \h</w:instrText>
        </w:r>
        <w:r w:rsidRPr="00B7372B">
          <w:rPr>
            <w:noProof/>
            <w:webHidden/>
            <w:rtl/>
          </w:rPr>
          <w:instrText xml:space="preserve"> </w:instrText>
        </w:r>
        <w:r w:rsidRPr="00B7372B">
          <w:rPr>
            <w:rStyle w:val="Hyperlink"/>
            <w:noProof/>
            <w:rtl/>
          </w:rPr>
        </w:r>
        <w:r w:rsidRPr="00B7372B">
          <w:rPr>
            <w:rStyle w:val="Hyperlink"/>
            <w:noProof/>
            <w:rtl/>
          </w:rPr>
          <w:fldChar w:fldCharType="separate"/>
        </w:r>
        <w:r w:rsidR="00131654">
          <w:rPr>
            <w:noProof/>
            <w:webHidden/>
            <w:rtl/>
          </w:rPr>
          <w:t>4</w:t>
        </w:r>
        <w:r w:rsidRPr="00B7372B">
          <w:rPr>
            <w:rStyle w:val="Hyperlink"/>
            <w:noProof/>
            <w:rtl/>
          </w:rPr>
          <w:fldChar w:fldCharType="end"/>
        </w:r>
      </w:hyperlink>
    </w:p>
    <w:p w:rsidR="00B7372B" w:rsidRPr="00B7372B" w:rsidRDefault="00B7372B" w:rsidP="00B7372B">
      <w:pPr>
        <w:pStyle w:val="TOC3"/>
        <w:tabs>
          <w:tab w:val="right" w:leader="dot" w:pos="10194"/>
        </w:tabs>
        <w:rPr>
          <w:rFonts w:asciiTheme="minorHAnsi" w:eastAsiaTheme="minorEastAsia" w:hAnsiTheme="minorHAnsi" w:cstheme="minorBidi"/>
          <w:bCs w:val="0"/>
          <w:iCs w:val="0"/>
          <w:noProof/>
          <w:color w:val="auto"/>
          <w:szCs w:val="22"/>
          <w:rtl/>
        </w:rPr>
      </w:pPr>
      <w:hyperlink w:anchor="_Toc36368712" w:history="1">
        <w:r w:rsidRPr="00B7372B">
          <w:rPr>
            <w:rStyle w:val="Hyperlink"/>
            <w:iCs w:val="0"/>
            <w:noProof/>
            <w:rtl/>
          </w:rPr>
          <w:t>عدم اعتبار علو و استعلاء در امر (مختار)</w:t>
        </w:r>
        <w:r w:rsidRPr="00B7372B">
          <w:rPr>
            <w:iCs w:val="0"/>
            <w:noProof/>
            <w:webHidden/>
            <w:rtl/>
          </w:rPr>
          <w:tab/>
        </w:r>
        <w:r w:rsidRPr="00B7372B">
          <w:rPr>
            <w:rStyle w:val="Hyperlink"/>
            <w:iCs w:val="0"/>
            <w:noProof/>
            <w:rtl/>
          </w:rPr>
          <w:fldChar w:fldCharType="begin"/>
        </w:r>
        <w:r w:rsidRPr="00B7372B">
          <w:rPr>
            <w:iCs w:val="0"/>
            <w:noProof/>
            <w:webHidden/>
            <w:rtl/>
          </w:rPr>
          <w:instrText xml:space="preserve"> </w:instrText>
        </w:r>
        <w:r w:rsidRPr="00B7372B">
          <w:rPr>
            <w:iCs w:val="0"/>
            <w:noProof/>
            <w:webHidden/>
          </w:rPr>
          <w:instrText>PAGEREF</w:instrText>
        </w:r>
        <w:r w:rsidRPr="00B7372B">
          <w:rPr>
            <w:iCs w:val="0"/>
            <w:noProof/>
            <w:webHidden/>
            <w:rtl/>
          </w:rPr>
          <w:instrText xml:space="preserve"> _</w:instrText>
        </w:r>
        <w:r w:rsidRPr="00B7372B">
          <w:rPr>
            <w:iCs w:val="0"/>
            <w:noProof/>
            <w:webHidden/>
          </w:rPr>
          <w:instrText>Toc36368712 \h</w:instrText>
        </w:r>
        <w:r w:rsidRPr="00B7372B">
          <w:rPr>
            <w:iCs w:val="0"/>
            <w:noProof/>
            <w:webHidden/>
            <w:rtl/>
          </w:rPr>
          <w:instrText xml:space="preserve"> </w:instrText>
        </w:r>
        <w:r w:rsidRPr="00B7372B">
          <w:rPr>
            <w:rStyle w:val="Hyperlink"/>
            <w:iCs w:val="0"/>
            <w:noProof/>
            <w:rtl/>
          </w:rPr>
        </w:r>
        <w:r w:rsidRPr="00B7372B">
          <w:rPr>
            <w:rStyle w:val="Hyperlink"/>
            <w:iCs w:val="0"/>
            <w:noProof/>
            <w:rtl/>
          </w:rPr>
          <w:fldChar w:fldCharType="separate"/>
        </w:r>
        <w:r w:rsidR="00131654">
          <w:rPr>
            <w:iCs w:val="0"/>
            <w:noProof/>
            <w:webHidden/>
            <w:rtl/>
          </w:rPr>
          <w:t>5</w:t>
        </w:r>
        <w:r w:rsidRPr="00B7372B">
          <w:rPr>
            <w:rStyle w:val="Hyperlink"/>
            <w:iCs w:val="0"/>
            <w:noProof/>
            <w:rtl/>
          </w:rPr>
          <w:fldChar w:fldCharType="end"/>
        </w:r>
      </w:hyperlink>
    </w:p>
    <w:p w:rsidR="00C91EB6" w:rsidRPr="00C91EB6" w:rsidRDefault="00B7372B" w:rsidP="00230EE2">
      <w:pPr>
        <w:jc w:val="both"/>
      </w:pPr>
      <w:r>
        <w:rPr>
          <w:rFonts w:cs="B Titr"/>
          <w:noProof/>
          <w:webHidden/>
          <w:color w:val="632423" w:themeColor="accent2" w:themeShade="80"/>
          <w:szCs w:val="24"/>
          <w:rtl/>
        </w:rPr>
        <w:fldChar w:fldCharType="end"/>
      </w:r>
    </w:p>
    <w:p w:rsidR="00F343FB" w:rsidRPr="00A6366F" w:rsidRDefault="00F842AD" w:rsidP="00230EE2">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B93A69" w:rsidRPr="00B93A69">
        <w:rPr>
          <w:rtl/>
        </w:rPr>
        <w:t>بررس</w:t>
      </w:r>
      <w:r w:rsidR="00B93A69" w:rsidRPr="00B93A69">
        <w:rPr>
          <w:rFonts w:hint="cs"/>
          <w:rtl/>
        </w:rPr>
        <w:t>ی</w:t>
      </w:r>
      <w:r w:rsidR="00B93A69" w:rsidRPr="00B93A69">
        <w:rPr>
          <w:rtl/>
        </w:rPr>
        <w:t xml:space="preserve"> معنا</w:t>
      </w:r>
      <w:r w:rsidR="00B93A69" w:rsidRPr="00B93A69">
        <w:rPr>
          <w:rFonts w:hint="cs"/>
          <w:rtl/>
        </w:rPr>
        <w:t>ی</w:t>
      </w:r>
      <w:r w:rsidR="00B93A69" w:rsidRPr="00B93A69">
        <w:rPr>
          <w:rtl/>
        </w:rPr>
        <w:t xml:space="preserve"> دق</w:t>
      </w:r>
      <w:r w:rsidR="00B93A69" w:rsidRPr="00B93A69">
        <w:rPr>
          <w:rFonts w:hint="cs"/>
          <w:rtl/>
        </w:rPr>
        <w:t>ی</w:t>
      </w:r>
      <w:r w:rsidR="00B93A69" w:rsidRPr="00B93A69">
        <w:rPr>
          <w:rFonts w:hint="eastAsia"/>
          <w:rtl/>
        </w:rPr>
        <w:t>ق</w:t>
      </w:r>
      <w:r w:rsidR="00B93A69" w:rsidRPr="00B93A69">
        <w:rPr>
          <w:rtl/>
        </w:rPr>
        <w:t xml:space="preserve"> ماده أمر در صورت به کار رفتن در طلب فعل</w:t>
      </w:r>
      <w:r w:rsidR="00025B70">
        <w:rPr>
          <w:rFonts w:hint="cs"/>
          <w:rtl/>
        </w:rPr>
        <w:t xml:space="preserve"> </w:t>
      </w:r>
      <w:r w:rsidR="00386C11" w:rsidRPr="00A6366F">
        <w:rPr>
          <w:rFonts w:hint="cs"/>
          <w:rtl/>
        </w:rPr>
        <w:t>/</w:t>
      </w:r>
      <w:bookmarkStart w:id="2" w:name="BokSabj_d"/>
      <w:bookmarkEnd w:id="2"/>
      <w:r w:rsidR="00AE699A">
        <w:rPr>
          <w:rFonts w:hint="cs"/>
          <w:rtl/>
        </w:rPr>
        <w:t xml:space="preserve"> </w:t>
      </w:r>
      <w:r w:rsidR="00ED6133">
        <w:rPr>
          <w:rtl/>
        </w:rPr>
        <w:t xml:space="preserve">ماده امر </w:t>
      </w:r>
      <w:r w:rsidR="00386C11" w:rsidRPr="00A6366F">
        <w:rPr>
          <w:rFonts w:hint="cs"/>
          <w:rtl/>
        </w:rPr>
        <w:t>/</w:t>
      </w:r>
      <w:bookmarkStart w:id="3" w:name="Bokkolli"/>
      <w:bookmarkEnd w:id="3"/>
      <w:r w:rsidR="00AE699A">
        <w:rPr>
          <w:rFonts w:hint="cs"/>
          <w:rtl/>
        </w:rPr>
        <w:t xml:space="preserve"> </w:t>
      </w:r>
      <w:r w:rsidR="00ED6133">
        <w:rPr>
          <w:rtl/>
        </w:rPr>
        <w:t xml:space="preserve">مباحث الفاظ </w:t>
      </w:r>
      <w:r w:rsidR="001B6799" w:rsidRPr="00A6366F">
        <w:rPr>
          <w:rFonts w:hint="cs"/>
          <w:rtl/>
        </w:rPr>
        <w:t xml:space="preserve"> </w:t>
      </w:r>
    </w:p>
    <w:p w:rsidR="008F5B4D" w:rsidRPr="009C66D5" w:rsidRDefault="008F5B4D" w:rsidP="00230EE2">
      <w:pPr>
        <w:jc w:val="both"/>
        <w:rPr>
          <w:rStyle w:val="Emphasis"/>
          <w:b/>
          <w:bCs w:val="0"/>
          <w:rtl/>
        </w:rPr>
      </w:pPr>
      <w:r w:rsidRPr="009C66D5">
        <w:rPr>
          <w:rStyle w:val="Emphasis"/>
          <w:rFonts w:hint="cs"/>
          <w:b/>
          <w:bCs w:val="0"/>
          <w:rtl/>
        </w:rPr>
        <w:t>خلاصه مباحث گذشته:</w:t>
      </w:r>
    </w:p>
    <w:p w:rsidR="00247D2F" w:rsidRPr="003A6148" w:rsidRDefault="001127BA" w:rsidP="00230EE2">
      <w:pPr>
        <w:pBdr>
          <w:bottom w:val="double" w:sz="6" w:space="1" w:color="auto"/>
        </w:pBdr>
        <w:jc w:val="both"/>
      </w:pPr>
      <w:r>
        <w:rPr>
          <w:rFonts w:hint="cs"/>
          <w:rtl/>
        </w:rPr>
        <w:t>بحث در مورد ماده امر است که در مورد آن جهاتی برای بحث وجود دارد که جهت اول در مورد بررسی معنای ماده امر است که دو معنا برای آن ذکر شده است که یکی از آن معانی طلب کردن از دیگری است که در جهت دوم معنای دقیق ماده امر در صورت به کار رفتن برای طلب ازغیر مورد بررسی قرار می گیرد.</w:t>
      </w:r>
    </w:p>
    <w:p w:rsidR="00EB4791" w:rsidRPr="00EB4FA3" w:rsidRDefault="00EB4791" w:rsidP="00230EE2">
      <w:pPr>
        <w:pStyle w:val="Heading2"/>
        <w:jc w:val="both"/>
        <w:rPr>
          <w:rtl/>
        </w:rPr>
      </w:pPr>
      <w:bookmarkStart w:id="4" w:name="_Toc36282136"/>
      <w:bookmarkStart w:id="5" w:name="_Toc36368704"/>
      <w:r>
        <w:rPr>
          <w:rFonts w:hint="cs"/>
          <w:rtl/>
        </w:rPr>
        <w:t>ب: بررسی معنای دقیق ماده أمر در صورت به کار رفتن در طلب فعل</w:t>
      </w:r>
      <w:bookmarkEnd w:id="4"/>
      <w:bookmarkEnd w:id="5"/>
    </w:p>
    <w:p w:rsidR="00B67501" w:rsidRDefault="00EB4791" w:rsidP="00230EE2">
      <w:pPr>
        <w:jc w:val="both"/>
        <w:rPr>
          <w:rtl/>
        </w:rPr>
      </w:pPr>
      <w:r>
        <w:rPr>
          <w:rFonts w:hint="cs"/>
          <w:rtl/>
        </w:rPr>
        <w:t>جهت دوم از جهات مربوط به ماده أمر، بررسی معنای دقیق آن در م</w:t>
      </w:r>
      <w:r>
        <w:rPr>
          <w:rFonts w:hint="cs"/>
          <w:rtl/>
        </w:rPr>
        <w:t>وارد به کار رفته در طلب فعل است که در این زمینه تفاسیر متعددی وجود دارد که در جلسه پیشین سه تفسیر مورد بررسی قرار گرفته است.</w:t>
      </w:r>
    </w:p>
    <w:p w:rsidR="00B21770" w:rsidRDefault="00B21770" w:rsidP="00230EE2">
      <w:pPr>
        <w:pStyle w:val="Heading2"/>
        <w:jc w:val="both"/>
        <w:rPr>
          <w:rtl/>
        </w:rPr>
      </w:pPr>
      <w:bookmarkStart w:id="6" w:name="_Toc36282140"/>
      <w:bookmarkStart w:id="7" w:name="_Toc36368705"/>
      <w:r>
        <w:rPr>
          <w:rFonts w:hint="cs"/>
          <w:rtl/>
        </w:rPr>
        <w:t>د: تحریک به سمت فعل</w:t>
      </w:r>
      <w:bookmarkEnd w:id="6"/>
      <w:bookmarkEnd w:id="7"/>
    </w:p>
    <w:p w:rsidR="00B21770" w:rsidRDefault="00B21770" w:rsidP="00230EE2">
      <w:pPr>
        <w:jc w:val="both"/>
        <w:rPr>
          <w:rtl/>
        </w:rPr>
      </w:pPr>
      <w:r>
        <w:rPr>
          <w:rFonts w:hint="cs"/>
          <w:rtl/>
        </w:rPr>
        <w:t>چهارمین نظر در مورد معنای</w:t>
      </w:r>
      <w:r w:rsidRPr="00C85DC7">
        <w:rPr>
          <w:rFonts w:hint="cs"/>
          <w:color w:val="000000" w:themeColor="text1"/>
          <w:rtl/>
        </w:rPr>
        <w:t xml:space="preserve"> أمر </w:t>
      </w:r>
      <w:r>
        <w:rPr>
          <w:rFonts w:hint="cs"/>
          <w:rtl/>
        </w:rPr>
        <w:t>که برای طلب فعل از غیر صادر شده است، از سوی آقای سیستانی بیان شده است.</w:t>
      </w:r>
    </w:p>
    <w:p w:rsidR="00B21770" w:rsidRDefault="00B21770" w:rsidP="00230EE2">
      <w:pPr>
        <w:jc w:val="both"/>
        <w:rPr>
          <w:rtl/>
        </w:rPr>
      </w:pPr>
      <w:r>
        <w:rPr>
          <w:rFonts w:hint="cs"/>
          <w:rtl/>
        </w:rPr>
        <w:t>ایشان فرموده اند:</w:t>
      </w:r>
      <w:r w:rsidRPr="00C85DC7">
        <w:rPr>
          <w:rFonts w:hint="cs"/>
          <w:color w:val="000000" w:themeColor="text1"/>
          <w:rtl/>
        </w:rPr>
        <w:t xml:space="preserve"> أمر </w:t>
      </w:r>
      <w:r>
        <w:rPr>
          <w:rFonts w:hint="cs"/>
          <w:rtl/>
        </w:rPr>
        <w:t>به معنای طلب فعل از غیر، ابراز طلب یا ابراز اعتبار بر ذمه نیست بلکه به معنای تحریک</w:t>
      </w:r>
      <w:r>
        <w:rPr>
          <w:rFonts w:hint="cs"/>
          <w:rtl/>
        </w:rPr>
        <w:t xml:space="preserve"> و وادار کردن</w:t>
      </w:r>
      <w:r>
        <w:rPr>
          <w:rFonts w:hint="cs"/>
          <w:rtl/>
        </w:rPr>
        <w:t xml:space="preserve"> است، اعم از اینکه به واسطه قول یا فعل</w:t>
      </w:r>
      <w:r w:rsidR="00B25E34">
        <w:rPr>
          <w:rFonts w:hint="cs"/>
          <w:rtl/>
        </w:rPr>
        <w:t xml:space="preserve"> باشد.</w:t>
      </w:r>
    </w:p>
    <w:p w:rsidR="00B25E34" w:rsidRDefault="00B25E34" w:rsidP="00230EE2">
      <w:pPr>
        <w:jc w:val="both"/>
        <w:rPr>
          <w:rFonts w:hint="cs"/>
          <w:rtl/>
        </w:rPr>
      </w:pPr>
      <w:r>
        <w:rPr>
          <w:rFonts w:hint="cs"/>
          <w:rtl/>
        </w:rPr>
        <w:t>آقای سیستانی بر مدعای خود به شواهدی اشاره کرده اند.</w:t>
      </w:r>
      <w:r w:rsidR="00E65648">
        <w:rPr>
          <w:rStyle w:val="FootnoteReference"/>
          <w:rtl/>
        </w:rPr>
        <w:footnoteReference w:id="1"/>
      </w:r>
    </w:p>
    <w:p w:rsidR="00B25E34" w:rsidRDefault="00B25E34" w:rsidP="00230EE2">
      <w:pPr>
        <w:pStyle w:val="Heading3"/>
        <w:jc w:val="both"/>
        <w:rPr>
          <w:rtl/>
        </w:rPr>
      </w:pPr>
      <w:bookmarkStart w:id="8" w:name="_Toc36368706"/>
      <w:r>
        <w:rPr>
          <w:rFonts w:hint="cs"/>
          <w:rtl/>
        </w:rPr>
        <w:lastRenderedPageBreak/>
        <w:t>مناقشه</w:t>
      </w:r>
      <w:bookmarkEnd w:id="8"/>
    </w:p>
    <w:p w:rsidR="00B25E34" w:rsidRDefault="00B25E34" w:rsidP="00230EE2">
      <w:pPr>
        <w:jc w:val="both"/>
        <w:rPr>
          <w:rtl/>
        </w:rPr>
      </w:pPr>
      <w:r>
        <w:rPr>
          <w:rFonts w:hint="cs"/>
          <w:rtl/>
        </w:rPr>
        <w:t>به نظر ما کلام آقای سیستانی صحیح نیست؛ چون عرفا عنوان امر صرفا بر انشاء بعث و تحریک دیگری نسبت به یک فعل صادق است</w:t>
      </w:r>
      <w:r w:rsidR="001614E0">
        <w:rPr>
          <w:rFonts w:hint="cs"/>
          <w:rtl/>
        </w:rPr>
        <w:t>، اما به هر چیزی که موجب تحریک دیگری نسبت به یک فعل می شود، امر گفته نمی شود. به عنوان</w:t>
      </w:r>
      <w:r w:rsidR="003E4DDF">
        <w:rPr>
          <w:rFonts w:hint="cs"/>
          <w:rtl/>
        </w:rPr>
        <w:t xml:space="preserve"> مثال تعبیر «إن</w:t>
      </w:r>
      <w:r w:rsidR="002D5E17">
        <w:rPr>
          <w:rFonts w:hint="cs"/>
          <w:rtl/>
        </w:rPr>
        <w:t>ّ</w:t>
      </w:r>
      <w:r w:rsidR="003E4DDF">
        <w:rPr>
          <w:rFonts w:hint="cs"/>
          <w:rtl/>
        </w:rPr>
        <w:t xml:space="preserve"> ورع فلان أمرنی بأن أکون مثله» به کار برده نمی شود، در حالی که به کار بردن تعبیر «إن ورع فلان حثّنی أن أکون مثله» صحیح است کما اینکه تع</w:t>
      </w:r>
      <w:r w:rsidR="008F7DE1">
        <w:rPr>
          <w:rFonts w:hint="cs"/>
          <w:rtl/>
        </w:rPr>
        <w:t>ا</w:t>
      </w:r>
      <w:r w:rsidR="003E4DDF">
        <w:rPr>
          <w:rFonts w:hint="cs"/>
          <w:rtl/>
        </w:rPr>
        <w:t>بیر «الاعتقاد بالله یأمرنی بالاجتناب عن المعصیه»</w:t>
      </w:r>
      <w:r w:rsidR="008F7DE1">
        <w:rPr>
          <w:rFonts w:hint="cs"/>
          <w:rtl/>
        </w:rPr>
        <w:t xml:space="preserve"> یا «حلاوة هذا الطعام تأمرنی بأکله»</w:t>
      </w:r>
      <w:r w:rsidR="003E4DDF">
        <w:rPr>
          <w:rFonts w:hint="cs"/>
          <w:rtl/>
        </w:rPr>
        <w:t xml:space="preserve"> عرفی نیست</w:t>
      </w:r>
      <w:r w:rsidR="008F7DE1">
        <w:rPr>
          <w:rFonts w:hint="cs"/>
          <w:rtl/>
        </w:rPr>
        <w:t>.</w:t>
      </w:r>
    </w:p>
    <w:p w:rsidR="00E764C0" w:rsidRDefault="00E764C0" w:rsidP="00230EE2">
      <w:pPr>
        <w:jc w:val="both"/>
        <w:rPr>
          <w:rFonts w:hint="cs"/>
          <w:rtl/>
        </w:rPr>
      </w:pPr>
      <w:r>
        <w:rPr>
          <w:rFonts w:hint="cs"/>
          <w:rtl/>
        </w:rPr>
        <w:t xml:space="preserve">اما مواردی از استعمالات که </w:t>
      </w:r>
      <w:r w:rsidR="00567927">
        <w:rPr>
          <w:rFonts w:hint="cs"/>
          <w:rtl/>
        </w:rPr>
        <w:t xml:space="preserve">در آنها </w:t>
      </w:r>
      <w:r w:rsidR="00F97019">
        <w:rPr>
          <w:rFonts w:hint="cs"/>
          <w:rtl/>
        </w:rPr>
        <w:t>کلمه «</w:t>
      </w:r>
      <w:r>
        <w:rPr>
          <w:rFonts w:hint="cs"/>
          <w:rtl/>
        </w:rPr>
        <w:t>امر</w:t>
      </w:r>
      <w:r w:rsidR="00F97019">
        <w:rPr>
          <w:rFonts w:hint="cs"/>
          <w:rtl/>
        </w:rPr>
        <w:t>»</w:t>
      </w:r>
      <w:r>
        <w:rPr>
          <w:rFonts w:hint="cs"/>
          <w:rtl/>
        </w:rPr>
        <w:t xml:space="preserve"> بر تحریک عملی که متضمن انشای ب</w:t>
      </w:r>
      <w:r w:rsidR="00F97019">
        <w:rPr>
          <w:rFonts w:hint="cs"/>
          <w:rtl/>
        </w:rPr>
        <w:t>عث و تحریک نبوده است، اطلاق شده است</w:t>
      </w:r>
      <w:r w:rsidR="008C4D25">
        <w:rPr>
          <w:rFonts w:hint="cs"/>
          <w:rtl/>
        </w:rPr>
        <w:t>، باید حمل بر مجاز و عنایت گردد؛ چون کلمه امر مرادف با کلمه «خواستن» یا «دستور و فرمان» در زبان فارسی است و هر یک از دو معنا که معنای امر باشد، بر تحریک عملی که متضمن بعث و تحریک نباشد، صادق نخواهد بود.</w:t>
      </w:r>
    </w:p>
    <w:p w:rsidR="008C4D25" w:rsidRDefault="008C4D25" w:rsidP="00230EE2">
      <w:pPr>
        <w:pStyle w:val="Heading2"/>
        <w:jc w:val="both"/>
        <w:rPr>
          <w:rFonts w:hint="cs"/>
          <w:rtl/>
        </w:rPr>
      </w:pPr>
      <w:bookmarkStart w:id="9" w:name="_Toc36368707"/>
      <w:r>
        <w:rPr>
          <w:rFonts w:hint="cs"/>
          <w:rtl/>
        </w:rPr>
        <w:t>ه:</w:t>
      </w:r>
      <w:r w:rsidR="00CA5E18">
        <w:rPr>
          <w:rFonts w:hint="cs"/>
          <w:rtl/>
        </w:rPr>
        <w:t xml:space="preserve"> انشای بعث و تحریک به سمت فعل</w:t>
      </w:r>
      <w:bookmarkEnd w:id="9"/>
      <w:r w:rsidR="00CA5E18">
        <w:rPr>
          <w:rFonts w:hint="cs"/>
          <w:rtl/>
        </w:rPr>
        <w:t xml:space="preserve"> </w:t>
      </w:r>
    </w:p>
    <w:p w:rsidR="00CA5E18" w:rsidRDefault="008C4D25" w:rsidP="00230EE2">
      <w:pPr>
        <w:jc w:val="both"/>
        <w:rPr>
          <w:rFonts w:hint="cs"/>
          <w:rtl/>
        </w:rPr>
      </w:pPr>
      <w:r>
        <w:rPr>
          <w:rFonts w:hint="cs"/>
          <w:rtl/>
        </w:rPr>
        <w:t xml:space="preserve">پنجمین تفسیر در مورد معنای ماده امر که برای طلب از غیر </w:t>
      </w:r>
      <w:r w:rsidR="00CA5E18">
        <w:rPr>
          <w:rFonts w:hint="cs"/>
          <w:rtl/>
        </w:rPr>
        <w:t>به کار رفته است، استظهار ما است که امر برای انشای بعث و تحریک به سمت فعل وضع شده است.</w:t>
      </w:r>
    </w:p>
    <w:p w:rsidR="00CA5E18" w:rsidRDefault="00CA5E18" w:rsidP="00230EE2">
      <w:pPr>
        <w:jc w:val="both"/>
        <w:rPr>
          <w:rtl/>
        </w:rPr>
      </w:pPr>
      <w:r>
        <w:rPr>
          <w:rFonts w:hint="cs"/>
          <w:rtl/>
        </w:rPr>
        <w:t xml:space="preserve">در مورد معنای ذکر شده برای امر تفاوتی وجود ندارد که انشای بعث توسط لفظ صورت گرفته </w:t>
      </w:r>
      <w:r w:rsidR="001816B4">
        <w:rPr>
          <w:rFonts w:hint="cs"/>
          <w:rtl/>
        </w:rPr>
        <w:t>و مولی از تعبیر «آمرک أن تجیئنی بالماء استفاده کرده باشد و یا اینکه این معنا را با اشاره دست ابراز کرده باشد.</w:t>
      </w:r>
    </w:p>
    <w:p w:rsidR="00DB5F8E" w:rsidRDefault="00DB5F8E" w:rsidP="00230EE2">
      <w:pPr>
        <w:pStyle w:val="Heading1"/>
        <w:jc w:val="both"/>
        <w:rPr>
          <w:rtl/>
        </w:rPr>
      </w:pPr>
      <w:bookmarkStart w:id="10" w:name="_Toc36368708"/>
      <w:r>
        <w:rPr>
          <w:rFonts w:hint="cs"/>
          <w:rtl/>
        </w:rPr>
        <w:t>ج:</w:t>
      </w:r>
      <w:r w:rsidR="00FD387F">
        <w:rPr>
          <w:rFonts w:hint="cs"/>
          <w:rtl/>
        </w:rPr>
        <w:t xml:space="preserve"> بررسی اعتبار علو و استعلاء</w:t>
      </w:r>
      <w:bookmarkEnd w:id="10"/>
    </w:p>
    <w:p w:rsidR="00DB5F8E" w:rsidRDefault="00DB5F8E" w:rsidP="00230EE2">
      <w:pPr>
        <w:jc w:val="both"/>
        <w:rPr>
          <w:rtl/>
        </w:rPr>
      </w:pPr>
      <w:r>
        <w:rPr>
          <w:rFonts w:hint="cs"/>
          <w:rtl/>
        </w:rPr>
        <w:t xml:space="preserve">سومین جهت از جهات مربوط به ماده بحث، بررسی اعتبار علو و استعلای آمر در </w:t>
      </w:r>
      <w:r w:rsidR="00FD387F">
        <w:rPr>
          <w:rFonts w:hint="cs"/>
          <w:rtl/>
        </w:rPr>
        <w:t>صدق امر است.</w:t>
      </w:r>
    </w:p>
    <w:p w:rsidR="00FD387F" w:rsidRDefault="00FD387F" w:rsidP="00230EE2">
      <w:pPr>
        <w:pStyle w:val="Heading2"/>
        <w:jc w:val="both"/>
        <w:rPr>
          <w:rtl/>
        </w:rPr>
      </w:pPr>
      <w:bookmarkStart w:id="11" w:name="_Toc36368709"/>
      <w:r>
        <w:rPr>
          <w:rFonts w:hint="cs"/>
          <w:rtl/>
        </w:rPr>
        <w:lastRenderedPageBreak/>
        <w:t>معنای علو و استعلاء</w:t>
      </w:r>
      <w:bookmarkEnd w:id="11"/>
    </w:p>
    <w:p w:rsidR="005311DF" w:rsidRDefault="00FD387F" w:rsidP="00230EE2">
      <w:pPr>
        <w:jc w:val="both"/>
        <w:rPr>
          <w:rtl/>
        </w:rPr>
      </w:pPr>
      <w:r>
        <w:rPr>
          <w:rFonts w:hint="cs"/>
          <w:rtl/>
        </w:rPr>
        <w:t>مقصود از علو، ع</w:t>
      </w:r>
      <w:r w:rsidR="00FE143A">
        <w:rPr>
          <w:rFonts w:hint="cs"/>
          <w:rtl/>
        </w:rPr>
        <w:t xml:space="preserve">لو حقیقی نیست بلکه علو عرفی است و لذا شامل شخص ظالم که دارای قدرت است، خواهد شد. </w:t>
      </w:r>
    </w:p>
    <w:p w:rsidR="00FD387F" w:rsidRDefault="00FE143A" w:rsidP="006D5B1E">
      <w:pPr>
        <w:jc w:val="both"/>
        <w:rPr>
          <w:rFonts w:hint="cs"/>
          <w:rtl/>
        </w:rPr>
      </w:pPr>
      <w:r>
        <w:rPr>
          <w:rFonts w:hint="cs"/>
          <w:rtl/>
        </w:rPr>
        <w:t>با توجه به این مطلب کلام محقق ایروانی مبنی بر اینکه قدر متیقن از علو کسانی هستند که مبدأ وجود بوده و واسطه فیض هستند، اما شیوخ</w:t>
      </w:r>
      <w:r w:rsidR="006F26D1">
        <w:rPr>
          <w:rFonts w:hint="cs"/>
          <w:rtl/>
        </w:rPr>
        <w:t>، علماء و اشراف یا کسی که از شمشیر او ترسیده می شود، دارای علو نیستند و به همین جهت طلب کردن آنها موجب صدق امر نمی شود،</w:t>
      </w:r>
      <w:r w:rsidR="005311DF">
        <w:rPr>
          <w:rStyle w:val="FootnoteReference"/>
          <w:rtl/>
        </w:rPr>
        <w:footnoteReference w:id="2"/>
      </w:r>
      <w:r w:rsidR="006F26D1">
        <w:rPr>
          <w:rFonts w:hint="cs"/>
          <w:rtl/>
        </w:rPr>
        <w:t xml:space="preserve"> </w:t>
      </w:r>
      <w:r w:rsidR="000C2E3A">
        <w:rPr>
          <w:rFonts w:hint="cs"/>
          <w:rtl/>
        </w:rPr>
        <w:t xml:space="preserve">صحیح نخواهد بود؛ چون علو عرفی کافی است و لذا در صفحه 576 از جلد دوم کتاب الکامل فی التاریخ تعبیر </w:t>
      </w:r>
      <w:r w:rsidR="000C2E3A" w:rsidRPr="00112BA1">
        <w:rPr>
          <w:rFonts w:hint="cs"/>
          <w:color w:val="000080"/>
          <w:rtl/>
        </w:rPr>
        <w:t>«</w:t>
      </w:r>
      <w:r w:rsidR="00112BA1" w:rsidRPr="00112BA1">
        <w:rPr>
          <w:color w:val="000080"/>
          <w:rtl/>
        </w:rPr>
        <w:t>أمر ابن زياد برأس الحسين فطيف به في الكوف</w:t>
      </w:r>
      <w:r w:rsidR="00112BA1" w:rsidRPr="00112BA1">
        <w:rPr>
          <w:rFonts w:hint="cs"/>
          <w:color w:val="000080"/>
          <w:rtl/>
        </w:rPr>
        <w:t>ه»</w:t>
      </w:r>
      <w:r w:rsidR="00112BA1">
        <w:rPr>
          <w:rStyle w:val="FootnoteReference"/>
          <w:rtl/>
        </w:rPr>
        <w:footnoteReference w:id="3"/>
      </w:r>
      <w:r w:rsidR="009F7D42">
        <w:rPr>
          <w:rFonts w:hint="cs"/>
          <w:rtl/>
        </w:rPr>
        <w:t xml:space="preserve"> به کار رفته است و در صفحه 588 همین کتاب تعبیر «</w:t>
      </w:r>
      <w:r w:rsidR="009F7D42" w:rsidRPr="009F7D42">
        <w:rPr>
          <w:color w:val="000080"/>
          <w:rtl/>
        </w:rPr>
        <w:t>ثمّ أمر بعلي بن الحسين فأدخل مغلولاً</w:t>
      </w:r>
      <w:r w:rsidR="009F7D42" w:rsidRPr="009F7D42">
        <w:rPr>
          <w:rFonts w:hint="cs"/>
          <w:color w:val="000080"/>
          <w:rtl/>
        </w:rPr>
        <w:t>»</w:t>
      </w:r>
      <w:r w:rsidR="009F7D42">
        <w:rPr>
          <w:rStyle w:val="FootnoteReference"/>
          <w:rtl/>
        </w:rPr>
        <w:footnoteReference w:id="4"/>
      </w:r>
      <w:r w:rsidR="00F322D0">
        <w:rPr>
          <w:rFonts w:hint="cs"/>
          <w:rtl/>
        </w:rPr>
        <w:t xml:space="preserve"> به کار رفته است. در تعابیر عرفی نیز تعبیر «أمر قائد جیش العدوّ بکذا» یا «أمر رئیس السارقین بکذا» به کار برده می شود.</w:t>
      </w:r>
      <w:r w:rsidR="00BF0A23">
        <w:rPr>
          <w:rFonts w:hint="cs"/>
          <w:rtl/>
        </w:rPr>
        <w:t xml:space="preserve"> این تعابیر در حالی به کار برده می شود که آمر دارای علو حقیقی نیست</w:t>
      </w:r>
      <w:r w:rsidR="006D5B1E">
        <w:rPr>
          <w:rFonts w:hint="cs"/>
          <w:rtl/>
        </w:rPr>
        <w:t>،</w:t>
      </w:r>
      <w:r w:rsidR="00BF0A23">
        <w:rPr>
          <w:rFonts w:hint="cs"/>
          <w:rtl/>
        </w:rPr>
        <w:t xml:space="preserve"> بلکه صرفا دارای علو عرفی است ولو اینکه </w:t>
      </w:r>
      <w:r w:rsidR="006D5B1E">
        <w:rPr>
          <w:rFonts w:hint="cs"/>
          <w:rtl/>
        </w:rPr>
        <w:t>ناشی از</w:t>
      </w:r>
      <w:r w:rsidR="00BF0A23">
        <w:rPr>
          <w:rFonts w:hint="cs"/>
          <w:rtl/>
        </w:rPr>
        <w:t xml:space="preserve"> سلطه و سیف و سوط</w:t>
      </w:r>
      <w:r w:rsidR="006D5B1E">
        <w:rPr>
          <w:rFonts w:hint="cs"/>
          <w:rtl/>
        </w:rPr>
        <w:t xml:space="preserve"> باش</w:t>
      </w:r>
      <w:r w:rsidR="00BF0A23">
        <w:rPr>
          <w:rFonts w:hint="cs"/>
          <w:rtl/>
        </w:rPr>
        <w:t>د.</w:t>
      </w:r>
    </w:p>
    <w:p w:rsidR="00BF0A23" w:rsidRDefault="00BF0A23" w:rsidP="00230EE2">
      <w:pPr>
        <w:jc w:val="both"/>
        <w:rPr>
          <w:rFonts w:hint="cs"/>
          <w:rtl/>
        </w:rPr>
      </w:pPr>
      <w:r>
        <w:rPr>
          <w:rFonts w:hint="cs"/>
          <w:rtl/>
        </w:rPr>
        <w:t>در مورد مقصود از استعلاء دو احتمال وجود دارد:</w:t>
      </w:r>
    </w:p>
    <w:p w:rsidR="007408D1" w:rsidRDefault="00BF0A23" w:rsidP="004C412F">
      <w:pPr>
        <w:pStyle w:val="ListParagraph"/>
        <w:numPr>
          <w:ilvl w:val="0"/>
          <w:numId w:val="16"/>
        </w:numPr>
        <w:jc w:val="both"/>
        <w:rPr>
          <w:rtl/>
        </w:rPr>
      </w:pPr>
      <w:r>
        <w:rPr>
          <w:rFonts w:hint="cs"/>
          <w:rtl/>
        </w:rPr>
        <w:t xml:space="preserve">احتمال </w:t>
      </w:r>
      <w:r w:rsidR="007408D1">
        <w:rPr>
          <w:rFonts w:hint="cs"/>
          <w:rtl/>
        </w:rPr>
        <w:t xml:space="preserve">اول که توسط صاحب کفایه ذکر شده، این است که استعلا به معنای اظهار علو و عدم خفض جناح </w:t>
      </w:r>
      <w:r w:rsidR="004C412F">
        <w:rPr>
          <w:rFonts w:hint="cs"/>
          <w:rtl/>
        </w:rPr>
        <w:t>است</w:t>
      </w:r>
      <w:r w:rsidR="007408D1">
        <w:rPr>
          <w:rFonts w:hint="cs"/>
          <w:rtl/>
        </w:rPr>
        <w:t>. به عنوان مثال گاهی پدر به فرزند خود همراه با اظهار علو امر می کند، اما در برخی موارد چیزی همراه با تواضع از فرزند خود طلب می کند.</w:t>
      </w:r>
      <w:r w:rsidR="003A2729">
        <w:rPr>
          <w:rStyle w:val="FootnoteReference"/>
          <w:rtl/>
        </w:rPr>
        <w:footnoteReference w:id="5"/>
      </w:r>
    </w:p>
    <w:p w:rsidR="003A2729" w:rsidRDefault="001E021B" w:rsidP="00230EE2">
      <w:pPr>
        <w:pStyle w:val="ListParagraph"/>
        <w:numPr>
          <w:ilvl w:val="0"/>
          <w:numId w:val="16"/>
        </w:numPr>
        <w:jc w:val="both"/>
      </w:pPr>
      <w:r>
        <w:rPr>
          <w:rFonts w:hint="cs"/>
          <w:rtl/>
        </w:rPr>
        <w:t>احتمال دوم در مورد معنای استعلاء اعمال مولویت است؛ یعنی گاهی آمر بماهو مولی امر کرده و گاهی بماهو مرشد و ناصح</w:t>
      </w:r>
      <w:r w:rsidR="006718FE">
        <w:rPr>
          <w:rFonts w:hint="cs"/>
          <w:rtl/>
        </w:rPr>
        <w:t xml:space="preserve"> امر می کند و لذا گاهی مولی تعبیر «اشرب هذا الدواء» را به کار برده و غرض او اعمال مولویت است</w:t>
      </w:r>
      <w:r w:rsidR="001F5E27">
        <w:rPr>
          <w:rFonts w:hint="cs"/>
          <w:rtl/>
        </w:rPr>
        <w:t xml:space="preserve"> </w:t>
      </w:r>
      <w:r w:rsidR="006718FE">
        <w:rPr>
          <w:rFonts w:hint="cs"/>
          <w:rtl/>
        </w:rPr>
        <w:t>و در برخی موارد غرض او طبابت یا ارشاد به نفع دواء است.</w:t>
      </w:r>
      <w:r w:rsidR="001F5E27">
        <w:rPr>
          <w:rFonts w:hint="cs"/>
          <w:rtl/>
        </w:rPr>
        <w:t xml:space="preserve"> </w:t>
      </w:r>
    </w:p>
    <w:p w:rsidR="001E021B" w:rsidRDefault="001F5E27" w:rsidP="003A2729">
      <w:pPr>
        <w:pStyle w:val="ListParagraph"/>
        <w:jc w:val="both"/>
        <w:rPr>
          <w:rtl/>
        </w:rPr>
      </w:pPr>
      <w:r>
        <w:rPr>
          <w:rFonts w:hint="cs"/>
          <w:rtl/>
        </w:rPr>
        <w:t>مقصود از اعمال مولویت این است که امر</w:t>
      </w:r>
      <w:r>
        <w:rPr>
          <w:rFonts w:hint="cs"/>
          <w:rtl/>
        </w:rPr>
        <w:t xml:space="preserve"> برای ارشاد به مصلحت مخاطب یا بیان صرف رغب</w:t>
      </w:r>
      <w:r>
        <w:rPr>
          <w:rFonts w:hint="cs"/>
          <w:rtl/>
        </w:rPr>
        <w:t xml:space="preserve">ت به آن نیست بلکه فوق ارشاد است و لذا </w:t>
      </w:r>
      <w:r w:rsidR="00E16706">
        <w:rPr>
          <w:rFonts w:hint="cs"/>
          <w:rtl/>
        </w:rPr>
        <w:t>بعد از بیان تعبیر «تصالحی زوجک و ارجعی الیه» از سوی پیامبر اکرم صلّی الله علیه وآله، بریره از تعبیر «أتأمرنی</w:t>
      </w:r>
      <w:r w:rsidR="00CD0E63">
        <w:rPr>
          <w:rFonts w:hint="cs"/>
          <w:rtl/>
        </w:rPr>
        <w:t xml:space="preserve"> یا رسول الله» استفاده کرده است و پیامبر اکرم صلّی الله علیه وآله نیز در پاسخ او فرموده اند: «لا و ان</w:t>
      </w:r>
      <w:r w:rsidR="00AC17D9">
        <w:rPr>
          <w:rFonts w:hint="cs"/>
          <w:rtl/>
        </w:rPr>
        <w:t>ّ</w:t>
      </w:r>
      <w:r w:rsidR="00CD0E63">
        <w:rPr>
          <w:rFonts w:hint="cs"/>
          <w:rtl/>
        </w:rPr>
        <w:t>ما أنا شافع». در نتیجه در این تعبیر پیامبر اکرم صلّی الله علیه وآله اعمال مولویت نکرده و صرفا ارشاد به امری کرده اند که مصلحت بریره در آن بوده است.</w:t>
      </w:r>
      <w:r w:rsidR="00AC17D9">
        <w:rPr>
          <w:rFonts w:hint="cs"/>
          <w:rtl/>
        </w:rPr>
        <w:t xml:space="preserve"> این روایت در صفحه 497 از جلد اول سنن ابن داوود نقل شده است.</w:t>
      </w:r>
    </w:p>
    <w:p w:rsidR="00AC17D9" w:rsidRDefault="00490549" w:rsidP="00AA7DD2">
      <w:pPr>
        <w:jc w:val="both"/>
        <w:rPr>
          <w:rtl/>
        </w:rPr>
      </w:pPr>
      <w:r>
        <w:rPr>
          <w:rFonts w:hint="cs"/>
          <w:rtl/>
        </w:rPr>
        <w:lastRenderedPageBreak/>
        <w:t>به نظر ما استعلا</w:t>
      </w:r>
      <w:r w:rsidR="00AA7DD2">
        <w:rPr>
          <w:rFonts w:hint="cs"/>
          <w:rtl/>
        </w:rPr>
        <w:t>ئی که</w:t>
      </w:r>
      <w:r>
        <w:rPr>
          <w:rFonts w:hint="cs"/>
          <w:rtl/>
        </w:rPr>
        <w:t xml:space="preserve"> دخیل در صدق امر </w:t>
      </w:r>
      <w:r w:rsidR="00AA7DD2">
        <w:rPr>
          <w:rFonts w:hint="cs"/>
          <w:rtl/>
        </w:rPr>
        <w:t xml:space="preserve">است، </w:t>
      </w:r>
      <w:r>
        <w:rPr>
          <w:rFonts w:hint="cs"/>
          <w:rtl/>
        </w:rPr>
        <w:t>معنای دوم است. اما صرف اظهار علو و عدم خفض جناح که از سوی صاحب کفایه ذکر شده است، قطعا در صدق امر دخیل نیست.</w:t>
      </w:r>
    </w:p>
    <w:p w:rsidR="000A4EBC" w:rsidRDefault="00D12775" w:rsidP="00230EE2">
      <w:pPr>
        <w:pStyle w:val="Heading2"/>
        <w:jc w:val="both"/>
        <w:rPr>
          <w:rtl/>
        </w:rPr>
      </w:pPr>
      <w:bookmarkStart w:id="12" w:name="_Toc36368710"/>
      <w:r>
        <w:rPr>
          <w:rFonts w:hint="cs"/>
          <w:rtl/>
        </w:rPr>
        <w:t>ثمره بحث</w:t>
      </w:r>
      <w:bookmarkEnd w:id="12"/>
    </w:p>
    <w:p w:rsidR="00D12775" w:rsidRDefault="00E955FF" w:rsidP="00230EE2">
      <w:pPr>
        <w:jc w:val="both"/>
        <w:rPr>
          <w:rtl/>
        </w:rPr>
      </w:pPr>
      <w:r>
        <w:rPr>
          <w:rFonts w:hint="cs"/>
          <w:rtl/>
        </w:rPr>
        <w:t xml:space="preserve">لازم به ذکر است که بحث </w:t>
      </w:r>
      <w:r w:rsidR="00B70726">
        <w:rPr>
          <w:rFonts w:hint="cs"/>
          <w:rtl/>
        </w:rPr>
        <w:t xml:space="preserve">اعتبار علو یا استعلاء </w:t>
      </w:r>
      <w:r>
        <w:rPr>
          <w:rFonts w:hint="cs"/>
          <w:rtl/>
        </w:rPr>
        <w:t xml:space="preserve">خالی از ثمره فقهی نیست؛ چون در بحث امر به معروف مطرح شده است که اگر ترک معروف از کسی مشاهده شود، باید به نحوی با او سخن گفته شود که امر به معروف کردن او صادق باشد و لذا </w:t>
      </w:r>
      <w:r w:rsidR="006F71E3">
        <w:rPr>
          <w:rFonts w:hint="cs"/>
          <w:rtl/>
        </w:rPr>
        <w:t xml:space="preserve">مطرح خواهد شد که در صورت معتبر بودن استعلا، صرف بیان حکم شرعی و درخواست از فرد کافی نخواهد بود بلکه لازم است که همراه با استعلاء باشد الا اینکه روشن باشد که فرد بدون استعلا و با صرف بیان حکم شرعی هم </w:t>
      </w:r>
      <w:r w:rsidR="002D6A47">
        <w:rPr>
          <w:rFonts w:hint="cs"/>
          <w:rtl/>
        </w:rPr>
        <w:t xml:space="preserve">متنبّه شده و </w:t>
      </w:r>
      <w:r w:rsidR="006F71E3">
        <w:rPr>
          <w:rFonts w:hint="cs"/>
          <w:rtl/>
        </w:rPr>
        <w:t>به معروف عمل خواهد کرد.</w:t>
      </w:r>
      <w:r w:rsidR="002D6A47">
        <w:rPr>
          <w:rFonts w:hint="cs"/>
          <w:rtl/>
        </w:rPr>
        <w:t xml:space="preserve"> اما اگر شک وجود داشته باشد، با توجه به اینکه وظیفه نسبت به امر به معروف وجود دارد، باید قیود صدق امر به معروف مانند استعلاء مورد نظر قرار گیرد.</w:t>
      </w:r>
    </w:p>
    <w:p w:rsidR="00B70726" w:rsidRDefault="00B70726" w:rsidP="00230EE2">
      <w:pPr>
        <w:pStyle w:val="Heading2"/>
        <w:jc w:val="both"/>
        <w:rPr>
          <w:rtl/>
        </w:rPr>
      </w:pPr>
      <w:bookmarkStart w:id="13" w:name="_Toc36368711"/>
      <w:r>
        <w:rPr>
          <w:rFonts w:hint="cs"/>
          <w:rtl/>
        </w:rPr>
        <w:t>اقوال در مورد اعتبار علو واستعلاء</w:t>
      </w:r>
      <w:bookmarkEnd w:id="13"/>
    </w:p>
    <w:p w:rsidR="00424FE1" w:rsidRDefault="00424FE1" w:rsidP="00230EE2">
      <w:pPr>
        <w:jc w:val="both"/>
        <w:rPr>
          <w:rFonts w:hint="cs"/>
          <w:rtl/>
        </w:rPr>
      </w:pPr>
      <w:r>
        <w:rPr>
          <w:rFonts w:hint="cs"/>
          <w:rtl/>
        </w:rPr>
        <w:t xml:space="preserve">در مورد اعتبار علو و استعلاء </w:t>
      </w:r>
      <w:r w:rsidR="00DB6136">
        <w:rPr>
          <w:rFonts w:hint="cs"/>
          <w:rtl/>
        </w:rPr>
        <w:t xml:space="preserve">برای صدق امر </w:t>
      </w:r>
      <w:r>
        <w:rPr>
          <w:rFonts w:hint="cs"/>
          <w:rtl/>
        </w:rPr>
        <w:t>پنج قول وجود دارد:</w:t>
      </w:r>
    </w:p>
    <w:p w:rsidR="00424FE1" w:rsidRDefault="00424FE1" w:rsidP="00230EE2">
      <w:pPr>
        <w:pStyle w:val="ListParagraph"/>
        <w:numPr>
          <w:ilvl w:val="0"/>
          <w:numId w:val="17"/>
        </w:numPr>
        <w:jc w:val="both"/>
        <w:rPr>
          <w:rFonts w:hint="cs"/>
        </w:rPr>
      </w:pPr>
      <w:r>
        <w:rPr>
          <w:rFonts w:hint="cs"/>
          <w:rtl/>
        </w:rPr>
        <w:t>علو معتبر است، اما استعلاء</w:t>
      </w:r>
      <w:r w:rsidR="00F6617B">
        <w:rPr>
          <w:rFonts w:hint="cs"/>
          <w:rtl/>
        </w:rPr>
        <w:t xml:space="preserve"> معتبر نیست.</w:t>
      </w:r>
    </w:p>
    <w:p w:rsidR="00F6617B" w:rsidRDefault="00F6617B" w:rsidP="00230EE2">
      <w:pPr>
        <w:pStyle w:val="ListParagraph"/>
        <w:numPr>
          <w:ilvl w:val="0"/>
          <w:numId w:val="17"/>
        </w:numPr>
        <w:jc w:val="both"/>
        <w:rPr>
          <w:rFonts w:hint="cs"/>
        </w:rPr>
      </w:pPr>
      <w:r>
        <w:rPr>
          <w:rFonts w:hint="cs"/>
          <w:rtl/>
        </w:rPr>
        <w:t>استعلاء معتبر بوده و علو معتبر نیست.</w:t>
      </w:r>
    </w:p>
    <w:p w:rsidR="00F6617B" w:rsidRDefault="00F6617B" w:rsidP="00230EE2">
      <w:pPr>
        <w:pStyle w:val="ListParagraph"/>
        <w:numPr>
          <w:ilvl w:val="0"/>
          <w:numId w:val="17"/>
        </w:numPr>
        <w:jc w:val="both"/>
        <w:rPr>
          <w:rFonts w:hint="cs"/>
        </w:rPr>
      </w:pPr>
      <w:r>
        <w:rPr>
          <w:rFonts w:hint="cs"/>
          <w:rtl/>
        </w:rPr>
        <w:t xml:space="preserve">علو و استعلاء </w:t>
      </w:r>
      <w:r w:rsidR="00DB6136">
        <w:rPr>
          <w:rFonts w:hint="cs"/>
          <w:rtl/>
        </w:rPr>
        <w:t>معتبر است.</w:t>
      </w:r>
    </w:p>
    <w:p w:rsidR="00DB6136" w:rsidRDefault="00DB6136" w:rsidP="00230EE2">
      <w:pPr>
        <w:pStyle w:val="ListParagraph"/>
        <w:numPr>
          <w:ilvl w:val="0"/>
          <w:numId w:val="17"/>
        </w:numPr>
        <w:jc w:val="both"/>
        <w:rPr>
          <w:rFonts w:hint="cs"/>
        </w:rPr>
      </w:pPr>
      <w:r>
        <w:rPr>
          <w:rFonts w:hint="cs"/>
          <w:rtl/>
        </w:rPr>
        <w:t>یکی از علو و استعلاء کافی است.</w:t>
      </w:r>
    </w:p>
    <w:p w:rsidR="00DB6136" w:rsidRDefault="00DB6136" w:rsidP="00230EE2">
      <w:pPr>
        <w:pStyle w:val="ListParagraph"/>
        <w:numPr>
          <w:ilvl w:val="0"/>
          <w:numId w:val="17"/>
        </w:numPr>
        <w:jc w:val="both"/>
        <w:rPr>
          <w:rFonts w:hint="cs"/>
        </w:rPr>
      </w:pPr>
      <w:r>
        <w:rPr>
          <w:rFonts w:hint="cs"/>
          <w:rtl/>
        </w:rPr>
        <w:t>هیچ از علو و استعلاء معتبر نیست.</w:t>
      </w:r>
    </w:p>
    <w:p w:rsidR="00DB6136" w:rsidRDefault="00DB6136" w:rsidP="00230EE2">
      <w:pPr>
        <w:jc w:val="both"/>
        <w:rPr>
          <w:rFonts w:hint="cs"/>
          <w:rtl/>
        </w:rPr>
      </w:pPr>
      <w:r>
        <w:rPr>
          <w:rFonts w:hint="cs"/>
          <w:rtl/>
        </w:rPr>
        <w:t>صاحب کفایه</w:t>
      </w:r>
      <w:r w:rsidR="00F22CE8">
        <w:rPr>
          <w:rStyle w:val="FootnoteReference"/>
          <w:rtl/>
        </w:rPr>
        <w:footnoteReference w:id="6"/>
      </w:r>
      <w:r>
        <w:rPr>
          <w:rFonts w:hint="cs"/>
          <w:rtl/>
        </w:rPr>
        <w:t xml:space="preserve"> و محقق عراقی</w:t>
      </w:r>
      <w:r w:rsidR="00185E80">
        <w:rPr>
          <w:rStyle w:val="FootnoteReference"/>
          <w:rtl/>
        </w:rPr>
        <w:footnoteReference w:id="7"/>
      </w:r>
      <w:r>
        <w:rPr>
          <w:rFonts w:hint="cs"/>
          <w:rtl/>
        </w:rPr>
        <w:t xml:space="preserve"> قول اول را </w:t>
      </w:r>
      <w:r w:rsidR="00864453">
        <w:rPr>
          <w:rFonts w:hint="cs"/>
          <w:rtl/>
        </w:rPr>
        <w:t>اختیار کرده اند و لذا صاحب کفایه فرموده اند: در صورتی که شخص سافل از شخص عالی چیزی بخواهد و یا اینکه شخص مساوی از مساوی خود چیزی بخواهد، امر</w:t>
      </w:r>
      <w:r w:rsidR="00937C6B">
        <w:rPr>
          <w:rFonts w:hint="cs"/>
          <w:rtl/>
        </w:rPr>
        <w:t>ِ</w:t>
      </w:r>
      <w:r w:rsidR="00864453">
        <w:rPr>
          <w:rFonts w:hint="cs"/>
          <w:rtl/>
        </w:rPr>
        <w:t xml:space="preserve"> به آن شیء</w:t>
      </w:r>
      <w:r w:rsidR="00937C6B">
        <w:rPr>
          <w:rFonts w:hint="cs"/>
          <w:rtl/>
        </w:rPr>
        <w:t>،</w:t>
      </w:r>
      <w:r w:rsidR="00864453">
        <w:rPr>
          <w:rFonts w:hint="cs"/>
          <w:rtl/>
        </w:rPr>
        <w:t xml:space="preserve"> صادق نخواهد بود.</w:t>
      </w:r>
      <w:r w:rsidR="00F56A34">
        <w:rPr>
          <w:rFonts w:hint="cs"/>
          <w:rtl/>
        </w:rPr>
        <w:t xml:space="preserve"> اما استفاده از تعبیر «لم تأمر أباک» در مورد فرزندی که با تحکّم چیزی را از پدر خود طلب می کند، از باب عنایت و مجاز است؛ چون فرزند خود را در موضع آمرین قرار داده است و لذا بر </w:t>
      </w:r>
      <w:r w:rsidR="00A41BB6">
        <w:rPr>
          <w:rFonts w:hint="cs"/>
          <w:rtl/>
        </w:rPr>
        <w:t>این کار او را توبیخ خواهند کرد و در موارد استعمال حقیقی از تعبیر «هذا الولد أمر آباه» به کار برده نمی شود.</w:t>
      </w:r>
    </w:p>
    <w:p w:rsidR="00A41BB6" w:rsidRDefault="00A41BB6" w:rsidP="00230EE2">
      <w:pPr>
        <w:jc w:val="both"/>
        <w:rPr>
          <w:rtl/>
        </w:rPr>
      </w:pPr>
      <w:r>
        <w:rPr>
          <w:rFonts w:hint="cs"/>
          <w:rtl/>
        </w:rPr>
        <w:lastRenderedPageBreak/>
        <w:t>امام قدس سره قول سوم را اختیار کرده اند که در صدق امر</w:t>
      </w:r>
      <w:r w:rsidR="00937C6B">
        <w:rPr>
          <w:rFonts w:hint="cs"/>
          <w:rtl/>
        </w:rPr>
        <w:t>،</w:t>
      </w:r>
      <w:r>
        <w:rPr>
          <w:rFonts w:hint="cs"/>
          <w:rtl/>
        </w:rPr>
        <w:t xml:space="preserve"> علو و استعلاء لازم است.</w:t>
      </w:r>
      <w:r w:rsidR="00CC5038">
        <w:rPr>
          <w:rFonts w:hint="cs"/>
          <w:rtl/>
        </w:rPr>
        <w:t xml:space="preserve"> ایشان فرموده اند: در صورتی که مساوی یا دانی طلبی داشته باشد، تعبیر «أمر» به کار برده نمی شود بلکه نام طلب مساوی از مساوی، «التماس» بوده و طلب دانی از عالی، «استدعاء» نامیده می شود. از طرف دیگر در صورتی هم که مولی از عبد خود به نحو استدعاء طلبی داشته باشد، بر کلام او أمر صادق نخواهد بود.</w:t>
      </w:r>
      <w:r w:rsidR="008B5C8E">
        <w:rPr>
          <w:rStyle w:val="FootnoteReference"/>
          <w:rtl/>
        </w:rPr>
        <w:footnoteReference w:id="8"/>
      </w:r>
    </w:p>
    <w:p w:rsidR="007E363F" w:rsidRDefault="007E363F" w:rsidP="00230EE2">
      <w:pPr>
        <w:jc w:val="both"/>
        <w:rPr>
          <w:rFonts w:hint="cs"/>
          <w:rtl/>
        </w:rPr>
      </w:pPr>
      <w:r>
        <w:rPr>
          <w:rFonts w:hint="cs"/>
          <w:rtl/>
        </w:rPr>
        <w:t xml:space="preserve">مرحوم بروجردی فرموده اند: در صدق امر هیچ یک از علو و استعلاء معتبر نیست و تفاوت بین امر و التماس در این است که گاهی شخص چیزی را از دیگری طلب می کند و قصد او این است که </w:t>
      </w:r>
      <w:r w:rsidR="00D172F5">
        <w:rPr>
          <w:rFonts w:hint="cs"/>
          <w:rtl/>
        </w:rPr>
        <w:t xml:space="preserve">شخص </w:t>
      </w:r>
      <w:r>
        <w:rPr>
          <w:rFonts w:hint="cs"/>
          <w:rtl/>
        </w:rPr>
        <w:t xml:space="preserve">از صرف همین </w:t>
      </w:r>
      <w:r w:rsidR="00D172F5">
        <w:rPr>
          <w:rFonts w:hint="cs"/>
          <w:rtl/>
        </w:rPr>
        <w:t>طلب او منبعث شود که در این صورت امر خواهد بود، اما گاهی از دیگری چیزی را طلب می کند و قصد او این است که دیگری از دواعی دیگر غیر از طلب مانند ترحم منبعث شود که در این صورت التماس خواهد</w:t>
      </w:r>
      <w:r w:rsidR="0089722F">
        <w:rPr>
          <w:rFonts w:hint="cs"/>
          <w:rtl/>
        </w:rPr>
        <w:t xml:space="preserve"> بود کما اینکه وقتی فرد فقیر از دیگری طلب می کند، قصد او این است که مخاطب به انگیزه هایی غیر از طلب فقیر به او کمک کند و لذا همراه با طلب کمک مطالبی مانند دعاء برای والدین </w:t>
      </w:r>
      <w:r w:rsidR="00BA21DF">
        <w:rPr>
          <w:rFonts w:hint="cs"/>
          <w:rtl/>
        </w:rPr>
        <w:t>مخاطب بیان می کند که در این موارد دعاء و التماس خواهد بود.</w:t>
      </w:r>
    </w:p>
    <w:p w:rsidR="00BA21DF" w:rsidRDefault="00BA21DF" w:rsidP="00230EE2">
      <w:pPr>
        <w:jc w:val="both"/>
        <w:rPr>
          <w:rtl/>
        </w:rPr>
      </w:pPr>
      <w:r>
        <w:rPr>
          <w:rFonts w:hint="cs"/>
          <w:rtl/>
        </w:rPr>
        <w:t>مرحوم آقای بروجردی فرموده اند: غالب این است که امر از فرد عالی صادر می شود، اما این گونه نیست که صدور آن از فرد دانی موجب عدم صدق امر باشد بلکه در صورتی که دانی قصد داشته باشد که فرد عالی از نفس طلب او منبعث شود، امر صادق خواهد بود.</w:t>
      </w:r>
      <w:r w:rsidR="00397606">
        <w:rPr>
          <w:rFonts w:hint="cs"/>
          <w:rtl/>
        </w:rPr>
        <w:t xml:space="preserve"> شاهد این مطلب هم این است که اگر دانی از عالی مانند امیر طلبی داشته باشد، تعبیر «لم تأمر الأمیر» به کار برده می شود و این استعمال مجازی نیست.</w:t>
      </w:r>
      <w:r w:rsidR="00397606">
        <w:rPr>
          <w:rStyle w:val="FootnoteReference"/>
          <w:rtl/>
        </w:rPr>
        <w:footnoteReference w:id="9"/>
      </w:r>
    </w:p>
    <w:p w:rsidR="00A4577B" w:rsidRDefault="00A4577B" w:rsidP="00A4577B">
      <w:pPr>
        <w:pStyle w:val="Heading3"/>
        <w:rPr>
          <w:rtl/>
        </w:rPr>
      </w:pPr>
      <w:bookmarkStart w:id="14" w:name="_Toc36368712"/>
      <w:r>
        <w:rPr>
          <w:rFonts w:hint="cs"/>
          <w:rtl/>
        </w:rPr>
        <w:t>عدم اعتبار علو و استعلاء در امر (مختار)</w:t>
      </w:r>
      <w:bookmarkEnd w:id="14"/>
    </w:p>
    <w:p w:rsidR="00692E82" w:rsidRDefault="00692E82" w:rsidP="00230EE2">
      <w:pPr>
        <w:jc w:val="both"/>
        <w:rPr>
          <w:rtl/>
        </w:rPr>
      </w:pPr>
      <w:r>
        <w:rPr>
          <w:rFonts w:hint="cs"/>
          <w:rtl/>
        </w:rPr>
        <w:t>به نظر ما در صورتی که لفظ «امر» مرادف کلمه «فرمان» در زبان فارسی باشد، برای صدق امر</w:t>
      </w:r>
      <w:r w:rsidR="00480E3D">
        <w:rPr>
          <w:rFonts w:hint="cs"/>
          <w:rtl/>
        </w:rPr>
        <w:t>،</w:t>
      </w:r>
      <w:r>
        <w:rPr>
          <w:rFonts w:hint="cs"/>
          <w:rtl/>
        </w:rPr>
        <w:t xml:space="preserve"> علو و استعلای آمر شرط خواهد بود</w:t>
      </w:r>
      <w:r w:rsidR="00B623ED">
        <w:rPr>
          <w:rFonts w:hint="cs"/>
          <w:rtl/>
        </w:rPr>
        <w:t xml:space="preserve">؛ چون در صورتی که فرد دانی یا مساوی طلب کرده باشد، از تعبیر «فرمان داد» استفاده نمی شود کما اینکه اگر عالی فعلی را از عبد خود به قصد اعمال مولویت طلب نکرده باشد، </w:t>
      </w:r>
      <w:r w:rsidR="0070205A">
        <w:rPr>
          <w:rFonts w:hint="cs"/>
          <w:rtl/>
        </w:rPr>
        <w:t xml:space="preserve">مثل طبیب که چه بسا عالی از مراجعه کننده است که اگر اعمال مولویت نکرده باشد بلکه به داعی ارشاد طلب کرده باشد، </w:t>
      </w:r>
      <w:r w:rsidR="00B623ED">
        <w:rPr>
          <w:rFonts w:hint="cs"/>
          <w:rtl/>
        </w:rPr>
        <w:t>در مورد او فرمان دادن به کار برده نمی شود.</w:t>
      </w:r>
    </w:p>
    <w:p w:rsidR="00CF7247" w:rsidRDefault="00CF7247" w:rsidP="00230EE2">
      <w:pPr>
        <w:jc w:val="both"/>
        <w:rPr>
          <w:rFonts w:hint="cs"/>
          <w:rtl/>
        </w:rPr>
      </w:pPr>
      <w:r>
        <w:rPr>
          <w:rFonts w:hint="cs"/>
          <w:rtl/>
        </w:rPr>
        <w:t>اما نکته مهم این است که به نظر ما لفظ «أمر» مرادف «فرمان» در زبان فارسی نیست</w:t>
      </w:r>
      <w:r w:rsidR="00480E3D">
        <w:rPr>
          <w:rFonts w:hint="cs"/>
          <w:rtl/>
        </w:rPr>
        <w:t>،</w:t>
      </w:r>
      <w:r>
        <w:rPr>
          <w:rFonts w:hint="cs"/>
          <w:rtl/>
        </w:rPr>
        <w:t xml:space="preserve"> بلکه لفظ امر مرادف «خواستن» است که در خواستن هیچ یک از علو و استعلاء لازم نیست.</w:t>
      </w:r>
    </w:p>
    <w:p w:rsidR="00CF7247" w:rsidRDefault="00CF7247" w:rsidP="00230EE2">
      <w:pPr>
        <w:jc w:val="both"/>
        <w:rPr>
          <w:rFonts w:hint="cs"/>
          <w:rtl/>
        </w:rPr>
      </w:pPr>
      <w:r>
        <w:rPr>
          <w:rFonts w:hint="cs"/>
          <w:rtl/>
        </w:rPr>
        <w:t xml:space="preserve">در مورد اینکه لفظ «أمر» مرادف </w:t>
      </w:r>
      <w:r w:rsidR="00D410E7">
        <w:rPr>
          <w:rFonts w:hint="cs"/>
          <w:rtl/>
        </w:rPr>
        <w:t>«خواستن» بوده و شامل التماس و استدعاء هم می شود، شواهدی وجود دارد که عبارتند از:</w:t>
      </w:r>
    </w:p>
    <w:p w:rsidR="00D410E7" w:rsidRDefault="00D410E7" w:rsidP="00230EE2">
      <w:pPr>
        <w:pStyle w:val="ListParagraph"/>
        <w:numPr>
          <w:ilvl w:val="0"/>
          <w:numId w:val="18"/>
        </w:numPr>
        <w:jc w:val="both"/>
        <w:rPr>
          <w:rFonts w:hint="cs"/>
        </w:rPr>
      </w:pPr>
      <w:r>
        <w:rPr>
          <w:rFonts w:hint="cs"/>
          <w:rtl/>
        </w:rPr>
        <w:lastRenderedPageBreak/>
        <w:t>در قرآن کریم آمده است که فرعون به اطرافیان خود تعبی</w:t>
      </w:r>
      <w:r>
        <w:rPr>
          <w:rFonts w:hint="cs"/>
          <w:rtl/>
        </w:rPr>
        <w:t xml:space="preserve">ر </w:t>
      </w:r>
      <w:r>
        <w:rPr>
          <w:rFonts w:ascii="Sakkal Majalla" w:hAnsi="Sakkal Majalla" w:cs="Sakkal Majalla" w:hint="cs"/>
          <w:rtl/>
        </w:rPr>
        <w:t>﴿</w:t>
      </w:r>
      <w:r w:rsidRPr="00D410E7">
        <w:rPr>
          <w:color w:val="008000"/>
          <w:rtl/>
        </w:rPr>
        <w:t>يُرِيدُ أَنْ يُخْرِجَكُمْ مِنْ أَرْضِكُمْ فَمَا ذَا تَأْمُرُونَ</w:t>
      </w:r>
      <w:r w:rsidRPr="00A061BA">
        <w:rPr>
          <w:rFonts w:ascii="Sakkal Majalla" w:hAnsi="Sakkal Majalla" w:cs="Sakkal Majalla" w:hint="cs"/>
          <w:color w:val="008000"/>
          <w:rtl/>
        </w:rPr>
        <w:t>﴾</w:t>
      </w:r>
      <w:r>
        <w:rPr>
          <w:rStyle w:val="FootnoteReference"/>
          <w:rtl/>
        </w:rPr>
        <w:footnoteReference w:id="10"/>
      </w:r>
      <w:r>
        <w:rPr>
          <w:rFonts w:hint="cs"/>
          <w:rtl/>
        </w:rPr>
        <w:t xml:space="preserve"> را بیان کرده است</w:t>
      </w:r>
      <w:r w:rsidR="00B627D7">
        <w:rPr>
          <w:rFonts w:hint="cs"/>
          <w:rtl/>
        </w:rPr>
        <w:t xml:space="preserve"> که در این تعبیر «تأمرون» به معنای فرمان دادن به فرعون نیست، بلکه به معنای خواستن است.</w:t>
      </w:r>
    </w:p>
    <w:p w:rsidR="00B627D7" w:rsidRDefault="00B627D7" w:rsidP="00230EE2">
      <w:pPr>
        <w:pStyle w:val="ListParagraph"/>
        <w:numPr>
          <w:ilvl w:val="0"/>
          <w:numId w:val="18"/>
        </w:numPr>
        <w:jc w:val="both"/>
        <w:rPr>
          <w:rFonts w:hint="cs"/>
        </w:rPr>
      </w:pPr>
      <w:r>
        <w:rPr>
          <w:rFonts w:hint="cs"/>
          <w:rtl/>
        </w:rPr>
        <w:t>در آیه شریف</w:t>
      </w:r>
      <w:r>
        <w:rPr>
          <w:rFonts w:hint="cs"/>
          <w:rtl/>
        </w:rPr>
        <w:t xml:space="preserve">ه </w:t>
      </w:r>
      <w:r>
        <w:rPr>
          <w:rFonts w:ascii="Sakkal Majalla" w:hAnsi="Sakkal Majalla" w:cs="Sakkal Majalla" w:hint="cs"/>
          <w:rtl/>
        </w:rPr>
        <w:t>﴿</w:t>
      </w:r>
      <w:r w:rsidRPr="00B627D7">
        <w:rPr>
          <w:color w:val="008000"/>
          <w:rtl/>
        </w:rPr>
        <w:t>أَ فَغَيْرَ اللَّهِ تَأْمُرُونِّي أَعْبُدُ أَيُّهَا الْجَاهِلُونَ</w:t>
      </w:r>
      <w:r w:rsidRPr="00A061BA">
        <w:rPr>
          <w:rFonts w:ascii="Sakkal Majalla" w:hAnsi="Sakkal Majalla" w:cs="Sakkal Majalla" w:hint="cs"/>
          <w:color w:val="008000"/>
          <w:rtl/>
        </w:rPr>
        <w:t>﴾</w:t>
      </w:r>
      <w:r>
        <w:rPr>
          <w:rStyle w:val="FootnoteReference"/>
          <w:rtl/>
        </w:rPr>
        <w:footnoteReference w:id="11"/>
      </w:r>
      <w:r>
        <w:rPr>
          <w:rFonts w:hint="cs"/>
          <w:rtl/>
        </w:rPr>
        <w:t xml:space="preserve"> </w:t>
      </w:r>
      <w:r w:rsidR="00CD11EF">
        <w:rPr>
          <w:rFonts w:hint="cs"/>
          <w:rtl/>
        </w:rPr>
        <w:t>تعبیر امر به کار رفته است و عرفی نیست که درخواست عبادت غیر خدای متعال از سوی جاهلان به معنای فرمان باشد.</w:t>
      </w:r>
    </w:p>
    <w:p w:rsidR="00CD11EF" w:rsidRDefault="00CD11EF" w:rsidP="008D0D1D">
      <w:pPr>
        <w:pStyle w:val="ListParagraph"/>
        <w:numPr>
          <w:ilvl w:val="0"/>
          <w:numId w:val="18"/>
        </w:numPr>
        <w:jc w:val="both"/>
        <w:rPr>
          <w:rFonts w:hint="cs"/>
        </w:rPr>
      </w:pPr>
      <w:r>
        <w:rPr>
          <w:rFonts w:hint="cs"/>
          <w:rtl/>
        </w:rPr>
        <w:t xml:space="preserve">در تاریخ طبری آمده است: </w:t>
      </w:r>
      <w:r w:rsidRPr="004220D9">
        <w:rPr>
          <w:rFonts w:hint="cs"/>
          <w:color w:val="000080"/>
          <w:rtl/>
        </w:rPr>
        <w:t>«کتب مسلم بن عقیل من الکوفة الی الحسین علیه السلام و أمره بالقدوم»</w:t>
      </w:r>
      <w:r w:rsidR="004220D9">
        <w:rPr>
          <w:rStyle w:val="FootnoteReference"/>
          <w:rtl/>
        </w:rPr>
        <w:footnoteReference w:id="12"/>
      </w:r>
      <w:r>
        <w:rPr>
          <w:rFonts w:hint="cs"/>
          <w:rtl/>
        </w:rPr>
        <w:t xml:space="preserve"> که </w:t>
      </w:r>
      <w:r w:rsidR="00A16845">
        <w:rPr>
          <w:rFonts w:hint="cs"/>
          <w:rtl/>
        </w:rPr>
        <w:t>گوینده این تعبیر که شخص عرفی است، امر را به معنای فرمان دادن مسلم بن عقیل به سید الشهداء علیه السلام ذکر نمی کند بلکه مقصود این است که مسلم بن عقیل از سید الشهداء درخواست آمدن کرده است.</w:t>
      </w:r>
    </w:p>
    <w:p w:rsidR="00A16845" w:rsidRDefault="00A16845" w:rsidP="00230EE2">
      <w:pPr>
        <w:pStyle w:val="ListParagraph"/>
        <w:numPr>
          <w:ilvl w:val="0"/>
          <w:numId w:val="18"/>
        </w:numPr>
        <w:jc w:val="both"/>
        <w:rPr>
          <w:rFonts w:hint="cs"/>
        </w:rPr>
      </w:pPr>
      <w:r>
        <w:rPr>
          <w:rFonts w:hint="cs"/>
          <w:rtl/>
        </w:rPr>
        <w:t xml:space="preserve">در کتاب الغارات صفحه 372 از جلد یک نقل کرده است که بعد از حادثه ای که برای بنی ناجیه رخ داده و </w:t>
      </w:r>
      <w:r w:rsidR="00BF714C">
        <w:rPr>
          <w:rFonts w:hint="cs"/>
          <w:rtl/>
        </w:rPr>
        <w:t xml:space="preserve">در جنگ با امیرالمؤمنین علیه السلام </w:t>
      </w:r>
      <w:r>
        <w:rPr>
          <w:rFonts w:hint="cs"/>
          <w:rtl/>
        </w:rPr>
        <w:t>رهبرشان کشته شده است</w:t>
      </w:r>
      <w:r w:rsidR="00BF714C">
        <w:rPr>
          <w:rFonts w:hint="cs"/>
          <w:rtl/>
        </w:rPr>
        <w:t>،</w:t>
      </w:r>
      <w:r w:rsidR="00BF714C" w:rsidRPr="00BF714C">
        <w:rPr>
          <w:rFonts w:hint="cs"/>
          <w:rtl/>
        </w:rPr>
        <w:t xml:space="preserve"> </w:t>
      </w:r>
      <w:r w:rsidR="00BF714C">
        <w:rPr>
          <w:rFonts w:hint="cs"/>
          <w:rtl/>
        </w:rPr>
        <w:t>امیرالمؤمنین علیه السلام</w:t>
      </w:r>
      <w:r w:rsidR="00B97588">
        <w:rPr>
          <w:rFonts w:hint="cs"/>
          <w:rtl/>
        </w:rPr>
        <w:t xml:space="preserve"> نقل کرده اند که </w:t>
      </w:r>
      <w:r w:rsidR="00FA240F">
        <w:rPr>
          <w:rFonts w:hint="cs"/>
          <w:rtl/>
        </w:rPr>
        <w:t xml:space="preserve">در مورد </w:t>
      </w:r>
      <w:r w:rsidR="00B97588">
        <w:rPr>
          <w:rFonts w:hint="cs"/>
          <w:rtl/>
        </w:rPr>
        <w:t>دو نفری که با ایشان بیعت نکرده بوده اند، با رهبر بنی ناجیه مشورت کرده و از تعبیر «فما</w:t>
      </w:r>
      <w:r w:rsidR="00996CD7">
        <w:rPr>
          <w:rFonts w:hint="cs"/>
          <w:rtl/>
        </w:rPr>
        <w:t xml:space="preserve"> ذا تأمرنی به» استفاده کرده اند و در ادامه نیز آن فرد در پاسخ عرض کرده است: «إنی آمرک أن تدعو بهما فتضربهما».</w:t>
      </w:r>
    </w:p>
    <w:p w:rsidR="00D94ED2" w:rsidRDefault="00996CD7" w:rsidP="00230EE2">
      <w:pPr>
        <w:pStyle w:val="ListParagraph"/>
        <w:jc w:val="both"/>
        <w:rPr>
          <w:rtl/>
        </w:rPr>
      </w:pPr>
      <w:r>
        <w:rPr>
          <w:rFonts w:hint="cs"/>
          <w:rtl/>
        </w:rPr>
        <w:t xml:space="preserve">در این نقل مقصود حضرت امیرالمؤمنین علیه السلام </w:t>
      </w:r>
      <w:r w:rsidR="00D94ED2">
        <w:rPr>
          <w:rFonts w:hint="cs"/>
          <w:rtl/>
        </w:rPr>
        <w:t>بیان امر از سوی رهبر بنی ناجیه نبوده است، بلکه درخواست او را خواسته است که در این شرائط مخاطب امیرالمؤمنین علیه السلام علو نداشته و استعلاء نیز نداشته است.</w:t>
      </w:r>
    </w:p>
    <w:p w:rsidR="00AB06FD" w:rsidRDefault="00AB06FD" w:rsidP="00230EE2">
      <w:pPr>
        <w:jc w:val="both"/>
        <w:rPr>
          <w:rFonts w:hint="cs"/>
          <w:rtl/>
        </w:rPr>
      </w:pPr>
      <w:r>
        <w:rPr>
          <w:rFonts w:hint="cs"/>
          <w:rtl/>
        </w:rPr>
        <w:t>تاکنون موارد متعددی از استعمال امر بیان شد که در آنها در آمر علو و استعلاء وجود ندارد. از طرف دیگر نکته ای که موجب حمل این استعمالات بر مجاز شود، احساس نمی شود.</w:t>
      </w:r>
    </w:p>
    <w:p w:rsidR="00F419C9" w:rsidRDefault="00AB06FD" w:rsidP="00230EE2">
      <w:pPr>
        <w:jc w:val="both"/>
        <w:rPr>
          <w:rtl/>
        </w:rPr>
      </w:pPr>
      <w:r>
        <w:rPr>
          <w:rFonts w:hint="cs"/>
          <w:rtl/>
        </w:rPr>
        <w:t xml:space="preserve">ممکن است در اینجا اشکال شود که چه بسا لفظ امر مشترک لفظی بین </w:t>
      </w:r>
      <w:r w:rsidR="00A061BA">
        <w:rPr>
          <w:rFonts w:hint="cs"/>
          <w:rtl/>
        </w:rPr>
        <w:t xml:space="preserve">دو معنای «دستور و فرمان» و «ابداء رأی در مقام مشورت» باشد که معنای دوم ماده «ائتمار» است کما اینکه در آیه شریفه </w:t>
      </w:r>
      <w:r w:rsidR="00A061BA" w:rsidRPr="00A061BA">
        <w:rPr>
          <w:rFonts w:ascii="Sakkal Majalla" w:hAnsi="Sakkal Majalla" w:cs="Sakkal Majalla" w:hint="cs"/>
          <w:color w:val="008000"/>
          <w:rtl/>
        </w:rPr>
        <w:t>﴿</w:t>
      </w:r>
      <w:r w:rsidR="00A061BA" w:rsidRPr="00A061BA">
        <w:rPr>
          <w:color w:val="008000"/>
          <w:rtl/>
        </w:rPr>
        <w:t>إ</w:t>
      </w:r>
      <w:r w:rsidR="00A061BA" w:rsidRPr="00A061BA">
        <w:rPr>
          <w:color w:val="008000"/>
          <w:rtl/>
        </w:rPr>
        <w:t>ِنَّ الْمَلَأَ يَأْتَمِرُونَ بِكَ</w:t>
      </w:r>
      <w:r w:rsidR="00A061BA" w:rsidRPr="00A061BA">
        <w:rPr>
          <w:rFonts w:ascii="Sakkal Majalla" w:hAnsi="Sakkal Majalla" w:cs="Sakkal Majalla" w:hint="cs"/>
          <w:color w:val="008000"/>
          <w:rtl/>
        </w:rPr>
        <w:t>﴾</w:t>
      </w:r>
      <w:r w:rsidR="00A061BA">
        <w:rPr>
          <w:rStyle w:val="FootnoteReference"/>
          <w:rtl/>
        </w:rPr>
        <w:footnoteReference w:id="13"/>
      </w:r>
      <w:r w:rsidR="00A061BA">
        <w:rPr>
          <w:rFonts w:hint="cs"/>
          <w:rtl/>
        </w:rPr>
        <w:t xml:space="preserve"> بیان شده است </w:t>
      </w:r>
      <w:r w:rsidR="002316FA">
        <w:rPr>
          <w:rFonts w:hint="cs"/>
          <w:rtl/>
        </w:rPr>
        <w:t xml:space="preserve">و یا «استأمر فلانا» به معنای بیان رأی است که همان استشاره خواهد بود و لذا در نهایه ابن اثیر آمده است: </w:t>
      </w:r>
      <w:r w:rsidR="002316FA" w:rsidRPr="004F78C8">
        <w:rPr>
          <w:rFonts w:hint="cs"/>
          <w:color w:val="000080"/>
          <w:rtl/>
        </w:rPr>
        <w:t>«آمر</w:t>
      </w:r>
      <w:r w:rsidR="00643F86" w:rsidRPr="004F78C8">
        <w:rPr>
          <w:rFonts w:hint="cs"/>
          <w:color w:val="000080"/>
          <w:rtl/>
        </w:rPr>
        <w:t>وا</w:t>
      </w:r>
      <w:r w:rsidR="002316FA" w:rsidRPr="004F78C8">
        <w:rPr>
          <w:rFonts w:hint="cs"/>
          <w:color w:val="000080"/>
          <w:rtl/>
        </w:rPr>
        <w:t xml:space="preserve"> النساء</w:t>
      </w:r>
      <w:r w:rsidR="00643F86" w:rsidRPr="004F78C8">
        <w:rPr>
          <w:rFonts w:hint="cs"/>
          <w:color w:val="000080"/>
          <w:rtl/>
        </w:rPr>
        <w:t xml:space="preserve"> فی أنفسهن أی شاوروهن فی تزویجهن»</w:t>
      </w:r>
      <w:r w:rsidR="004F78C8">
        <w:rPr>
          <w:rStyle w:val="FootnoteReference"/>
          <w:rtl/>
        </w:rPr>
        <w:footnoteReference w:id="14"/>
      </w:r>
      <w:r w:rsidR="004F78C8">
        <w:rPr>
          <w:rFonts w:hint="cs"/>
          <w:rtl/>
        </w:rPr>
        <w:t>.</w:t>
      </w:r>
    </w:p>
    <w:p w:rsidR="00F419C9" w:rsidRPr="00424FE1" w:rsidRDefault="00F419C9" w:rsidP="00230EE2">
      <w:pPr>
        <w:jc w:val="both"/>
        <w:rPr>
          <w:rFonts w:hint="cs"/>
          <w:rtl/>
        </w:rPr>
      </w:pPr>
      <w:r>
        <w:rPr>
          <w:rFonts w:hint="cs"/>
          <w:rtl/>
        </w:rPr>
        <w:t>پاسخ ادعای ذکر شده این است که مطلب ذکر شده شاهدی ندارد بلکه شواهد علیه آن است کما اینکه در نامه</w:t>
      </w:r>
      <w:r>
        <w:rPr>
          <w:rFonts w:hint="eastAsia"/>
          <w:rtl/>
        </w:rPr>
        <w:t>‌</w:t>
      </w:r>
      <w:r>
        <w:rPr>
          <w:rFonts w:hint="cs"/>
          <w:rtl/>
        </w:rPr>
        <w:t xml:space="preserve">ی مسلم بن عقیل </w:t>
      </w:r>
      <w:r w:rsidR="002B6513">
        <w:rPr>
          <w:rFonts w:hint="cs"/>
          <w:rtl/>
        </w:rPr>
        <w:t xml:space="preserve">مشورتی در بین نبوده است و خلاف وجدان است که امر در این مورد با سایر موارد مشترک لفظی باشد. بنابراین </w:t>
      </w:r>
      <w:r w:rsidR="002B6513">
        <w:rPr>
          <w:rFonts w:hint="cs"/>
          <w:rtl/>
        </w:rPr>
        <w:lastRenderedPageBreak/>
        <w:t xml:space="preserve">امر به معنای خواستن است و مؤید این مطلب این است که امر در مقابل نهی است، در حالی که در صدق نهی کسی ادعاء نکرده است که </w:t>
      </w:r>
      <w:r w:rsidR="00A263D5">
        <w:rPr>
          <w:rFonts w:hint="cs"/>
          <w:rtl/>
        </w:rPr>
        <w:t xml:space="preserve">باید از فرد عالی یا مستعلی به کار برده شود که به همین </w:t>
      </w:r>
      <w:r w:rsidR="001127BA">
        <w:rPr>
          <w:rFonts w:hint="cs"/>
          <w:rtl/>
        </w:rPr>
        <w:t>جهت این دو قرینه یکدیگر هستند. در نتیجه وقتی در صدق نهی علو و استعلاء شرط نباشد، در صدق امر نیز علو و استعلاء شرط نخواهد بود.</w:t>
      </w:r>
      <w:r w:rsidR="002B6513">
        <w:rPr>
          <w:rFonts w:hint="cs"/>
          <w:rtl/>
        </w:rPr>
        <w:t xml:space="preserve"> </w:t>
      </w:r>
    </w:p>
    <w:sectPr w:rsidR="00F419C9" w:rsidRPr="00424FE1"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383" w:rsidRDefault="00BD3383" w:rsidP="008B750B">
      <w:pPr>
        <w:spacing w:line="240" w:lineRule="auto"/>
      </w:pPr>
      <w:r>
        <w:separator/>
      </w:r>
    </w:p>
  </w:endnote>
  <w:endnote w:type="continuationSeparator" w:id="0">
    <w:p w:rsidR="00BD3383" w:rsidRDefault="00BD3383"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5311DF" w:rsidTr="0020241A">
      <w:tc>
        <w:tcPr>
          <w:tcW w:w="3382" w:type="dxa"/>
          <w:tcBorders>
            <w:top w:val="nil"/>
            <w:left w:val="nil"/>
            <w:bottom w:val="nil"/>
            <w:right w:val="nil"/>
          </w:tcBorders>
        </w:tcPr>
        <w:p w:rsidR="006D44C1" w:rsidRPr="005311DF" w:rsidRDefault="006D44C1" w:rsidP="006D44C1">
          <w:pPr>
            <w:pStyle w:val="Footer"/>
            <w:rPr>
              <w:sz w:val="20"/>
              <w:szCs w:val="26"/>
              <w:rtl/>
            </w:rPr>
          </w:pPr>
          <w:r w:rsidRPr="005311DF">
            <w:rPr>
              <w:rFonts w:hint="cs"/>
              <w:color w:val="808080" w:themeColor="background1" w:themeShade="80"/>
              <w:sz w:val="20"/>
              <w:szCs w:val="26"/>
              <w:rtl/>
            </w:rPr>
            <w:t>مدرسه فقهی امام محمدباقر علیه السلام</w:t>
          </w:r>
        </w:p>
      </w:tc>
      <w:tc>
        <w:tcPr>
          <w:tcW w:w="2252" w:type="dxa"/>
          <w:tcBorders>
            <w:top w:val="nil"/>
            <w:left w:val="nil"/>
            <w:bottom w:val="nil"/>
            <w:right w:val="nil"/>
          </w:tcBorders>
          <w:vAlign w:val="center"/>
        </w:tcPr>
        <w:p w:rsidR="006D44C1" w:rsidRPr="005311DF" w:rsidRDefault="006D44C1" w:rsidP="006D44C1">
          <w:pPr>
            <w:pStyle w:val="Footer"/>
            <w:jc w:val="right"/>
            <w:rPr>
              <w:sz w:val="20"/>
              <w:szCs w:val="26"/>
              <w:rtl/>
            </w:rPr>
          </w:pPr>
          <w:r w:rsidRPr="005311DF">
            <w:rPr>
              <w:rFonts w:hint="cs"/>
              <w:sz w:val="20"/>
              <w:szCs w:val="26"/>
              <w:rtl/>
            </w:rPr>
            <w:t xml:space="preserve">صفحه </w:t>
          </w:r>
          <w:r w:rsidRPr="005311DF">
            <w:rPr>
              <w:sz w:val="20"/>
              <w:szCs w:val="26"/>
            </w:rPr>
            <w:fldChar w:fldCharType="begin"/>
          </w:r>
          <w:r w:rsidRPr="005311DF">
            <w:rPr>
              <w:sz w:val="20"/>
              <w:szCs w:val="26"/>
            </w:rPr>
            <w:instrText>PAGE   \* MERGEFORMAT</w:instrText>
          </w:r>
          <w:r w:rsidRPr="005311DF">
            <w:rPr>
              <w:sz w:val="20"/>
              <w:szCs w:val="26"/>
            </w:rPr>
            <w:fldChar w:fldCharType="separate"/>
          </w:r>
          <w:r w:rsidR="00131654" w:rsidRPr="00131654">
            <w:rPr>
              <w:noProof/>
              <w:sz w:val="20"/>
              <w:szCs w:val="26"/>
              <w:rtl/>
              <w:lang w:val="fa-IR"/>
            </w:rPr>
            <w:t>5</w:t>
          </w:r>
          <w:r w:rsidRPr="005311DF">
            <w:rPr>
              <w:noProof/>
              <w:sz w:val="20"/>
              <w:szCs w:val="26"/>
            </w:rPr>
            <w:fldChar w:fldCharType="end"/>
          </w:r>
        </w:p>
      </w:tc>
      <w:tc>
        <w:tcPr>
          <w:tcW w:w="4786" w:type="dxa"/>
          <w:tcBorders>
            <w:top w:val="nil"/>
            <w:left w:val="nil"/>
            <w:bottom w:val="nil"/>
            <w:right w:val="nil"/>
          </w:tcBorders>
          <w:vAlign w:val="center"/>
        </w:tcPr>
        <w:p w:rsidR="006D44C1" w:rsidRPr="005311DF" w:rsidRDefault="00ED6133" w:rsidP="001B6799">
          <w:pPr>
            <w:pStyle w:val="Footer"/>
            <w:bidi w:val="0"/>
            <w:rPr>
              <w:color w:val="808080" w:themeColor="background1" w:themeShade="80"/>
              <w:sz w:val="20"/>
              <w:szCs w:val="26"/>
              <w:rtl/>
            </w:rPr>
          </w:pPr>
          <w:bookmarkStart w:id="22" w:name="BokAdres"/>
          <w:bookmarkEnd w:id="22"/>
          <w:r w:rsidRPr="005311DF">
            <w:rPr>
              <w:color w:val="808080" w:themeColor="background1" w:themeShade="80"/>
              <w:sz w:val="20"/>
              <w:szCs w:val="26"/>
            </w:rPr>
            <w:t>U1ms4_13990110-109_mm2_mfeb.ir</w:t>
          </w:r>
        </w:p>
      </w:tc>
    </w:tr>
  </w:tbl>
  <w:p w:rsidR="00FA3B17" w:rsidRPr="005311DF" w:rsidRDefault="00FA3B17" w:rsidP="00FA5F3D">
    <w:pPr>
      <w:pStyle w:val="Footer"/>
      <w:jc w:val="center"/>
      <w:rP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383" w:rsidRDefault="00BD3383" w:rsidP="008B750B">
      <w:pPr>
        <w:spacing w:line="240" w:lineRule="auto"/>
      </w:pPr>
      <w:r>
        <w:separator/>
      </w:r>
    </w:p>
  </w:footnote>
  <w:footnote w:type="continuationSeparator" w:id="0">
    <w:p w:rsidR="00BD3383" w:rsidRDefault="00BD3383" w:rsidP="008B750B">
      <w:pPr>
        <w:spacing w:line="240" w:lineRule="auto"/>
      </w:pPr>
      <w:r>
        <w:continuationSeparator/>
      </w:r>
    </w:p>
  </w:footnote>
  <w:footnote w:id="1">
    <w:p w:rsidR="00E65648" w:rsidRPr="00E65648" w:rsidRDefault="0082410D" w:rsidP="0082410D">
      <w:pPr>
        <w:pStyle w:val="FootnoteText"/>
        <w:jc w:val="lowKashida"/>
        <w:rPr>
          <w:rtl/>
        </w:rPr>
      </w:pPr>
      <w:r w:rsidRPr="0082410D">
        <w:rPr>
          <w:rStyle w:val="FootnoteReference"/>
          <w:vertAlign w:val="baseline"/>
        </w:rPr>
        <w:footnoteRef/>
      </w:r>
      <w:r>
        <w:rPr>
          <w:rStyle w:val="FootnoteReference"/>
          <w:vertAlign w:val="baseline"/>
          <w:rtl/>
        </w:rPr>
        <w:t>.</w:t>
      </w:r>
      <w:r w:rsidR="00E65648">
        <w:rPr>
          <w:rtl/>
        </w:rPr>
        <w:t xml:space="preserve"> </w:t>
      </w:r>
      <w:r w:rsidR="00E65648">
        <w:rPr>
          <w:rFonts w:hint="cs"/>
          <w:rtl/>
        </w:rPr>
        <w:t>شواهد آقای سیستانی که در جلسه پیشین تبیین شد عبارتند از:</w:t>
      </w:r>
    </w:p>
    <w:p w:rsidR="00E65648" w:rsidRPr="00E65648" w:rsidRDefault="00E65648" w:rsidP="0082410D">
      <w:pPr>
        <w:pStyle w:val="FootnoteText"/>
        <w:numPr>
          <w:ilvl w:val="0"/>
          <w:numId w:val="19"/>
        </w:numPr>
        <w:jc w:val="lowKashida"/>
      </w:pPr>
      <w:r w:rsidRPr="00E65648">
        <w:rPr>
          <w:rFonts w:hint="cs"/>
          <w:rtl/>
        </w:rPr>
        <w:t xml:space="preserve">در قرآن کریم تعبیر </w:t>
      </w:r>
      <w:r w:rsidRPr="00E65648">
        <w:rPr>
          <w:rFonts w:ascii="Sakkal Majalla" w:hAnsi="Sakkal Majalla" w:cs="Sakkal Majalla" w:hint="cs"/>
          <w:rtl/>
        </w:rPr>
        <w:t>﴿</w:t>
      </w:r>
      <w:r w:rsidRPr="00E65648">
        <w:rPr>
          <w:rFonts w:hint="cs"/>
          <w:rtl/>
        </w:rPr>
        <w:t>ل</w:t>
      </w:r>
      <w:r w:rsidRPr="00E65648">
        <w:rPr>
          <w:rtl/>
        </w:rPr>
        <w:t>اَ تَتَّبِعُوا خُطُوَاتِ الشَّيْطَانِ وَ مَنْ يَتَّبِعْ خُطُوَاتِ الشَّيْطَانِ فَإِنَّهُ يَأْمُرُ بِالْفَحْشَاءِ وَ الْمُنْكَرِ</w:t>
      </w:r>
      <w:r w:rsidRPr="00E65648">
        <w:rPr>
          <w:rFonts w:ascii="Sakkal Majalla" w:hAnsi="Sakkal Majalla" w:cs="Sakkal Majalla" w:hint="cs"/>
          <w:rtl/>
        </w:rPr>
        <w:t>﴾</w:t>
      </w:r>
      <w:r w:rsidRPr="00E65648">
        <w:rPr>
          <w:rFonts w:hint="cs"/>
          <w:rtl/>
        </w:rPr>
        <w:t xml:space="preserve"> به کار رفته است که شیطان انشای طلب نمی کند، عمل شیطان تحریک به فحشاء است. </w:t>
      </w:r>
    </w:p>
    <w:p w:rsidR="00E65648" w:rsidRPr="00E65648" w:rsidRDefault="00E65648" w:rsidP="0082410D">
      <w:pPr>
        <w:pStyle w:val="FootnoteText"/>
        <w:numPr>
          <w:ilvl w:val="0"/>
          <w:numId w:val="19"/>
        </w:numPr>
        <w:jc w:val="lowKashida"/>
      </w:pPr>
      <w:r w:rsidRPr="00E65648">
        <w:rPr>
          <w:rFonts w:hint="cs"/>
          <w:rtl/>
        </w:rPr>
        <w:t xml:space="preserve">مورد دوم تعبیر </w:t>
      </w:r>
      <w:r w:rsidRPr="00E65648">
        <w:rPr>
          <w:rFonts w:ascii="Sakkal Majalla" w:hAnsi="Sakkal Majalla" w:cs="Sakkal Majalla" w:hint="cs"/>
          <w:rtl/>
        </w:rPr>
        <w:t>﴿</w:t>
      </w:r>
      <w:r w:rsidRPr="00E65648">
        <w:rPr>
          <w:rtl/>
        </w:rPr>
        <w:t>إِنَّ النَّفْسَ لَأَمَّارَةٌ بِالسُّوءِ</w:t>
      </w:r>
      <w:r w:rsidRPr="00E65648">
        <w:rPr>
          <w:rFonts w:ascii="Sakkal Majalla" w:hAnsi="Sakkal Majalla" w:cs="Sakkal Majalla" w:hint="cs"/>
          <w:rtl/>
        </w:rPr>
        <w:t>﴾</w:t>
      </w:r>
      <w:r w:rsidRPr="00E65648">
        <w:rPr>
          <w:rFonts w:hint="cs"/>
          <w:rtl/>
        </w:rPr>
        <w:t xml:space="preserve">است که نفس تحریک به سمت عمل سوء می کند. </w:t>
      </w:r>
    </w:p>
    <w:p w:rsidR="00E65648" w:rsidRPr="00E65648" w:rsidRDefault="00E65648" w:rsidP="0082410D">
      <w:pPr>
        <w:pStyle w:val="FootnoteText"/>
        <w:numPr>
          <w:ilvl w:val="0"/>
          <w:numId w:val="19"/>
        </w:numPr>
        <w:jc w:val="lowKashida"/>
        <w:rPr>
          <w:rtl/>
        </w:rPr>
      </w:pPr>
      <w:r w:rsidRPr="00E65648">
        <w:rPr>
          <w:rFonts w:hint="cs"/>
          <w:rtl/>
        </w:rPr>
        <w:t xml:space="preserve">مورد سوم این است که خدای متعال از تعبیر </w:t>
      </w:r>
      <w:r w:rsidRPr="00E65648">
        <w:rPr>
          <w:rFonts w:ascii="Sakkal Majalla" w:hAnsi="Sakkal Majalla" w:cs="Sakkal Majalla" w:hint="cs"/>
          <w:rtl/>
        </w:rPr>
        <w:t>﴿</w:t>
      </w:r>
      <w:r w:rsidRPr="00E65648">
        <w:rPr>
          <w:rtl/>
        </w:rPr>
        <w:t>قُلْ بِئْسَمَا يَأْمُرُكُمْ بِهِ إِيمَانُكُمْ إِنْ كُنْتُمْ مُؤْمِنِ</w:t>
      </w:r>
      <w:r w:rsidRPr="00E65648">
        <w:rPr>
          <w:rFonts w:hint="cs"/>
          <w:rtl/>
        </w:rPr>
        <w:t>ین</w:t>
      </w:r>
      <w:r w:rsidRPr="00E65648">
        <w:rPr>
          <w:rFonts w:ascii="Sakkal Majalla" w:hAnsi="Sakkal Majalla" w:cs="Sakkal Majalla" w:hint="cs"/>
          <w:rtl/>
        </w:rPr>
        <w:t>﴾</w:t>
      </w:r>
      <w:r w:rsidRPr="00E65648">
        <w:rPr>
          <w:rFonts w:hint="cs"/>
          <w:rtl/>
        </w:rPr>
        <w:t xml:space="preserve"> استفاده کرده است، در حالی که ایمان افراد، انشای بعث نکرده و فرمان به فعل نداده است، بلکه صرفا تحریک به سمت فعل کرده است.</w:t>
      </w:r>
    </w:p>
    <w:p w:rsidR="00E65648" w:rsidRPr="00E65648" w:rsidRDefault="00E65648" w:rsidP="0082410D">
      <w:pPr>
        <w:pStyle w:val="FootnoteText"/>
        <w:numPr>
          <w:ilvl w:val="0"/>
          <w:numId w:val="19"/>
        </w:numPr>
        <w:jc w:val="lowKashida"/>
        <w:rPr>
          <w:rtl/>
        </w:rPr>
      </w:pPr>
      <w:r w:rsidRPr="00E65648">
        <w:rPr>
          <w:rFonts w:hint="cs"/>
          <w:rtl/>
        </w:rPr>
        <w:t xml:space="preserve">مورد چهارم آیه شریفه </w:t>
      </w:r>
      <w:r w:rsidRPr="00E65648">
        <w:rPr>
          <w:rFonts w:ascii="Sakkal Majalla" w:hAnsi="Sakkal Majalla" w:cs="Sakkal Majalla" w:hint="cs"/>
          <w:rtl/>
        </w:rPr>
        <w:t>﴿</w:t>
      </w:r>
      <w:r w:rsidRPr="00E65648">
        <w:rPr>
          <w:rtl/>
        </w:rPr>
        <w:t>أَ صَلاَتُكَ تَأْمُرُكَ أَنْ نَتْرُكَ مَا يَعْبُدُ آبَاؤُنَا أَوْ أَنْ نَفْعَلَ فِي أَمْوَالِنَا مَا نَشَاء</w:t>
      </w:r>
      <w:r w:rsidRPr="00E65648">
        <w:rPr>
          <w:rFonts w:ascii="Sakkal Majalla" w:hAnsi="Sakkal Majalla" w:cs="Sakkal Majalla" w:hint="cs"/>
          <w:rtl/>
        </w:rPr>
        <w:t>﴾</w:t>
      </w:r>
      <w:r w:rsidRPr="00E65648">
        <w:rPr>
          <w:rFonts w:hint="cs"/>
          <w:rtl/>
        </w:rPr>
        <w:t xml:space="preserve">است که صلات وادار به دست برداشتن از عبادت بت ها کرده است. </w:t>
      </w:r>
    </w:p>
    <w:p w:rsidR="00A35B5D" w:rsidRDefault="00E65648" w:rsidP="0082410D">
      <w:pPr>
        <w:pStyle w:val="FootnoteText"/>
        <w:numPr>
          <w:ilvl w:val="0"/>
          <w:numId w:val="19"/>
        </w:numPr>
        <w:jc w:val="lowKashida"/>
      </w:pPr>
      <w:r w:rsidRPr="00E65648">
        <w:rPr>
          <w:rFonts w:hint="cs"/>
          <w:rtl/>
        </w:rPr>
        <w:t>در لسان العرب نیز تعبیر «</w:t>
      </w:r>
      <w:r w:rsidRPr="00E65648">
        <w:rPr>
          <w:rtl/>
        </w:rPr>
        <w:t>و رَبْرَبٍ خِماصِ يَأْمُرْنَ باقْتِناصِ</w:t>
      </w:r>
      <w:r w:rsidRPr="00E65648">
        <w:rPr>
          <w:rFonts w:hint="cs"/>
          <w:rtl/>
        </w:rPr>
        <w:t>» بیان شده است که أمر زنان به معنای انشای بعث نیست بلکه تحریک عملی مردان به سمت خودشان است.</w:t>
      </w:r>
    </w:p>
    <w:p w:rsidR="00E65648" w:rsidRPr="00E65648" w:rsidRDefault="00E65648" w:rsidP="0082410D">
      <w:pPr>
        <w:pStyle w:val="FootnoteText"/>
        <w:numPr>
          <w:ilvl w:val="0"/>
          <w:numId w:val="19"/>
        </w:numPr>
        <w:jc w:val="lowKashida"/>
        <w:rPr>
          <w:rtl/>
        </w:rPr>
      </w:pPr>
      <w:r w:rsidRPr="00E65648">
        <w:rPr>
          <w:rFonts w:hint="cs"/>
          <w:rtl/>
        </w:rPr>
        <w:t xml:space="preserve">در موارد مشورت نیز از تعبیر «ائتمار» استفاده می شود کما اینکه در آیه شریفه </w:t>
      </w:r>
      <w:r w:rsidRPr="00A35B5D">
        <w:rPr>
          <w:rFonts w:ascii="Sakkal Majalla" w:hAnsi="Sakkal Majalla" w:cs="Sakkal Majalla" w:hint="cs"/>
          <w:rtl/>
        </w:rPr>
        <w:t>﴿</w:t>
      </w:r>
      <w:r w:rsidRPr="00E65648">
        <w:rPr>
          <w:rtl/>
        </w:rPr>
        <w:t>إِنَّ الْمَلَأَ يَأْتَمِرُونَ بِكَ لِيَقْتُلُوكَ</w:t>
      </w:r>
      <w:r w:rsidRPr="00A35B5D">
        <w:rPr>
          <w:rFonts w:ascii="Sakkal Majalla" w:hAnsi="Sakkal Majalla" w:cs="Sakkal Majalla" w:hint="cs"/>
          <w:rtl/>
        </w:rPr>
        <w:t>﴾</w:t>
      </w:r>
      <w:r w:rsidR="00230EE2">
        <w:rPr>
          <w:rFonts w:hint="cs"/>
          <w:vertAlign w:val="superscript"/>
          <w:rtl/>
        </w:rPr>
        <w:t xml:space="preserve"> </w:t>
      </w:r>
      <w:r w:rsidRPr="00E65648">
        <w:rPr>
          <w:rFonts w:hint="cs"/>
          <w:rtl/>
        </w:rPr>
        <w:t>تعبیر یأتمرون به معنای فرمان دادن نیست.</w:t>
      </w:r>
    </w:p>
    <w:p w:rsidR="00E65648" w:rsidRDefault="00A35B5D" w:rsidP="0082410D">
      <w:pPr>
        <w:pStyle w:val="FootnoteText"/>
        <w:jc w:val="lowKashida"/>
        <w:rPr>
          <w:rFonts w:hint="cs"/>
          <w:rtl/>
        </w:rPr>
      </w:pPr>
      <w:r>
        <w:rPr>
          <w:rFonts w:hint="cs"/>
          <w:rtl/>
        </w:rPr>
        <w:t xml:space="preserve">ایشان فرموده اند: </w:t>
      </w:r>
      <w:r w:rsidR="00E65648" w:rsidRPr="00E65648">
        <w:rPr>
          <w:rFonts w:hint="cs"/>
          <w:rtl/>
        </w:rPr>
        <w:t xml:space="preserve">در مورد اینکه أمر به معنای فرمان و انشای طلب نباشد، شواهد متعددی وجود دارد و در نتیجه أمر به معنای وادار کردن خواهد بود. </w:t>
      </w:r>
    </w:p>
  </w:footnote>
  <w:footnote w:id="2">
    <w:p w:rsidR="005311DF" w:rsidRPr="005311DF" w:rsidRDefault="0082410D" w:rsidP="0082410D">
      <w:pPr>
        <w:pStyle w:val="FootnoteText"/>
        <w:jc w:val="lowKashida"/>
        <w:rPr>
          <w:rFonts w:hint="cs"/>
          <w:rtl/>
        </w:rPr>
      </w:pPr>
      <w:r w:rsidRPr="0082410D">
        <w:footnoteRef/>
      </w:r>
      <w:r>
        <w:rPr>
          <w:rtl/>
        </w:rPr>
        <w:t>.</w:t>
      </w:r>
      <w:r w:rsidR="005311DF" w:rsidRPr="005311DF">
        <w:rPr>
          <w:rtl/>
        </w:rPr>
        <w:t xml:space="preserve"> </w:t>
      </w:r>
      <w:hyperlink r:id="rId1" w:history="1">
        <w:r w:rsidR="005311DF" w:rsidRPr="005311DF">
          <w:rPr>
            <w:rStyle w:val="Hyperlink"/>
            <w:rtl/>
          </w:rPr>
          <w:t>نها</w:t>
        </w:r>
        <w:r w:rsidR="005311DF" w:rsidRPr="005311DF">
          <w:rPr>
            <w:rStyle w:val="Hyperlink"/>
            <w:rFonts w:hint="cs"/>
            <w:rtl/>
          </w:rPr>
          <w:t>ی</w:t>
        </w:r>
        <w:r w:rsidR="005311DF" w:rsidRPr="005311DF">
          <w:rPr>
            <w:rStyle w:val="Hyperlink"/>
            <w:rFonts w:hint="eastAsia"/>
            <w:rtl/>
          </w:rPr>
          <w:t>ة</w:t>
        </w:r>
        <w:r w:rsidR="005311DF" w:rsidRPr="005311DF">
          <w:rPr>
            <w:rStyle w:val="Hyperlink"/>
            <w:rtl/>
          </w:rPr>
          <w:t xml:space="preserve"> النها</w:t>
        </w:r>
        <w:r w:rsidR="005311DF" w:rsidRPr="005311DF">
          <w:rPr>
            <w:rStyle w:val="Hyperlink"/>
            <w:rFonts w:hint="cs"/>
            <w:rtl/>
          </w:rPr>
          <w:t>ی</w:t>
        </w:r>
        <w:r w:rsidR="005311DF" w:rsidRPr="005311DF">
          <w:rPr>
            <w:rStyle w:val="Hyperlink"/>
            <w:rFonts w:hint="eastAsia"/>
            <w:rtl/>
          </w:rPr>
          <w:t>ه،</w:t>
        </w:r>
        <w:r w:rsidR="005311DF" w:rsidRPr="005311DF">
          <w:rPr>
            <w:rStyle w:val="Hyperlink"/>
            <w:rtl/>
          </w:rPr>
          <w:t xml:space="preserve"> عل</w:t>
        </w:r>
        <w:r w:rsidR="005311DF" w:rsidRPr="005311DF">
          <w:rPr>
            <w:rStyle w:val="Hyperlink"/>
            <w:rFonts w:hint="cs"/>
            <w:rtl/>
          </w:rPr>
          <w:t>ی</w:t>
        </w:r>
        <w:r w:rsidR="005311DF" w:rsidRPr="005311DF">
          <w:rPr>
            <w:rStyle w:val="Hyperlink"/>
            <w:rtl/>
          </w:rPr>
          <w:t xml:space="preserve"> ا</w:t>
        </w:r>
        <w:r w:rsidR="005311DF" w:rsidRPr="005311DF">
          <w:rPr>
            <w:rStyle w:val="Hyperlink"/>
            <w:rFonts w:hint="cs"/>
            <w:rtl/>
          </w:rPr>
          <w:t>ی</w:t>
        </w:r>
        <w:r w:rsidR="005311DF" w:rsidRPr="005311DF">
          <w:rPr>
            <w:rStyle w:val="Hyperlink"/>
            <w:rFonts w:hint="eastAsia"/>
            <w:rtl/>
          </w:rPr>
          <w:t>روان</w:t>
        </w:r>
        <w:r w:rsidR="005311DF" w:rsidRPr="005311DF">
          <w:rPr>
            <w:rStyle w:val="Hyperlink"/>
            <w:rFonts w:hint="cs"/>
            <w:rtl/>
          </w:rPr>
          <w:t>ی</w:t>
        </w:r>
        <w:r w:rsidR="005311DF" w:rsidRPr="005311DF">
          <w:rPr>
            <w:rStyle w:val="Hyperlink"/>
            <w:rFonts w:hint="eastAsia"/>
            <w:rtl/>
          </w:rPr>
          <w:t>،</w:t>
        </w:r>
        <w:r w:rsidR="005311DF" w:rsidRPr="005311DF">
          <w:rPr>
            <w:rStyle w:val="Hyperlink"/>
            <w:rtl/>
          </w:rPr>
          <w:t xml:space="preserve"> ج1، ص88.</w:t>
        </w:r>
      </w:hyperlink>
    </w:p>
  </w:footnote>
  <w:footnote w:id="3">
    <w:p w:rsidR="00112BA1" w:rsidRDefault="0082410D" w:rsidP="0082410D">
      <w:pPr>
        <w:pStyle w:val="FootnoteText"/>
        <w:jc w:val="lowKashida"/>
        <w:rPr>
          <w:rFonts w:hint="cs"/>
          <w:rtl/>
        </w:rPr>
      </w:pPr>
      <w:r w:rsidRPr="0082410D">
        <w:rPr>
          <w:rStyle w:val="FootnoteReference"/>
          <w:vertAlign w:val="baseline"/>
        </w:rPr>
        <w:footnoteRef/>
      </w:r>
      <w:r>
        <w:rPr>
          <w:rStyle w:val="FootnoteReference"/>
          <w:vertAlign w:val="baseline"/>
          <w:rtl/>
        </w:rPr>
        <w:t>.</w:t>
      </w:r>
      <w:r w:rsidR="00112BA1">
        <w:rPr>
          <w:rtl/>
        </w:rPr>
        <w:t xml:space="preserve"> </w:t>
      </w:r>
      <w:hyperlink r:id="rId2" w:history="1">
        <w:r w:rsidR="00112BA1" w:rsidRPr="009F7D42">
          <w:rPr>
            <w:rStyle w:val="Hyperlink"/>
            <w:rtl/>
          </w:rPr>
          <w:t>الكامل في التاريخ</w:t>
        </w:r>
        <w:r w:rsidR="00112BA1" w:rsidRPr="009F7D42">
          <w:rPr>
            <w:rStyle w:val="Hyperlink"/>
            <w:rFonts w:hint="cs"/>
            <w:rtl/>
          </w:rPr>
          <w:t xml:space="preserve">، </w:t>
        </w:r>
        <w:r w:rsidR="009F7D42" w:rsidRPr="009F7D42">
          <w:rPr>
            <w:rStyle w:val="Hyperlink"/>
            <w:rtl/>
          </w:rPr>
          <w:t>ابن الأثير، عزالد</w:t>
        </w:r>
        <w:r w:rsidR="009F7D42" w:rsidRPr="009F7D42">
          <w:rPr>
            <w:rStyle w:val="Hyperlink"/>
            <w:rFonts w:hint="cs"/>
            <w:rtl/>
          </w:rPr>
          <w:t>ی</w:t>
        </w:r>
        <w:r w:rsidR="009F7D42" w:rsidRPr="009F7D42">
          <w:rPr>
            <w:rStyle w:val="Hyperlink"/>
            <w:rFonts w:hint="eastAsia"/>
            <w:rtl/>
          </w:rPr>
          <w:t>ن</w:t>
        </w:r>
        <w:r w:rsidR="009F7D42" w:rsidRPr="009F7D42">
          <w:rPr>
            <w:rStyle w:val="Hyperlink"/>
            <w:rFonts w:hint="cs"/>
            <w:rtl/>
          </w:rPr>
          <w:t>، ج2،ص576.</w:t>
        </w:r>
      </w:hyperlink>
    </w:p>
  </w:footnote>
  <w:footnote w:id="4">
    <w:p w:rsidR="009F7D42" w:rsidRDefault="0082410D" w:rsidP="0082410D">
      <w:pPr>
        <w:pStyle w:val="FootnoteText"/>
        <w:jc w:val="lowKashida"/>
        <w:rPr>
          <w:rFonts w:hint="cs"/>
          <w:rtl/>
        </w:rPr>
      </w:pPr>
      <w:r w:rsidRPr="0082410D">
        <w:rPr>
          <w:rStyle w:val="FootnoteReference"/>
          <w:vertAlign w:val="baseline"/>
        </w:rPr>
        <w:footnoteRef/>
      </w:r>
      <w:r>
        <w:rPr>
          <w:rStyle w:val="FootnoteReference"/>
          <w:vertAlign w:val="baseline"/>
          <w:rtl/>
        </w:rPr>
        <w:t>.</w:t>
      </w:r>
      <w:r w:rsidR="009F7D42">
        <w:rPr>
          <w:rtl/>
        </w:rPr>
        <w:t xml:space="preserve"> </w:t>
      </w:r>
      <w:hyperlink r:id="rId3" w:history="1">
        <w:r w:rsidR="009F7D42" w:rsidRPr="009F7D42">
          <w:rPr>
            <w:rStyle w:val="Hyperlink"/>
            <w:rtl/>
          </w:rPr>
          <w:t>الكامل في التاريخ</w:t>
        </w:r>
        <w:r w:rsidR="009F7D42" w:rsidRPr="009F7D42">
          <w:rPr>
            <w:rStyle w:val="Hyperlink"/>
            <w:rFonts w:hint="cs"/>
            <w:rtl/>
          </w:rPr>
          <w:t xml:space="preserve">، </w:t>
        </w:r>
        <w:r w:rsidR="009F7D42" w:rsidRPr="009F7D42">
          <w:rPr>
            <w:rStyle w:val="Hyperlink"/>
            <w:rtl/>
          </w:rPr>
          <w:t>ابن الأثير، عزالد</w:t>
        </w:r>
        <w:r w:rsidR="009F7D42" w:rsidRPr="009F7D42">
          <w:rPr>
            <w:rStyle w:val="Hyperlink"/>
            <w:rFonts w:hint="cs"/>
            <w:rtl/>
          </w:rPr>
          <w:t>ی</w:t>
        </w:r>
        <w:r w:rsidR="009F7D42" w:rsidRPr="009F7D42">
          <w:rPr>
            <w:rStyle w:val="Hyperlink"/>
            <w:rFonts w:hint="eastAsia"/>
            <w:rtl/>
          </w:rPr>
          <w:t>ن</w:t>
        </w:r>
        <w:r w:rsidR="009F7D42" w:rsidRPr="009F7D42">
          <w:rPr>
            <w:rStyle w:val="Hyperlink"/>
            <w:rFonts w:hint="cs"/>
            <w:rtl/>
          </w:rPr>
          <w:t>،</w:t>
        </w:r>
        <w:r w:rsidR="009F7D42" w:rsidRPr="009F7D42">
          <w:rPr>
            <w:rStyle w:val="Hyperlink"/>
            <w:rFonts w:hint="cs"/>
            <w:rtl/>
          </w:rPr>
          <w:t xml:space="preserve"> </w:t>
        </w:r>
        <w:r w:rsidR="009F7D42" w:rsidRPr="009F7D42">
          <w:rPr>
            <w:rStyle w:val="Hyperlink"/>
            <w:rFonts w:hint="cs"/>
            <w:rtl/>
          </w:rPr>
          <w:t>ج2،ص57</w:t>
        </w:r>
        <w:r w:rsidR="009F7D42">
          <w:rPr>
            <w:rStyle w:val="Hyperlink"/>
            <w:rFonts w:hint="cs"/>
            <w:rtl/>
          </w:rPr>
          <w:t>8</w:t>
        </w:r>
        <w:r w:rsidR="009F7D42" w:rsidRPr="009F7D42">
          <w:rPr>
            <w:rStyle w:val="Hyperlink"/>
            <w:rFonts w:hint="cs"/>
            <w:rtl/>
          </w:rPr>
          <w:t>.</w:t>
        </w:r>
      </w:hyperlink>
    </w:p>
  </w:footnote>
  <w:footnote w:id="5">
    <w:p w:rsidR="003A2729" w:rsidRPr="003A2729" w:rsidRDefault="0082410D" w:rsidP="0082410D">
      <w:pPr>
        <w:pStyle w:val="FootnoteText"/>
        <w:jc w:val="lowKashida"/>
        <w:rPr>
          <w:rFonts w:hint="cs"/>
          <w:rtl/>
        </w:rPr>
      </w:pPr>
      <w:r w:rsidRPr="0082410D">
        <w:footnoteRef/>
      </w:r>
      <w:r>
        <w:rPr>
          <w:rtl/>
        </w:rPr>
        <w:t>.</w:t>
      </w:r>
      <w:r w:rsidR="003A2729" w:rsidRPr="003A2729">
        <w:rPr>
          <w:rtl/>
        </w:rPr>
        <w:t xml:space="preserve"> </w:t>
      </w:r>
      <w:hyperlink r:id="rId4" w:history="1">
        <w:r w:rsidR="003A2729" w:rsidRPr="003A2729">
          <w:rPr>
            <w:rStyle w:val="Hyperlink"/>
            <w:rtl/>
          </w:rPr>
          <w:t>کفا</w:t>
        </w:r>
        <w:r w:rsidR="003A2729" w:rsidRPr="003A2729">
          <w:rPr>
            <w:rStyle w:val="Hyperlink"/>
            <w:rFonts w:hint="cs"/>
            <w:rtl/>
          </w:rPr>
          <w:t>ی</w:t>
        </w:r>
        <w:r w:rsidR="003A2729" w:rsidRPr="003A2729">
          <w:rPr>
            <w:rStyle w:val="Hyperlink"/>
            <w:rFonts w:hint="eastAsia"/>
            <w:rtl/>
          </w:rPr>
          <w:t>ه</w:t>
        </w:r>
        <w:r w:rsidR="003A2729" w:rsidRPr="003A2729">
          <w:rPr>
            <w:rStyle w:val="Hyperlink"/>
            <w:rtl/>
          </w:rPr>
          <w:t xml:space="preserve"> الاصول، آخوند خراسان</w:t>
        </w:r>
        <w:r w:rsidR="003A2729" w:rsidRPr="003A2729">
          <w:rPr>
            <w:rStyle w:val="Hyperlink"/>
            <w:rFonts w:hint="cs"/>
            <w:rtl/>
          </w:rPr>
          <w:t>ی</w:t>
        </w:r>
        <w:r w:rsidR="003A2729" w:rsidRPr="003A2729">
          <w:rPr>
            <w:rStyle w:val="Hyperlink"/>
            <w:rFonts w:hint="eastAsia"/>
            <w:rtl/>
          </w:rPr>
          <w:t>،</w:t>
        </w:r>
        <w:r w:rsidR="003A2729" w:rsidRPr="003A2729">
          <w:rPr>
            <w:rStyle w:val="Hyperlink"/>
            <w:rtl/>
          </w:rPr>
          <w:t xml:space="preserve"> ج1، ص63.</w:t>
        </w:r>
      </w:hyperlink>
    </w:p>
  </w:footnote>
  <w:footnote w:id="6">
    <w:p w:rsidR="00F22CE8" w:rsidRPr="003A2729" w:rsidRDefault="0082410D" w:rsidP="0082410D">
      <w:pPr>
        <w:pStyle w:val="FootnoteText"/>
        <w:jc w:val="lowKashida"/>
        <w:rPr>
          <w:rFonts w:hint="cs"/>
          <w:rtl/>
        </w:rPr>
      </w:pPr>
      <w:r w:rsidRPr="0082410D">
        <w:footnoteRef/>
      </w:r>
      <w:r>
        <w:rPr>
          <w:rtl/>
        </w:rPr>
        <w:t>.</w:t>
      </w:r>
      <w:r w:rsidR="00F22CE8" w:rsidRPr="003A2729">
        <w:rPr>
          <w:rtl/>
        </w:rPr>
        <w:t xml:space="preserve"> </w:t>
      </w:r>
      <w:hyperlink r:id="rId5" w:history="1">
        <w:r w:rsidR="00F22CE8" w:rsidRPr="003A2729">
          <w:rPr>
            <w:rStyle w:val="Hyperlink"/>
            <w:rtl/>
          </w:rPr>
          <w:t>کفا</w:t>
        </w:r>
        <w:r w:rsidR="00F22CE8" w:rsidRPr="003A2729">
          <w:rPr>
            <w:rStyle w:val="Hyperlink"/>
            <w:rFonts w:hint="cs"/>
            <w:rtl/>
          </w:rPr>
          <w:t>ی</w:t>
        </w:r>
        <w:r w:rsidR="00F22CE8" w:rsidRPr="003A2729">
          <w:rPr>
            <w:rStyle w:val="Hyperlink"/>
            <w:rFonts w:hint="eastAsia"/>
            <w:rtl/>
          </w:rPr>
          <w:t>ه</w:t>
        </w:r>
        <w:r w:rsidR="00F22CE8" w:rsidRPr="003A2729">
          <w:rPr>
            <w:rStyle w:val="Hyperlink"/>
            <w:rtl/>
          </w:rPr>
          <w:t xml:space="preserve"> الاصول، آخوند خراسان</w:t>
        </w:r>
        <w:r w:rsidR="00F22CE8" w:rsidRPr="003A2729">
          <w:rPr>
            <w:rStyle w:val="Hyperlink"/>
            <w:rFonts w:hint="cs"/>
            <w:rtl/>
          </w:rPr>
          <w:t>ی</w:t>
        </w:r>
        <w:r w:rsidR="00F22CE8" w:rsidRPr="003A2729">
          <w:rPr>
            <w:rStyle w:val="Hyperlink"/>
            <w:rFonts w:hint="eastAsia"/>
            <w:rtl/>
          </w:rPr>
          <w:t>،</w:t>
        </w:r>
        <w:r w:rsidR="00F22CE8" w:rsidRPr="003A2729">
          <w:rPr>
            <w:rStyle w:val="Hyperlink"/>
            <w:rtl/>
          </w:rPr>
          <w:t xml:space="preserve"> ج1، ص63.</w:t>
        </w:r>
      </w:hyperlink>
    </w:p>
  </w:footnote>
  <w:footnote w:id="7">
    <w:p w:rsidR="00185E80" w:rsidRPr="00185E80" w:rsidRDefault="0082410D" w:rsidP="0082410D">
      <w:pPr>
        <w:pStyle w:val="FootnoteText"/>
        <w:jc w:val="lowKashida"/>
        <w:rPr>
          <w:rFonts w:hint="cs"/>
        </w:rPr>
      </w:pPr>
      <w:r w:rsidRPr="0082410D">
        <w:footnoteRef/>
      </w:r>
      <w:r>
        <w:rPr>
          <w:rtl/>
        </w:rPr>
        <w:t>.</w:t>
      </w:r>
      <w:r w:rsidR="00185E80" w:rsidRPr="00185E80">
        <w:rPr>
          <w:rtl/>
        </w:rPr>
        <w:t xml:space="preserve"> </w:t>
      </w:r>
      <w:hyperlink r:id="rId6" w:history="1">
        <w:r w:rsidR="00185E80" w:rsidRPr="00185E80">
          <w:rPr>
            <w:rStyle w:val="Hyperlink"/>
            <w:rtl/>
          </w:rPr>
          <w:t>مقالات الاصول، آقا ض</w:t>
        </w:r>
        <w:r w:rsidR="00185E80" w:rsidRPr="00185E80">
          <w:rPr>
            <w:rStyle w:val="Hyperlink"/>
            <w:rFonts w:hint="cs"/>
            <w:rtl/>
          </w:rPr>
          <w:t>ی</w:t>
        </w:r>
        <w:r w:rsidR="00185E80" w:rsidRPr="00185E80">
          <w:rPr>
            <w:rStyle w:val="Hyperlink"/>
            <w:rFonts w:hint="eastAsia"/>
            <w:rtl/>
          </w:rPr>
          <w:t>اء</w:t>
        </w:r>
        <w:r w:rsidR="00185E80" w:rsidRPr="00185E80">
          <w:rPr>
            <w:rStyle w:val="Hyperlink"/>
            <w:rtl/>
          </w:rPr>
          <w:t xml:space="preserve"> الد</w:t>
        </w:r>
        <w:r w:rsidR="00185E80" w:rsidRPr="00185E80">
          <w:rPr>
            <w:rStyle w:val="Hyperlink"/>
            <w:rFonts w:hint="cs"/>
            <w:rtl/>
          </w:rPr>
          <w:t>ی</w:t>
        </w:r>
        <w:r w:rsidR="00185E80" w:rsidRPr="00185E80">
          <w:rPr>
            <w:rStyle w:val="Hyperlink"/>
            <w:rFonts w:hint="eastAsia"/>
            <w:rtl/>
          </w:rPr>
          <w:t>ن</w:t>
        </w:r>
        <w:r w:rsidR="00185E80" w:rsidRPr="00185E80">
          <w:rPr>
            <w:rStyle w:val="Hyperlink"/>
            <w:rtl/>
          </w:rPr>
          <w:t xml:space="preserve"> العراق</w:t>
        </w:r>
        <w:r w:rsidR="00185E80" w:rsidRPr="00185E80">
          <w:rPr>
            <w:rStyle w:val="Hyperlink"/>
            <w:rFonts w:hint="cs"/>
            <w:rtl/>
          </w:rPr>
          <w:t>ی</w:t>
        </w:r>
        <w:r w:rsidR="00185E80" w:rsidRPr="00185E80">
          <w:rPr>
            <w:rStyle w:val="Hyperlink"/>
            <w:rFonts w:hint="eastAsia"/>
            <w:rtl/>
          </w:rPr>
          <w:t>،</w:t>
        </w:r>
        <w:r w:rsidR="00185E80" w:rsidRPr="00185E80">
          <w:rPr>
            <w:rStyle w:val="Hyperlink"/>
            <w:rtl/>
          </w:rPr>
          <w:t xml:space="preserve"> ج1، ص207.</w:t>
        </w:r>
      </w:hyperlink>
    </w:p>
  </w:footnote>
  <w:footnote w:id="8">
    <w:p w:rsidR="008B5C8E" w:rsidRPr="008B5C8E" w:rsidRDefault="0082410D" w:rsidP="0082410D">
      <w:pPr>
        <w:pStyle w:val="FootnoteText"/>
        <w:jc w:val="lowKashida"/>
        <w:rPr>
          <w:rFonts w:hint="cs"/>
        </w:rPr>
      </w:pPr>
      <w:r w:rsidRPr="0082410D">
        <w:footnoteRef/>
      </w:r>
      <w:r>
        <w:rPr>
          <w:rtl/>
        </w:rPr>
        <w:t>.</w:t>
      </w:r>
      <w:r w:rsidR="008B5C8E" w:rsidRPr="008B5C8E">
        <w:rPr>
          <w:rtl/>
        </w:rPr>
        <w:t xml:space="preserve"> </w:t>
      </w:r>
      <w:hyperlink r:id="rId7" w:history="1">
        <w:r w:rsidR="008B5C8E" w:rsidRPr="008B5C8E">
          <w:rPr>
            <w:rStyle w:val="Hyperlink"/>
            <w:rFonts w:hint="eastAsia"/>
            <w:rtl/>
          </w:rPr>
          <w:t>تهذ</w:t>
        </w:r>
        <w:r w:rsidR="008B5C8E" w:rsidRPr="008B5C8E">
          <w:rPr>
            <w:rStyle w:val="Hyperlink"/>
            <w:rFonts w:hint="cs"/>
            <w:rtl/>
          </w:rPr>
          <w:t>ی</w:t>
        </w:r>
        <w:r w:rsidR="008B5C8E" w:rsidRPr="008B5C8E">
          <w:rPr>
            <w:rStyle w:val="Hyperlink"/>
            <w:rFonts w:hint="eastAsia"/>
            <w:rtl/>
          </w:rPr>
          <w:t>ب</w:t>
        </w:r>
        <w:r w:rsidR="008B5C8E" w:rsidRPr="008B5C8E">
          <w:rPr>
            <w:rStyle w:val="Hyperlink"/>
            <w:rtl/>
          </w:rPr>
          <w:t xml:space="preserve"> الاصول، الس</w:t>
        </w:r>
        <w:r w:rsidR="008B5C8E" w:rsidRPr="008B5C8E">
          <w:rPr>
            <w:rStyle w:val="Hyperlink"/>
            <w:rFonts w:hint="cs"/>
            <w:rtl/>
          </w:rPr>
          <w:t>ی</w:t>
        </w:r>
        <w:r w:rsidR="008B5C8E" w:rsidRPr="008B5C8E">
          <w:rPr>
            <w:rStyle w:val="Hyperlink"/>
            <w:rFonts w:hint="eastAsia"/>
            <w:rtl/>
          </w:rPr>
          <w:t>د</w:t>
        </w:r>
        <w:r w:rsidR="008B5C8E" w:rsidRPr="008B5C8E">
          <w:rPr>
            <w:rStyle w:val="Hyperlink"/>
            <w:rtl/>
          </w:rPr>
          <w:t xml:space="preserve"> روح الله الموسو</w:t>
        </w:r>
        <w:r w:rsidR="008B5C8E" w:rsidRPr="008B5C8E">
          <w:rPr>
            <w:rStyle w:val="Hyperlink"/>
            <w:rFonts w:hint="cs"/>
            <w:rtl/>
          </w:rPr>
          <w:t>ی</w:t>
        </w:r>
        <w:r w:rsidR="008B5C8E" w:rsidRPr="008B5C8E">
          <w:rPr>
            <w:rStyle w:val="Hyperlink"/>
            <w:rtl/>
          </w:rPr>
          <w:t xml:space="preserve"> الخم</w:t>
        </w:r>
        <w:r w:rsidR="008B5C8E" w:rsidRPr="008B5C8E">
          <w:rPr>
            <w:rStyle w:val="Hyperlink"/>
            <w:rFonts w:hint="cs"/>
            <w:rtl/>
          </w:rPr>
          <w:t>ی</w:t>
        </w:r>
        <w:r w:rsidR="008B5C8E" w:rsidRPr="008B5C8E">
          <w:rPr>
            <w:rStyle w:val="Hyperlink"/>
            <w:rFonts w:hint="eastAsia"/>
            <w:rtl/>
          </w:rPr>
          <w:t>ن</w:t>
        </w:r>
        <w:r w:rsidR="008B5C8E" w:rsidRPr="008B5C8E">
          <w:rPr>
            <w:rStyle w:val="Hyperlink"/>
            <w:rFonts w:hint="cs"/>
            <w:rtl/>
          </w:rPr>
          <w:t>ی</w:t>
        </w:r>
        <w:r w:rsidR="008B5C8E" w:rsidRPr="008B5C8E">
          <w:rPr>
            <w:rStyle w:val="Hyperlink"/>
            <w:rtl/>
          </w:rPr>
          <w:t xml:space="preserve"> (سبحان</w:t>
        </w:r>
        <w:r w:rsidR="008B5C8E" w:rsidRPr="008B5C8E">
          <w:rPr>
            <w:rStyle w:val="Hyperlink"/>
            <w:rFonts w:hint="cs"/>
            <w:rtl/>
          </w:rPr>
          <w:t>ی</w:t>
        </w:r>
        <w:r w:rsidR="008B5C8E" w:rsidRPr="008B5C8E">
          <w:rPr>
            <w:rStyle w:val="Hyperlink"/>
            <w:rtl/>
          </w:rPr>
          <w:t>)، ج1، ص187.</w:t>
        </w:r>
      </w:hyperlink>
    </w:p>
  </w:footnote>
  <w:footnote w:id="9">
    <w:p w:rsidR="00397606" w:rsidRDefault="0082410D" w:rsidP="0082410D">
      <w:pPr>
        <w:pStyle w:val="FootnoteText"/>
        <w:jc w:val="lowKashida"/>
        <w:rPr>
          <w:rFonts w:hint="cs"/>
        </w:rPr>
      </w:pPr>
      <w:r w:rsidRPr="0082410D">
        <w:rPr>
          <w:rStyle w:val="FootnoteReference"/>
          <w:vertAlign w:val="baseline"/>
        </w:rPr>
        <w:footnoteRef/>
      </w:r>
      <w:r>
        <w:rPr>
          <w:rStyle w:val="FootnoteReference"/>
          <w:vertAlign w:val="baseline"/>
          <w:rtl/>
        </w:rPr>
        <w:t>.</w:t>
      </w:r>
      <w:r w:rsidR="00397606">
        <w:rPr>
          <w:rtl/>
        </w:rPr>
        <w:t xml:space="preserve"> </w:t>
      </w:r>
      <w:hyperlink r:id="rId8" w:history="1">
        <w:r w:rsidR="00397606" w:rsidRPr="00621A13">
          <w:rPr>
            <w:rStyle w:val="Hyperlink"/>
            <w:rFonts w:hint="cs"/>
            <w:rtl/>
          </w:rPr>
          <w:t>نهایة الاصول، سید حسین بروجردی، ج1، ص86</w:t>
        </w:r>
      </w:hyperlink>
    </w:p>
  </w:footnote>
  <w:footnote w:id="10">
    <w:p w:rsidR="00D410E7" w:rsidRPr="00D410E7" w:rsidRDefault="0082410D" w:rsidP="0082410D">
      <w:pPr>
        <w:pStyle w:val="FootnoteText"/>
        <w:jc w:val="lowKashida"/>
        <w:rPr>
          <w:rFonts w:hint="cs"/>
          <w:rtl/>
        </w:rPr>
      </w:pPr>
      <w:r w:rsidRPr="0082410D">
        <w:footnoteRef/>
      </w:r>
      <w:r>
        <w:rPr>
          <w:rtl/>
        </w:rPr>
        <w:t>.</w:t>
      </w:r>
      <w:r w:rsidR="00D410E7" w:rsidRPr="00D410E7">
        <w:rPr>
          <w:rtl/>
        </w:rPr>
        <w:t xml:space="preserve"> </w:t>
      </w:r>
      <w:r w:rsidR="00D410E7" w:rsidRPr="00D410E7">
        <w:rPr>
          <w:rFonts w:hint="eastAsia"/>
          <w:rtl/>
        </w:rPr>
        <w:t>سوره</w:t>
      </w:r>
      <w:r w:rsidR="00D410E7" w:rsidRPr="00D410E7">
        <w:rPr>
          <w:rtl/>
        </w:rPr>
        <w:t xml:space="preserve"> اعراف، آيه 110.</w:t>
      </w:r>
    </w:p>
  </w:footnote>
  <w:footnote w:id="11">
    <w:p w:rsidR="00B627D7" w:rsidRPr="00B627D7" w:rsidRDefault="0082410D" w:rsidP="0082410D">
      <w:pPr>
        <w:pStyle w:val="FootnoteText"/>
        <w:jc w:val="lowKashida"/>
        <w:rPr>
          <w:rFonts w:hint="cs"/>
          <w:rtl/>
        </w:rPr>
      </w:pPr>
      <w:r w:rsidRPr="0082410D">
        <w:footnoteRef/>
      </w:r>
      <w:r>
        <w:rPr>
          <w:rtl/>
        </w:rPr>
        <w:t>.</w:t>
      </w:r>
      <w:r w:rsidR="00B627D7" w:rsidRPr="00B627D7">
        <w:rPr>
          <w:rtl/>
        </w:rPr>
        <w:t xml:space="preserve"> </w:t>
      </w:r>
      <w:r w:rsidR="00B627D7" w:rsidRPr="00B627D7">
        <w:rPr>
          <w:rFonts w:hint="eastAsia"/>
          <w:rtl/>
        </w:rPr>
        <w:t>سوره</w:t>
      </w:r>
      <w:r w:rsidR="00B627D7" w:rsidRPr="00B627D7">
        <w:rPr>
          <w:rtl/>
        </w:rPr>
        <w:t xml:space="preserve"> زمر، آيه 64.</w:t>
      </w:r>
    </w:p>
  </w:footnote>
  <w:footnote w:id="12">
    <w:p w:rsidR="004220D9" w:rsidRDefault="0082410D" w:rsidP="0082410D">
      <w:pPr>
        <w:pStyle w:val="FootnoteText"/>
        <w:jc w:val="lowKashida"/>
        <w:rPr>
          <w:rFonts w:hint="cs"/>
          <w:rtl/>
        </w:rPr>
      </w:pPr>
      <w:r w:rsidRPr="0082410D">
        <w:rPr>
          <w:rStyle w:val="FootnoteReference"/>
          <w:vertAlign w:val="baseline"/>
        </w:rPr>
        <w:footnoteRef/>
      </w:r>
      <w:r>
        <w:rPr>
          <w:rStyle w:val="FootnoteReference"/>
          <w:vertAlign w:val="baseline"/>
          <w:rtl/>
        </w:rPr>
        <w:t>.</w:t>
      </w:r>
      <w:r w:rsidR="004220D9">
        <w:rPr>
          <w:rtl/>
        </w:rPr>
        <w:t xml:space="preserve"> </w:t>
      </w:r>
      <w:hyperlink r:id="rId9" w:history="1">
        <w:r w:rsidR="004220D9" w:rsidRPr="004220D9">
          <w:rPr>
            <w:rStyle w:val="Hyperlink"/>
            <w:rFonts w:hint="cs"/>
            <w:rtl/>
          </w:rPr>
          <w:t>تاریخ طبری، ابن جریر، ج4، ص259.</w:t>
        </w:r>
      </w:hyperlink>
    </w:p>
  </w:footnote>
  <w:footnote w:id="13">
    <w:p w:rsidR="00A061BA" w:rsidRPr="00A061BA" w:rsidRDefault="0082410D" w:rsidP="0082410D">
      <w:pPr>
        <w:pStyle w:val="FootnoteText"/>
        <w:jc w:val="lowKashida"/>
        <w:rPr>
          <w:rFonts w:hint="cs"/>
          <w:rtl/>
        </w:rPr>
      </w:pPr>
      <w:r w:rsidRPr="0082410D">
        <w:footnoteRef/>
      </w:r>
      <w:r>
        <w:rPr>
          <w:rtl/>
        </w:rPr>
        <w:t>.</w:t>
      </w:r>
      <w:r w:rsidR="00A061BA" w:rsidRPr="00A061BA">
        <w:rPr>
          <w:rtl/>
        </w:rPr>
        <w:t xml:space="preserve"> </w:t>
      </w:r>
      <w:r w:rsidR="00A061BA" w:rsidRPr="00A061BA">
        <w:rPr>
          <w:rFonts w:hint="eastAsia"/>
          <w:rtl/>
        </w:rPr>
        <w:t>سوره</w:t>
      </w:r>
      <w:r w:rsidR="00A061BA" w:rsidRPr="00A061BA">
        <w:rPr>
          <w:rtl/>
        </w:rPr>
        <w:t xml:space="preserve"> قصص، آيه 20.</w:t>
      </w:r>
    </w:p>
  </w:footnote>
  <w:footnote w:id="14">
    <w:p w:rsidR="004F78C8" w:rsidRDefault="0082410D" w:rsidP="0082410D">
      <w:pPr>
        <w:pStyle w:val="FootnoteText"/>
        <w:jc w:val="lowKashida"/>
        <w:rPr>
          <w:rFonts w:hint="cs"/>
          <w:rtl/>
        </w:rPr>
      </w:pPr>
      <w:r w:rsidRPr="0082410D">
        <w:rPr>
          <w:rStyle w:val="FootnoteReference"/>
          <w:vertAlign w:val="baseline"/>
        </w:rPr>
        <w:footnoteRef/>
      </w:r>
      <w:r>
        <w:rPr>
          <w:rStyle w:val="FootnoteReference"/>
          <w:vertAlign w:val="baseline"/>
          <w:rtl/>
        </w:rPr>
        <w:t>.</w:t>
      </w:r>
      <w:r w:rsidR="004F78C8">
        <w:rPr>
          <w:rtl/>
        </w:rPr>
        <w:t xml:space="preserve"> </w:t>
      </w:r>
      <w:hyperlink r:id="rId10" w:history="1">
        <w:r w:rsidR="004F78C8" w:rsidRPr="004F78C8">
          <w:rPr>
            <w:rStyle w:val="Hyperlink"/>
            <w:rtl/>
          </w:rPr>
          <w:t>النهايه في غريب الحديث والاثر</w:t>
        </w:r>
        <w:r w:rsidR="004F78C8" w:rsidRPr="004F78C8">
          <w:rPr>
            <w:rStyle w:val="Hyperlink"/>
            <w:rFonts w:hint="cs"/>
            <w:rtl/>
          </w:rPr>
          <w:t>، ابن اثیر، ج1، ص66.</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5" w:name="BokNum"/>
    <w:bookmarkEnd w:id="15"/>
    <w:r w:rsidR="00ED6133">
      <w:rPr>
        <w:b/>
        <w:bCs/>
        <w:sz w:val="20"/>
        <w:szCs w:val="24"/>
        <w:rtl/>
      </w:rPr>
      <w:t>109</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6" w:name="Bokdars"/>
    <w:bookmarkEnd w:id="16"/>
    <w:r w:rsidR="00ED6133">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7" w:name="Bokostad"/>
    <w:bookmarkEnd w:id="17"/>
    <w:r w:rsidR="00ED6133">
      <w:rPr>
        <w:b/>
        <w:bCs/>
        <w:color w:val="632423" w:themeColor="accent2" w:themeShade="80"/>
        <w:sz w:val="20"/>
        <w:szCs w:val="24"/>
        <w:rtl/>
      </w:rPr>
      <w:t>شه</w:t>
    </w:r>
    <w:r w:rsidR="00ED6133">
      <w:rPr>
        <w:rFonts w:hint="cs"/>
        <w:b/>
        <w:bCs/>
        <w:color w:val="632423" w:themeColor="accent2" w:themeShade="80"/>
        <w:sz w:val="20"/>
        <w:szCs w:val="24"/>
        <w:rtl/>
      </w:rPr>
      <w:t>ی</w:t>
    </w:r>
    <w:r w:rsidR="00ED6133">
      <w:rPr>
        <w:rFonts w:hint="eastAsia"/>
        <w:b/>
        <w:bCs/>
        <w:color w:val="632423" w:themeColor="accent2" w:themeShade="80"/>
        <w:sz w:val="20"/>
        <w:szCs w:val="24"/>
        <w:rtl/>
      </w:rPr>
      <w:t>د</w:t>
    </w:r>
    <w:r w:rsidR="00ED6133">
      <w:rPr>
        <w:rFonts w:hint="cs"/>
        <w:b/>
        <w:bCs/>
        <w:color w:val="632423" w:themeColor="accent2" w:themeShade="80"/>
        <w:sz w:val="20"/>
        <w:szCs w:val="24"/>
        <w:rtl/>
      </w:rPr>
      <w:t>ی</w:t>
    </w:r>
    <w:r w:rsidR="00ED6133">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8" w:name="BokTarikh"/>
    <w:bookmarkEnd w:id="18"/>
    <w:r w:rsidR="00ED6133">
      <w:rPr>
        <w:sz w:val="24"/>
        <w:szCs w:val="24"/>
        <w:rtl/>
      </w:rPr>
      <w:t>10 /1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9" w:name="BokSabj"/>
    <w:bookmarkEnd w:id="19"/>
    <w:r w:rsidR="00ED6133">
      <w:rPr>
        <w:color w:val="000000" w:themeColor="text1"/>
        <w:sz w:val="24"/>
        <w:szCs w:val="24"/>
        <w:rtl/>
      </w:rPr>
      <w:t xml:space="preserve">ماده امر </w:t>
    </w:r>
    <w:r w:rsidR="000A4EBC">
      <w:rPr>
        <w:rFonts w:hint="cs"/>
        <w:color w:val="000000" w:themeColor="text1"/>
        <w:sz w:val="24"/>
        <w:szCs w:val="24"/>
        <w:rtl/>
      </w:rPr>
      <w:t xml:space="preserve">  </w:t>
    </w:r>
    <w:r w:rsidR="000A4EBC">
      <w:rPr>
        <w:rFonts w:hint="cs"/>
        <w:b/>
        <w:bCs/>
        <w:color w:val="7030A0"/>
        <w:sz w:val="24"/>
        <w:szCs w:val="24"/>
        <w:rtl/>
      </w:rPr>
      <w:t xml:space="preserve">      </w:t>
    </w:r>
    <w:r w:rsidRPr="001D2E9A">
      <w:rPr>
        <w:rFonts w:hint="cs"/>
        <w:b/>
        <w:bCs/>
        <w:color w:val="7030A0"/>
        <w:sz w:val="24"/>
        <w:szCs w:val="24"/>
        <w:rtl/>
      </w:rPr>
      <w:t>مقرر</w:t>
    </w:r>
    <w:r w:rsidR="00E630BE">
      <w:rPr>
        <w:rFonts w:hint="cs"/>
        <w:sz w:val="24"/>
        <w:szCs w:val="24"/>
        <w:rtl/>
      </w:rPr>
      <w:t xml:space="preserve">: </w:t>
    </w:r>
    <w:bookmarkStart w:id="20" w:name="Bokmoqarer"/>
    <w:bookmarkEnd w:id="20"/>
    <w:r w:rsidR="00ED6133">
      <w:rPr>
        <w:sz w:val="24"/>
        <w:szCs w:val="24"/>
        <w:rtl/>
      </w:rPr>
      <w:t>مهد</w:t>
    </w:r>
    <w:r w:rsidR="00ED6133">
      <w:rPr>
        <w:rFonts w:hint="cs"/>
        <w:sz w:val="24"/>
        <w:szCs w:val="24"/>
        <w:rtl/>
      </w:rPr>
      <w:t>ی</w:t>
    </w:r>
    <w:r w:rsidR="00ED6133">
      <w:rPr>
        <w:sz w:val="24"/>
        <w:szCs w:val="24"/>
        <w:rtl/>
      </w:rPr>
      <w:t xml:space="preserve"> منصور</w:t>
    </w:r>
    <w:r w:rsidR="00ED6133">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000A4EBC">
      <w:rPr>
        <w:rFonts w:hint="cs"/>
        <w:b/>
        <w:bCs/>
        <w:color w:val="7030A0"/>
        <w:sz w:val="24"/>
        <w:szCs w:val="24"/>
        <w:rtl/>
      </w:rPr>
      <w:t xml:space="preserve">      </w:t>
    </w:r>
    <w:r w:rsidRPr="001D2E9A">
      <w:rPr>
        <w:rFonts w:hint="cs"/>
        <w:b/>
        <w:bCs/>
        <w:color w:val="7030A0"/>
        <w:sz w:val="24"/>
        <w:szCs w:val="24"/>
        <w:rtl/>
      </w:rPr>
      <w:t>موضوع خاص</w:t>
    </w:r>
    <w:r w:rsidR="00F16B53">
      <w:rPr>
        <w:rFonts w:hint="cs"/>
        <w:sz w:val="24"/>
        <w:szCs w:val="24"/>
        <w:rtl/>
      </w:rPr>
      <w:t xml:space="preserve">: </w:t>
    </w:r>
    <w:bookmarkStart w:id="21" w:name="BokSabj2"/>
    <w:bookmarkEnd w:id="21"/>
    <w:r w:rsidR="000A4EBC" w:rsidRPr="000A4EBC">
      <w:rPr>
        <w:sz w:val="24"/>
        <w:szCs w:val="24"/>
        <w:rtl/>
      </w:rPr>
      <w:t>بررس</w:t>
    </w:r>
    <w:r w:rsidR="000A4EBC" w:rsidRPr="000A4EBC">
      <w:rPr>
        <w:rFonts w:hint="cs"/>
        <w:sz w:val="24"/>
        <w:szCs w:val="24"/>
        <w:rtl/>
      </w:rPr>
      <w:t>ی</w:t>
    </w:r>
    <w:r w:rsidR="000A4EBC" w:rsidRPr="000A4EBC">
      <w:rPr>
        <w:sz w:val="24"/>
        <w:szCs w:val="24"/>
        <w:rtl/>
      </w:rPr>
      <w:t xml:space="preserve"> معنا</w:t>
    </w:r>
    <w:r w:rsidR="000A4EBC" w:rsidRPr="000A4EBC">
      <w:rPr>
        <w:rFonts w:hint="cs"/>
        <w:sz w:val="24"/>
        <w:szCs w:val="24"/>
        <w:rtl/>
      </w:rPr>
      <w:t>ی</w:t>
    </w:r>
    <w:r w:rsidR="000A4EBC" w:rsidRPr="000A4EBC">
      <w:rPr>
        <w:sz w:val="24"/>
        <w:szCs w:val="24"/>
        <w:rtl/>
      </w:rPr>
      <w:t xml:space="preserve"> دق</w:t>
    </w:r>
    <w:r w:rsidR="000A4EBC" w:rsidRPr="000A4EBC">
      <w:rPr>
        <w:rFonts w:hint="cs"/>
        <w:sz w:val="24"/>
        <w:szCs w:val="24"/>
        <w:rtl/>
      </w:rPr>
      <w:t>ی</w:t>
    </w:r>
    <w:r w:rsidR="000A4EBC" w:rsidRPr="000A4EBC">
      <w:rPr>
        <w:rFonts w:hint="eastAsia"/>
        <w:sz w:val="24"/>
        <w:szCs w:val="24"/>
        <w:rtl/>
      </w:rPr>
      <w:t>ق</w:t>
    </w:r>
    <w:r w:rsidR="000A4EBC" w:rsidRPr="000A4EBC">
      <w:rPr>
        <w:sz w:val="24"/>
        <w:szCs w:val="24"/>
        <w:rtl/>
      </w:rPr>
      <w:t xml:space="preserve"> ماده أمر در صورت به کار رفتن در طلب فعل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2E09EB"/>
    <w:multiLevelType w:val="hybridMultilevel"/>
    <w:tmpl w:val="7E32DDC0"/>
    <w:lvl w:ilvl="0" w:tplc="CCCC45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355B17"/>
    <w:multiLevelType w:val="hybridMultilevel"/>
    <w:tmpl w:val="0FA8E7AA"/>
    <w:lvl w:ilvl="0" w:tplc="0D70C1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A12157"/>
    <w:multiLevelType w:val="hybridMultilevel"/>
    <w:tmpl w:val="0BC83B56"/>
    <w:lvl w:ilvl="0" w:tplc="96A24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6B4CB7"/>
    <w:multiLevelType w:val="hybridMultilevel"/>
    <w:tmpl w:val="AD3EB58E"/>
    <w:lvl w:ilvl="0" w:tplc="3E4669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4"/>
  </w:num>
  <w:num w:numId="13">
    <w:abstractNumId w:val="18"/>
  </w:num>
  <w:num w:numId="14">
    <w:abstractNumId w:val="15"/>
  </w:num>
  <w:num w:numId="15">
    <w:abstractNumId w:val="16"/>
  </w:num>
  <w:num w:numId="16">
    <w:abstractNumId w:val="17"/>
  </w:num>
  <w:num w:numId="17">
    <w:abstractNumId w:val="10"/>
  </w:num>
  <w:num w:numId="18">
    <w:abstractNumId w:val="1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A4EBC"/>
    <w:rsid w:val="000B5DB5"/>
    <w:rsid w:val="000C2E3A"/>
    <w:rsid w:val="000C3947"/>
    <w:rsid w:val="000D2A37"/>
    <w:rsid w:val="000D30E9"/>
    <w:rsid w:val="000D6818"/>
    <w:rsid w:val="000E335E"/>
    <w:rsid w:val="000F16CF"/>
    <w:rsid w:val="000F5BAC"/>
    <w:rsid w:val="00102585"/>
    <w:rsid w:val="001127BA"/>
    <w:rsid w:val="00112BA1"/>
    <w:rsid w:val="00114AB7"/>
    <w:rsid w:val="00116B2B"/>
    <w:rsid w:val="00124E3D"/>
    <w:rsid w:val="00127E95"/>
    <w:rsid w:val="00130659"/>
    <w:rsid w:val="00131654"/>
    <w:rsid w:val="001347C7"/>
    <w:rsid w:val="001356B0"/>
    <w:rsid w:val="00151937"/>
    <w:rsid w:val="001614E0"/>
    <w:rsid w:val="001816B4"/>
    <w:rsid w:val="00181844"/>
    <w:rsid w:val="001837E9"/>
    <w:rsid w:val="00185E80"/>
    <w:rsid w:val="00187DFA"/>
    <w:rsid w:val="001A1BC1"/>
    <w:rsid w:val="001A1EA5"/>
    <w:rsid w:val="001A2574"/>
    <w:rsid w:val="001A27D7"/>
    <w:rsid w:val="001A294E"/>
    <w:rsid w:val="001A4ED8"/>
    <w:rsid w:val="001B2488"/>
    <w:rsid w:val="001B6799"/>
    <w:rsid w:val="001C1362"/>
    <w:rsid w:val="001D2E9A"/>
    <w:rsid w:val="001D597F"/>
    <w:rsid w:val="001E021B"/>
    <w:rsid w:val="001E3FD4"/>
    <w:rsid w:val="001F5E27"/>
    <w:rsid w:val="0020241A"/>
    <w:rsid w:val="00203821"/>
    <w:rsid w:val="00211632"/>
    <w:rsid w:val="0021630D"/>
    <w:rsid w:val="00230EE2"/>
    <w:rsid w:val="002316FA"/>
    <w:rsid w:val="0024121B"/>
    <w:rsid w:val="00247D2F"/>
    <w:rsid w:val="00256560"/>
    <w:rsid w:val="0027605E"/>
    <w:rsid w:val="00281E00"/>
    <w:rsid w:val="00294A52"/>
    <w:rsid w:val="002B575F"/>
    <w:rsid w:val="002B6513"/>
    <w:rsid w:val="002B729B"/>
    <w:rsid w:val="002C23B5"/>
    <w:rsid w:val="002C53A2"/>
    <w:rsid w:val="002D0040"/>
    <w:rsid w:val="002D2FA8"/>
    <w:rsid w:val="002D5E17"/>
    <w:rsid w:val="002D6A47"/>
    <w:rsid w:val="002E220F"/>
    <w:rsid w:val="00307311"/>
    <w:rsid w:val="0032100F"/>
    <w:rsid w:val="0033402C"/>
    <w:rsid w:val="00340521"/>
    <w:rsid w:val="00345C73"/>
    <w:rsid w:val="00354A99"/>
    <w:rsid w:val="00360311"/>
    <w:rsid w:val="00361922"/>
    <w:rsid w:val="0037339B"/>
    <w:rsid w:val="00386C11"/>
    <w:rsid w:val="00397466"/>
    <w:rsid w:val="00397606"/>
    <w:rsid w:val="003A2729"/>
    <w:rsid w:val="003A6148"/>
    <w:rsid w:val="003C33F6"/>
    <w:rsid w:val="003C3D2E"/>
    <w:rsid w:val="003C43A5"/>
    <w:rsid w:val="003E1C5C"/>
    <w:rsid w:val="003E4DDF"/>
    <w:rsid w:val="003E6650"/>
    <w:rsid w:val="003F5B46"/>
    <w:rsid w:val="00401363"/>
    <w:rsid w:val="00402E47"/>
    <w:rsid w:val="004220D9"/>
    <w:rsid w:val="00424FE1"/>
    <w:rsid w:val="00425015"/>
    <w:rsid w:val="00430994"/>
    <w:rsid w:val="00441B6D"/>
    <w:rsid w:val="004556EF"/>
    <w:rsid w:val="00462B07"/>
    <w:rsid w:val="00465BD2"/>
    <w:rsid w:val="004715C8"/>
    <w:rsid w:val="00480E3D"/>
    <w:rsid w:val="00481C31"/>
    <w:rsid w:val="00482FC1"/>
    <w:rsid w:val="00483027"/>
    <w:rsid w:val="004871AA"/>
    <w:rsid w:val="00490549"/>
    <w:rsid w:val="004918D7"/>
    <w:rsid w:val="004926E1"/>
    <w:rsid w:val="004A2FEA"/>
    <w:rsid w:val="004C412F"/>
    <w:rsid w:val="004D2DD7"/>
    <w:rsid w:val="004D75C5"/>
    <w:rsid w:val="004E2186"/>
    <w:rsid w:val="004E66FB"/>
    <w:rsid w:val="004F470A"/>
    <w:rsid w:val="004F4C59"/>
    <w:rsid w:val="004F78C8"/>
    <w:rsid w:val="00500C8F"/>
    <w:rsid w:val="00501909"/>
    <w:rsid w:val="00507BBB"/>
    <w:rsid w:val="005128DF"/>
    <w:rsid w:val="0051592A"/>
    <w:rsid w:val="005206FE"/>
    <w:rsid w:val="005257ED"/>
    <w:rsid w:val="005306F8"/>
    <w:rsid w:val="005311DF"/>
    <w:rsid w:val="0054023D"/>
    <w:rsid w:val="005426BF"/>
    <w:rsid w:val="0056213C"/>
    <w:rsid w:val="00567927"/>
    <w:rsid w:val="00580C24"/>
    <w:rsid w:val="005968EF"/>
    <w:rsid w:val="00596C1E"/>
    <w:rsid w:val="005A2E26"/>
    <w:rsid w:val="005B7BCA"/>
    <w:rsid w:val="005C0DAE"/>
    <w:rsid w:val="005C188E"/>
    <w:rsid w:val="005C4018"/>
    <w:rsid w:val="005D2349"/>
    <w:rsid w:val="005E1B60"/>
    <w:rsid w:val="005E5507"/>
    <w:rsid w:val="005E607B"/>
    <w:rsid w:val="005F0A8D"/>
    <w:rsid w:val="00601229"/>
    <w:rsid w:val="00603B67"/>
    <w:rsid w:val="006162A2"/>
    <w:rsid w:val="00621A13"/>
    <w:rsid w:val="006240DA"/>
    <w:rsid w:val="0063256E"/>
    <w:rsid w:val="00633F04"/>
    <w:rsid w:val="00635219"/>
    <w:rsid w:val="00635EC0"/>
    <w:rsid w:val="00640B58"/>
    <w:rsid w:val="00643F86"/>
    <w:rsid w:val="00651B02"/>
    <w:rsid w:val="00651B19"/>
    <w:rsid w:val="00660A29"/>
    <w:rsid w:val="006718FE"/>
    <w:rsid w:val="00692E82"/>
    <w:rsid w:val="0069479D"/>
    <w:rsid w:val="00695519"/>
    <w:rsid w:val="006A4134"/>
    <w:rsid w:val="006A5DDA"/>
    <w:rsid w:val="006A6701"/>
    <w:rsid w:val="006B21F4"/>
    <w:rsid w:val="006B3753"/>
    <w:rsid w:val="006B7AD6"/>
    <w:rsid w:val="006C50FD"/>
    <w:rsid w:val="006D1DD4"/>
    <w:rsid w:val="006D4014"/>
    <w:rsid w:val="006D44C1"/>
    <w:rsid w:val="006D5B1E"/>
    <w:rsid w:val="006E5651"/>
    <w:rsid w:val="006E5B85"/>
    <w:rsid w:val="006F026A"/>
    <w:rsid w:val="006F26D1"/>
    <w:rsid w:val="006F71E3"/>
    <w:rsid w:val="0070205A"/>
    <w:rsid w:val="0070265B"/>
    <w:rsid w:val="00704813"/>
    <w:rsid w:val="0072290D"/>
    <w:rsid w:val="007230F0"/>
    <w:rsid w:val="00723D6D"/>
    <w:rsid w:val="00724537"/>
    <w:rsid w:val="00731724"/>
    <w:rsid w:val="0073474B"/>
    <w:rsid w:val="00735511"/>
    <w:rsid w:val="00737208"/>
    <w:rsid w:val="007408D1"/>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363F"/>
    <w:rsid w:val="007E5B3F"/>
    <w:rsid w:val="007F2257"/>
    <w:rsid w:val="0080091D"/>
    <w:rsid w:val="00804108"/>
    <w:rsid w:val="00804FC4"/>
    <w:rsid w:val="00816367"/>
    <w:rsid w:val="00816A0B"/>
    <w:rsid w:val="0082410D"/>
    <w:rsid w:val="00824B22"/>
    <w:rsid w:val="00830C53"/>
    <w:rsid w:val="00837FAA"/>
    <w:rsid w:val="00841F77"/>
    <w:rsid w:val="0085276D"/>
    <w:rsid w:val="00863390"/>
    <w:rsid w:val="0086385C"/>
    <w:rsid w:val="00864453"/>
    <w:rsid w:val="00871916"/>
    <w:rsid w:val="008956DD"/>
    <w:rsid w:val="0089722F"/>
    <w:rsid w:val="008A510E"/>
    <w:rsid w:val="008A522A"/>
    <w:rsid w:val="008B4464"/>
    <w:rsid w:val="008B5C8E"/>
    <w:rsid w:val="008B750B"/>
    <w:rsid w:val="008C3162"/>
    <w:rsid w:val="008C4D25"/>
    <w:rsid w:val="008D0D1D"/>
    <w:rsid w:val="008D1F14"/>
    <w:rsid w:val="008E3924"/>
    <w:rsid w:val="008F13F7"/>
    <w:rsid w:val="008F5B4D"/>
    <w:rsid w:val="008F7DE1"/>
    <w:rsid w:val="00907425"/>
    <w:rsid w:val="00923C34"/>
    <w:rsid w:val="00924152"/>
    <w:rsid w:val="0092513D"/>
    <w:rsid w:val="00927A9F"/>
    <w:rsid w:val="009335CC"/>
    <w:rsid w:val="00935A55"/>
    <w:rsid w:val="00937C6B"/>
    <w:rsid w:val="00941CEB"/>
    <w:rsid w:val="0094720F"/>
    <w:rsid w:val="00953B28"/>
    <w:rsid w:val="00954322"/>
    <w:rsid w:val="00957CAA"/>
    <w:rsid w:val="0096778A"/>
    <w:rsid w:val="00977656"/>
    <w:rsid w:val="009846A7"/>
    <w:rsid w:val="0098794D"/>
    <w:rsid w:val="0099497B"/>
    <w:rsid w:val="00996CD7"/>
    <w:rsid w:val="009A43BA"/>
    <w:rsid w:val="009B0D05"/>
    <w:rsid w:val="009B4CA6"/>
    <w:rsid w:val="009B79F8"/>
    <w:rsid w:val="009C66D5"/>
    <w:rsid w:val="009D13FD"/>
    <w:rsid w:val="009D266A"/>
    <w:rsid w:val="009F7D42"/>
    <w:rsid w:val="009F7E07"/>
    <w:rsid w:val="00A01522"/>
    <w:rsid w:val="00A061BA"/>
    <w:rsid w:val="00A10A11"/>
    <w:rsid w:val="00A13C6A"/>
    <w:rsid w:val="00A16845"/>
    <w:rsid w:val="00A17B09"/>
    <w:rsid w:val="00A263D5"/>
    <w:rsid w:val="00A35B5D"/>
    <w:rsid w:val="00A41BB6"/>
    <w:rsid w:val="00A4577B"/>
    <w:rsid w:val="00A457C6"/>
    <w:rsid w:val="00A46AD0"/>
    <w:rsid w:val="00A47063"/>
    <w:rsid w:val="00A473A8"/>
    <w:rsid w:val="00A513F0"/>
    <w:rsid w:val="00A61AC8"/>
    <w:rsid w:val="00A6366F"/>
    <w:rsid w:val="00A65D4C"/>
    <w:rsid w:val="00A70512"/>
    <w:rsid w:val="00AA1F60"/>
    <w:rsid w:val="00AA40D7"/>
    <w:rsid w:val="00AA7DD2"/>
    <w:rsid w:val="00AB06FD"/>
    <w:rsid w:val="00AB5F7D"/>
    <w:rsid w:val="00AC0C50"/>
    <w:rsid w:val="00AC17D9"/>
    <w:rsid w:val="00AC6FE2"/>
    <w:rsid w:val="00AE699A"/>
    <w:rsid w:val="00AF3925"/>
    <w:rsid w:val="00B1296B"/>
    <w:rsid w:val="00B21770"/>
    <w:rsid w:val="00B2292F"/>
    <w:rsid w:val="00B25E34"/>
    <w:rsid w:val="00B43169"/>
    <w:rsid w:val="00B501A8"/>
    <w:rsid w:val="00B55AE4"/>
    <w:rsid w:val="00B623ED"/>
    <w:rsid w:val="00B627D7"/>
    <w:rsid w:val="00B67501"/>
    <w:rsid w:val="00B70726"/>
    <w:rsid w:val="00B70B46"/>
    <w:rsid w:val="00B7372B"/>
    <w:rsid w:val="00B739B0"/>
    <w:rsid w:val="00B814A3"/>
    <w:rsid w:val="00B93A69"/>
    <w:rsid w:val="00B96F38"/>
    <w:rsid w:val="00B97588"/>
    <w:rsid w:val="00BA21DF"/>
    <w:rsid w:val="00BC716B"/>
    <w:rsid w:val="00BD0E74"/>
    <w:rsid w:val="00BD3383"/>
    <w:rsid w:val="00BD5F8C"/>
    <w:rsid w:val="00BE29DD"/>
    <w:rsid w:val="00BF0A23"/>
    <w:rsid w:val="00BF714C"/>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5E18"/>
    <w:rsid w:val="00CA7FD5"/>
    <w:rsid w:val="00CB3287"/>
    <w:rsid w:val="00CB33E2"/>
    <w:rsid w:val="00CB4E68"/>
    <w:rsid w:val="00CC2733"/>
    <w:rsid w:val="00CC5038"/>
    <w:rsid w:val="00CD0050"/>
    <w:rsid w:val="00CD0E63"/>
    <w:rsid w:val="00CD11EF"/>
    <w:rsid w:val="00CE7481"/>
    <w:rsid w:val="00CF0A8F"/>
    <w:rsid w:val="00CF7247"/>
    <w:rsid w:val="00D048CE"/>
    <w:rsid w:val="00D10998"/>
    <w:rsid w:val="00D12775"/>
    <w:rsid w:val="00D15CBD"/>
    <w:rsid w:val="00D172F5"/>
    <w:rsid w:val="00D221CB"/>
    <w:rsid w:val="00D23391"/>
    <w:rsid w:val="00D31805"/>
    <w:rsid w:val="00D410E7"/>
    <w:rsid w:val="00D552B9"/>
    <w:rsid w:val="00D735B2"/>
    <w:rsid w:val="00D74021"/>
    <w:rsid w:val="00D76D01"/>
    <w:rsid w:val="00D922A9"/>
    <w:rsid w:val="00D9394A"/>
    <w:rsid w:val="00D94ED2"/>
    <w:rsid w:val="00DB0CBB"/>
    <w:rsid w:val="00DB5F8E"/>
    <w:rsid w:val="00DB6136"/>
    <w:rsid w:val="00DB67CC"/>
    <w:rsid w:val="00DC3783"/>
    <w:rsid w:val="00DE1070"/>
    <w:rsid w:val="00E00219"/>
    <w:rsid w:val="00E0316B"/>
    <w:rsid w:val="00E16706"/>
    <w:rsid w:val="00E25E10"/>
    <w:rsid w:val="00E50B41"/>
    <w:rsid w:val="00E5219B"/>
    <w:rsid w:val="00E52D07"/>
    <w:rsid w:val="00E5518B"/>
    <w:rsid w:val="00E609FE"/>
    <w:rsid w:val="00E630BE"/>
    <w:rsid w:val="00E65648"/>
    <w:rsid w:val="00E75920"/>
    <w:rsid w:val="00E764C0"/>
    <w:rsid w:val="00E80D96"/>
    <w:rsid w:val="00E871FA"/>
    <w:rsid w:val="00E936A4"/>
    <w:rsid w:val="00E954BB"/>
    <w:rsid w:val="00E955FF"/>
    <w:rsid w:val="00EA45E7"/>
    <w:rsid w:val="00EB4791"/>
    <w:rsid w:val="00EB78E3"/>
    <w:rsid w:val="00EB7BE3"/>
    <w:rsid w:val="00EC1C4B"/>
    <w:rsid w:val="00EC735A"/>
    <w:rsid w:val="00ED5F38"/>
    <w:rsid w:val="00ED6133"/>
    <w:rsid w:val="00EF27FE"/>
    <w:rsid w:val="00F07FB6"/>
    <w:rsid w:val="00F149D0"/>
    <w:rsid w:val="00F16B53"/>
    <w:rsid w:val="00F22CE8"/>
    <w:rsid w:val="00F25ECD"/>
    <w:rsid w:val="00F318BE"/>
    <w:rsid w:val="00F322D0"/>
    <w:rsid w:val="00F33297"/>
    <w:rsid w:val="00F343FB"/>
    <w:rsid w:val="00F359FE"/>
    <w:rsid w:val="00F419C9"/>
    <w:rsid w:val="00F42159"/>
    <w:rsid w:val="00F4256E"/>
    <w:rsid w:val="00F42EE1"/>
    <w:rsid w:val="00F56A34"/>
    <w:rsid w:val="00F60F1F"/>
    <w:rsid w:val="00F64141"/>
    <w:rsid w:val="00F6617B"/>
    <w:rsid w:val="00F67508"/>
    <w:rsid w:val="00F71FC9"/>
    <w:rsid w:val="00F73B48"/>
    <w:rsid w:val="00F74F51"/>
    <w:rsid w:val="00F842AD"/>
    <w:rsid w:val="00F914EB"/>
    <w:rsid w:val="00F91B85"/>
    <w:rsid w:val="00F938E7"/>
    <w:rsid w:val="00F97019"/>
    <w:rsid w:val="00FA240F"/>
    <w:rsid w:val="00FA3B17"/>
    <w:rsid w:val="00FA5E8D"/>
    <w:rsid w:val="00FA5F3D"/>
    <w:rsid w:val="00FB399E"/>
    <w:rsid w:val="00FB7F50"/>
    <w:rsid w:val="00FC2A85"/>
    <w:rsid w:val="00FC40AF"/>
    <w:rsid w:val="00FC73B9"/>
    <w:rsid w:val="00FD0A16"/>
    <w:rsid w:val="00FD387F"/>
    <w:rsid w:val="00FE143A"/>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99A"/>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9F7D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3052/1/75/%D8%B9%D9%84%D9%88_%D8%A7%D9%84%D8%A2%D9%85%D8%B1" TargetMode="External"/><Relationship Id="rId3" Type="http://schemas.openxmlformats.org/officeDocument/2006/relationships/hyperlink" Target="http://lib.eshia.ir/22036/4/86/&#1605;&#1594;&#1604;&#1608;&#1604;&#1575;" TargetMode="External"/><Relationship Id="rId7" Type="http://schemas.openxmlformats.org/officeDocument/2006/relationships/hyperlink" Target="http://lib.eshia.ir/27915/1/187/&#1575;&#1604;&#1575;&#1602;&#1608;&#1740;%20" TargetMode="External"/><Relationship Id="rId2" Type="http://schemas.openxmlformats.org/officeDocument/2006/relationships/hyperlink" Target="http://lib.eshia.ir/22036/4/83/%D9%81%D8%B7%DB%8C%D9%81" TargetMode="External"/><Relationship Id="rId1" Type="http://schemas.openxmlformats.org/officeDocument/2006/relationships/hyperlink" Target="http://lib.eshia.ir/13113/1/88/&#1575;&#1604;&#1608;&#1580;&#1608;&#1583;%20" TargetMode="External"/><Relationship Id="rId6" Type="http://schemas.openxmlformats.org/officeDocument/2006/relationships/hyperlink" Target="http://lib.eshia.ir/13049/1/207/&#1605;&#1581;&#1590;&#1575;%20" TargetMode="External"/><Relationship Id="rId5" Type="http://schemas.openxmlformats.org/officeDocument/2006/relationships/hyperlink" Target="http://lib.eshia.ir/27004/1/63/&#1575;&#1604;&#1592;&#1575;&#1607;&#1585;%20" TargetMode="External"/><Relationship Id="rId10" Type="http://schemas.openxmlformats.org/officeDocument/2006/relationships/hyperlink" Target="http://lib.eshia.ir/40680/1/66/%D8%B4%D8%A7%D9%88%D9%90%D8%B1%D9%8F%D9%88%D9%87%D9%86%D9%91" TargetMode="External"/><Relationship Id="rId4" Type="http://schemas.openxmlformats.org/officeDocument/2006/relationships/hyperlink" Target="http://lib.eshia.ir/27004/1/63/&#1575;&#1604;&#1592;&#1575;&#1607;&#1585;%20" TargetMode="External"/><Relationship Id="rId9" Type="http://schemas.openxmlformats.org/officeDocument/2006/relationships/hyperlink" Target="http://lib.eshia.ir/22009/4/259/%D8%A8%D8%A7%D9%84%D9%82%D8%AF%D9%88%D9%8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AEA8B-B2C1-4511-975B-4FB7CB2C8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128</TotalTime>
  <Pages>7</Pages>
  <Words>1626</Words>
  <Characters>9272</Characters>
  <Application>Microsoft Office Word</Application>
  <DocSecurity>0</DocSecurity>
  <Lines>77</Lines>
  <Paragraphs>21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10877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2.8اصلاح هدینگ موضوع</dc:description>
  <cp:lastModifiedBy>مهدی منصوری</cp:lastModifiedBy>
  <cp:revision>4</cp:revision>
  <cp:lastPrinted>2020-03-29T05:35:00Z</cp:lastPrinted>
  <dcterms:created xsi:type="dcterms:W3CDTF">2020-03-29T03:24:00Z</dcterms:created>
  <dcterms:modified xsi:type="dcterms:W3CDTF">2020-03-29T05:36:00Z</dcterms:modified>
  <cp:contentStatus>ویرایش 2.5</cp:contentStatus>
  <cp:version>2.7</cp:version>
</cp:coreProperties>
</file>