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1932" w14:textId="77777777" w:rsidR="008B750B" w:rsidRPr="008A522A" w:rsidRDefault="00783473" w:rsidP="009C66D5">
      <w:pPr>
        <w:jc w:val="center"/>
        <w:rPr>
          <w:rtl/>
        </w:rPr>
      </w:pPr>
      <w:r>
        <w:rPr>
          <w:rFonts w:hint="cs"/>
          <w:noProof/>
          <w:rtl/>
        </w:rPr>
        <w:drawing>
          <wp:inline distT="0" distB="0" distL="0" distR="0" wp14:anchorId="6D85B691" wp14:editId="3DB9CA44">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7DBF85B8" w14:textId="3FCE5684" w:rsidR="00BD3139" w:rsidRDefault="00BD3139" w:rsidP="00BD3139">
      <w:pPr>
        <w:pStyle w:val="TOC1"/>
        <w:rPr>
          <w:rFonts w:asciiTheme="minorHAnsi" w:eastAsiaTheme="minorEastAsia" w:hAnsiTheme="minorHAnsi" w:cstheme="minorBidi"/>
          <w:noProof/>
          <w:color w:val="auto"/>
          <w:szCs w:val="22"/>
          <w:rtl/>
          <w:lang w:bidi="ar-SA"/>
        </w:rPr>
      </w:pPr>
      <w:r>
        <w:rPr>
          <w:rStyle w:val="Hyperlink"/>
          <w:noProof/>
          <w:rtl/>
        </w:rPr>
        <w:fldChar w:fldCharType="begin"/>
      </w:r>
      <w:r>
        <w:rPr>
          <w:rStyle w:val="Hyperlink"/>
          <w:noProof/>
          <w:rtl/>
        </w:rPr>
        <w:instrText xml:space="preserve"> </w:instrText>
      </w:r>
      <w:r>
        <w:rPr>
          <w:rStyle w:val="Hyperlink"/>
          <w:noProof/>
        </w:rPr>
        <w:instrText>TOC</w:instrText>
      </w:r>
      <w:r>
        <w:rPr>
          <w:rStyle w:val="Hyperlink"/>
          <w:noProof/>
          <w:rtl/>
        </w:rPr>
        <w:instrText xml:space="preserve"> \</w:instrText>
      </w:r>
      <w:r>
        <w:rPr>
          <w:rStyle w:val="Hyperlink"/>
          <w:noProof/>
        </w:rPr>
        <w:instrText>o "</w:instrText>
      </w:r>
      <w:r>
        <w:rPr>
          <w:rStyle w:val="Hyperlink"/>
          <w:noProof/>
          <w:rtl/>
        </w:rPr>
        <w:instrText>1-9</w:instrText>
      </w:r>
      <w:r>
        <w:rPr>
          <w:rStyle w:val="Hyperlink"/>
          <w:noProof/>
        </w:rPr>
        <w:instrText>" \h \z \u</w:instrText>
      </w:r>
      <w:r>
        <w:rPr>
          <w:rStyle w:val="Hyperlink"/>
          <w:noProof/>
          <w:rtl/>
        </w:rPr>
        <w:instrText xml:space="preserve"> </w:instrText>
      </w:r>
      <w:r>
        <w:rPr>
          <w:rStyle w:val="Hyperlink"/>
          <w:noProof/>
          <w:rtl/>
        </w:rPr>
        <w:fldChar w:fldCharType="separate"/>
      </w:r>
      <w:hyperlink w:anchor="_Toc99291719" w:history="1">
        <w:r w:rsidRPr="004A1BCB">
          <w:rPr>
            <w:rStyle w:val="Hyperlink"/>
            <w:noProof/>
            <w:rtl/>
          </w:rPr>
          <w:t>تنب</w:t>
        </w:r>
        <w:r w:rsidRPr="004A1BCB">
          <w:rPr>
            <w:rStyle w:val="Hyperlink"/>
            <w:rFonts w:hint="cs"/>
            <w:noProof/>
            <w:rtl/>
          </w:rPr>
          <w:t>ی</w:t>
        </w:r>
        <w:r w:rsidRPr="004A1BCB">
          <w:rPr>
            <w:rStyle w:val="Hyperlink"/>
            <w:rFonts w:hint="eastAsia"/>
            <w:noProof/>
            <w:rtl/>
          </w:rPr>
          <w:t>ه</w:t>
        </w:r>
        <w:r w:rsidRPr="004A1BCB">
          <w:rPr>
            <w:rStyle w:val="Hyperlink"/>
            <w:noProof/>
            <w:rtl/>
          </w:rPr>
          <w:t>: ظهور امر و نه</w:t>
        </w:r>
        <w:r w:rsidRPr="004A1BCB">
          <w:rPr>
            <w:rStyle w:val="Hyperlink"/>
            <w:rFonts w:hint="cs"/>
            <w:noProof/>
            <w:rtl/>
          </w:rPr>
          <w:t>ی</w:t>
        </w:r>
        <w:r w:rsidRPr="004A1BCB">
          <w:rPr>
            <w:rStyle w:val="Hyperlink"/>
            <w:noProof/>
            <w:rtl/>
          </w:rPr>
          <w:t xml:space="preserve"> در عبادات و معاملات در ارشاد</w:t>
        </w:r>
        <w:r w:rsidRPr="004A1BCB">
          <w:rPr>
            <w:rStyle w:val="Hyperlink"/>
            <w:rFonts w:hint="cs"/>
            <w:noProof/>
            <w:rtl/>
          </w:rPr>
          <w:t>ی</w:t>
        </w:r>
        <w:r w:rsidRPr="004A1BCB">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99291719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3779D06A" w14:textId="33213E84" w:rsidR="00BD3139" w:rsidRDefault="00BD3139" w:rsidP="00BD3139">
      <w:pPr>
        <w:pStyle w:val="TOC2"/>
        <w:tabs>
          <w:tab w:val="right" w:leader="dot" w:pos="10194"/>
        </w:tabs>
        <w:rPr>
          <w:rFonts w:asciiTheme="minorHAnsi" w:eastAsiaTheme="minorEastAsia" w:hAnsiTheme="minorHAnsi" w:cstheme="minorBidi"/>
          <w:bCs w:val="0"/>
          <w:noProof/>
          <w:color w:val="auto"/>
          <w:szCs w:val="22"/>
          <w:rtl/>
          <w:lang w:bidi="ar-SA"/>
        </w:rPr>
      </w:pPr>
      <w:hyperlink w:anchor="_Toc99291720" w:history="1">
        <w:r w:rsidRPr="004A1BCB">
          <w:rPr>
            <w:rStyle w:val="Hyperlink"/>
            <w:noProof/>
            <w:rtl/>
          </w:rPr>
          <w:t>بررس</w:t>
        </w:r>
        <w:r w:rsidRPr="004A1BCB">
          <w:rPr>
            <w:rStyle w:val="Hyperlink"/>
            <w:rFonts w:hint="cs"/>
            <w:noProof/>
            <w:rtl/>
          </w:rPr>
          <w:t>ی</w:t>
        </w:r>
        <w:r w:rsidRPr="004A1BCB">
          <w:rPr>
            <w:rStyle w:val="Hyperlink"/>
            <w:noProof/>
            <w:rtl/>
          </w:rPr>
          <w:t xml:space="preserve"> سرا</w:t>
        </w:r>
        <w:r w:rsidRPr="004A1BCB">
          <w:rPr>
            <w:rStyle w:val="Hyperlink"/>
            <w:rFonts w:hint="cs"/>
            <w:noProof/>
            <w:rtl/>
          </w:rPr>
          <w:t>ی</w:t>
        </w:r>
        <w:r w:rsidRPr="004A1BCB">
          <w:rPr>
            <w:rStyle w:val="Hyperlink"/>
            <w:rFonts w:hint="eastAsia"/>
            <w:noProof/>
            <w:rtl/>
          </w:rPr>
          <w:t>ت</w:t>
        </w:r>
        <w:r w:rsidRPr="004A1BCB">
          <w:rPr>
            <w:rStyle w:val="Hyperlink"/>
            <w:noProof/>
            <w:rtl/>
          </w:rPr>
          <w:t xml:space="preserve"> حرمت «تشر</w:t>
        </w:r>
        <w:r w:rsidRPr="004A1BCB">
          <w:rPr>
            <w:rStyle w:val="Hyperlink"/>
            <w:rFonts w:hint="cs"/>
            <w:noProof/>
            <w:rtl/>
          </w:rPr>
          <w:t>ی</w:t>
        </w:r>
        <w:r w:rsidRPr="004A1BCB">
          <w:rPr>
            <w:rStyle w:val="Hyperlink"/>
            <w:rFonts w:hint="eastAsia"/>
            <w:noProof/>
            <w:rtl/>
          </w:rPr>
          <w:t>ع</w:t>
        </w:r>
        <w:r w:rsidRPr="004A1BCB">
          <w:rPr>
            <w:rStyle w:val="Hyperlink"/>
            <w:noProof/>
            <w:rtl/>
          </w:rPr>
          <w:t>» و حرمت «بدعت» به فعل خارج</w:t>
        </w:r>
        <w:r w:rsidRPr="004A1BCB">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99291720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573D53FD" w14:textId="7C4D2E27" w:rsidR="00BD3139" w:rsidRDefault="00BD3139" w:rsidP="00BD3139">
      <w:pPr>
        <w:pStyle w:val="TOC2"/>
        <w:tabs>
          <w:tab w:val="right" w:leader="dot" w:pos="10194"/>
        </w:tabs>
        <w:rPr>
          <w:rFonts w:asciiTheme="minorHAnsi" w:eastAsiaTheme="minorEastAsia" w:hAnsiTheme="minorHAnsi" w:cstheme="minorBidi"/>
          <w:bCs w:val="0"/>
          <w:noProof/>
          <w:color w:val="auto"/>
          <w:szCs w:val="22"/>
          <w:rtl/>
          <w:lang w:bidi="ar-SA"/>
        </w:rPr>
      </w:pPr>
      <w:hyperlink w:anchor="_Toc99291721" w:history="1">
        <w:r w:rsidRPr="004A1BCB">
          <w:rPr>
            <w:rStyle w:val="Hyperlink"/>
            <w:noProof/>
            <w:rtl/>
          </w:rPr>
          <w:t>بررس</w:t>
        </w:r>
        <w:r w:rsidRPr="004A1BCB">
          <w:rPr>
            <w:rStyle w:val="Hyperlink"/>
            <w:rFonts w:hint="cs"/>
            <w:noProof/>
            <w:rtl/>
          </w:rPr>
          <w:t>ی</w:t>
        </w:r>
        <w:r w:rsidRPr="004A1BCB">
          <w:rPr>
            <w:rStyle w:val="Hyperlink"/>
            <w:noProof/>
            <w:rtl/>
          </w:rPr>
          <w:t xml:space="preserve"> ب</w:t>
        </w:r>
        <w:r w:rsidRPr="004A1BCB">
          <w:rPr>
            <w:rStyle w:val="Hyperlink"/>
            <w:rFonts w:hint="cs"/>
            <w:noProof/>
            <w:rtl/>
          </w:rPr>
          <w:t>ی</w:t>
        </w:r>
        <w:r w:rsidRPr="004A1BCB">
          <w:rPr>
            <w:rStyle w:val="Hyperlink"/>
            <w:rFonts w:hint="eastAsia"/>
            <w:noProof/>
            <w:rtl/>
          </w:rPr>
          <w:t>ان</w:t>
        </w:r>
        <w:r w:rsidRPr="004A1BCB">
          <w:rPr>
            <w:rStyle w:val="Hyperlink"/>
            <w:noProof/>
            <w:rtl/>
          </w:rPr>
          <w:t xml:space="preserve"> شه</w:t>
        </w:r>
        <w:r w:rsidRPr="004A1BCB">
          <w:rPr>
            <w:rStyle w:val="Hyperlink"/>
            <w:rFonts w:hint="cs"/>
            <w:noProof/>
            <w:rtl/>
          </w:rPr>
          <w:t>ی</w:t>
        </w:r>
        <w:r w:rsidRPr="004A1BCB">
          <w:rPr>
            <w:rStyle w:val="Hyperlink"/>
            <w:rFonts w:hint="eastAsia"/>
            <w:noProof/>
            <w:rtl/>
          </w:rPr>
          <w:t>د</w:t>
        </w:r>
        <w:r w:rsidRPr="004A1BCB">
          <w:rPr>
            <w:rStyle w:val="Hyperlink"/>
            <w:noProof/>
            <w:rtl/>
          </w:rPr>
          <w:t xml:space="preserve"> صدر در وجوه بطلان عبادت در فرض تحقق تشر</w:t>
        </w:r>
        <w:r w:rsidRPr="004A1BCB">
          <w:rPr>
            <w:rStyle w:val="Hyperlink"/>
            <w:rFonts w:hint="cs"/>
            <w:noProof/>
            <w:rtl/>
          </w:rPr>
          <w:t>ی</w:t>
        </w:r>
        <w:r w:rsidRPr="004A1BCB">
          <w:rPr>
            <w:rStyle w:val="Hyperlink"/>
            <w:rFonts w:hint="eastAsia"/>
            <w:noProof/>
            <w:rtl/>
          </w:rPr>
          <w:t>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99291721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66CBF6D0" w14:textId="51E5E249" w:rsidR="00BD3139" w:rsidRDefault="00BD3139" w:rsidP="00BD3139">
      <w:pPr>
        <w:pStyle w:val="TOC2"/>
        <w:tabs>
          <w:tab w:val="right" w:leader="dot" w:pos="10194"/>
        </w:tabs>
        <w:rPr>
          <w:rFonts w:asciiTheme="minorHAnsi" w:eastAsiaTheme="minorEastAsia" w:hAnsiTheme="minorHAnsi" w:cstheme="minorBidi"/>
          <w:bCs w:val="0"/>
          <w:noProof/>
          <w:color w:val="auto"/>
          <w:szCs w:val="22"/>
          <w:rtl/>
          <w:lang w:bidi="ar-SA"/>
        </w:rPr>
      </w:pPr>
      <w:hyperlink w:anchor="_Toc99291722" w:history="1">
        <w:r w:rsidRPr="004A1BCB">
          <w:rPr>
            <w:rStyle w:val="Hyperlink"/>
            <w:noProof/>
            <w:rtl/>
          </w:rPr>
          <w:t>موارد دلالت نه</w:t>
        </w:r>
        <w:r w:rsidRPr="004A1BCB">
          <w:rPr>
            <w:rStyle w:val="Hyperlink"/>
            <w:rFonts w:hint="cs"/>
            <w:noProof/>
            <w:rtl/>
          </w:rPr>
          <w:t>ی</w:t>
        </w:r>
        <w:r w:rsidRPr="004A1BCB">
          <w:rPr>
            <w:rStyle w:val="Hyperlink"/>
            <w:noProof/>
            <w:rtl/>
          </w:rPr>
          <w:t xml:space="preserve"> از عبادت بر حرمت ذات</w:t>
        </w:r>
        <w:r w:rsidRPr="004A1BCB">
          <w:rPr>
            <w:rStyle w:val="Hyperlink"/>
            <w:rFonts w:hint="cs"/>
            <w:noProof/>
            <w:rtl/>
          </w:rPr>
          <w:t>ی</w:t>
        </w:r>
        <w:r w:rsidRPr="004A1BCB">
          <w:rPr>
            <w:rStyle w:val="Hyperlink"/>
            <w:noProof/>
            <w:rtl/>
          </w:rPr>
          <w:t xml:space="preserve"> آن به سبب وجود قر</w:t>
        </w:r>
        <w:r w:rsidRPr="004A1BCB">
          <w:rPr>
            <w:rStyle w:val="Hyperlink"/>
            <w:rFonts w:hint="cs"/>
            <w:noProof/>
            <w:rtl/>
          </w:rPr>
          <w:t>ی</w:t>
        </w:r>
        <w:r w:rsidRPr="004A1BCB">
          <w:rPr>
            <w:rStyle w:val="Hyperlink"/>
            <w:rFonts w:hint="eastAsia"/>
            <w:noProof/>
            <w:rtl/>
          </w:rPr>
          <w:t>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99291722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14:paraId="39C8649A" w14:textId="511A43D5" w:rsidR="00BD3139" w:rsidRDefault="00BD3139" w:rsidP="00BD3139">
      <w:pPr>
        <w:pStyle w:val="TOC2"/>
        <w:tabs>
          <w:tab w:val="right" w:leader="dot" w:pos="10194"/>
        </w:tabs>
        <w:rPr>
          <w:rFonts w:asciiTheme="minorHAnsi" w:eastAsiaTheme="minorEastAsia" w:hAnsiTheme="minorHAnsi" w:cstheme="minorBidi"/>
          <w:bCs w:val="0"/>
          <w:noProof/>
          <w:color w:val="auto"/>
          <w:szCs w:val="22"/>
          <w:rtl/>
          <w:lang w:bidi="ar-SA"/>
        </w:rPr>
      </w:pPr>
      <w:hyperlink w:anchor="_Toc99291723" w:history="1">
        <w:r w:rsidRPr="004A1BCB">
          <w:rPr>
            <w:rStyle w:val="Hyperlink"/>
            <w:noProof/>
            <w:rtl/>
          </w:rPr>
          <w:t>منشأ ظهور نه</w:t>
        </w:r>
        <w:r w:rsidRPr="004A1BCB">
          <w:rPr>
            <w:rStyle w:val="Hyperlink"/>
            <w:rFonts w:hint="cs"/>
            <w:noProof/>
            <w:rtl/>
          </w:rPr>
          <w:t>ی</w:t>
        </w:r>
        <w:r w:rsidRPr="004A1BCB">
          <w:rPr>
            <w:rStyle w:val="Hyperlink"/>
            <w:noProof/>
            <w:rtl/>
          </w:rPr>
          <w:t xml:space="preserve"> از عبادت در ارشاد به فساد و عدم ظهور در حرمت ذات</w:t>
        </w:r>
        <w:r w:rsidRPr="004A1BCB">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99291723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57C83605" w14:textId="44A69350" w:rsidR="00BD3139" w:rsidRDefault="00BD3139" w:rsidP="00BD3139">
      <w:pPr>
        <w:pStyle w:val="TOC2"/>
        <w:tabs>
          <w:tab w:val="right" w:leader="dot" w:pos="10194"/>
        </w:tabs>
        <w:rPr>
          <w:rFonts w:asciiTheme="minorHAnsi" w:eastAsiaTheme="minorEastAsia" w:hAnsiTheme="minorHAnsi" w:cstheme="minorBidi"/>
          <w:bCs w:val="0"/>
          <w:noProof/>
          <w:color w:val="auto"/>
          <w:szCs w:val="22"/>
          <w:rtl/>
          <w:lang w:bidi="ar-SA"/>
        </w:rPr>
      </w:pPr>
      <w:hyperlink w:anchor="_Toc99291724" w:history="1">
        <w:r w:rsidRPr="004A1BCB">
          <w:rPr>
            <w:rStyle w:val="Hyperlink"/>
            <w:noProof/>
            <w:rtl/>
          </w:rPr>
          <w:t>وجه مخالفت عمل</w:t>
        </w:r>
        <w:r w:rsidRPr="004A1BCB">
          <w:rPr>
            <w:rStyle w:val="Hyperlink"/>
            <w:rFonts w:hint="cs"/>
            <w:noProof/>
            <w:rtl/>
          </w:rPr>
          <w:t>ی</w:t>
        </w:r>
        <w:r w:rsidRPr="004A1BCB">
          <w:rPr>
            <w:rStyle w:val="Hyperlink"/>
            <w:noProof/>
            <w:rtl/>
          </w:rPr>
          <w:t xml:space="preserve"> مشهور با قاعده ظهور نه</w:t>
        </w:r>
        <w:r w:rsidRPr="004A1BCB">
          <w:rPr>
            <w:rStyle w:val="Hyperlink"/>
            <w:rFonts w:hint="cs"/>
            <w:noProof/>
            <w:rtl/>
          </w:rPr>
          <w:t>ی</w:t>
        </w:r>
        <w:r w:rsidRPr="004A1BCB">
          <w:rPr>
            <w:rStyle w:val="Hyperlink"/>
            <w:noProof/>
            <w:rtl/>
          </w:rPr>
          <w:t xml:space="preserve"> از عبادت و معامله در ارشاد</w:t>
        </w:r>
        <w:r w:rsidRPr="004A1BCB">
          <w:rPr>
            <w:rStyle w:val="Hyperlink"/>
            <w:rFonts w:hint="cs"/>
            <w:noProof/>
            <w:rtl/>
          </w:rPr>
          <w:t>ی</w:t>
        </w:r>
        <w:r w:rsidRPr="004A1BCB">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99291724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14:paraId="59645819" w14:textId="36CD41FF" w:rsidR="00C91EB6" w:rsidRPr="00C91EB6" w:rsidRDefault="00BD3139" w:rsidP="00203E9C">
      <w:pPr>
        <w:ind w:hanging="2"/>
      </w:pPr>
      <w:r>
        <w:rPr>
          <w:rStyle w:val="Hyperlink"/>
          <w:rFonts w:cs="B Titr"/>
          <w:noProof/>
          <w:szCs w:val="24"/>
          <w:rtl/>
        </w:rPr>
        <w:fldChar w:fldCharType="end"/>
      </w:r>
    </w:p>
    <w:p w14:paraId="7994951D" w14:textId="77777777" w:rsidR="00F343FB" w:rsidRPr="00A6366F" w:rsidRDefault="00F842AD" w:rsidP="00203E9C">
      <w:pPr>
        <w:ind w:hanging="2"/>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F608E8">
        <w:rPr>
          <w:rtl/>
        </w:rPr>
        <w:t>اقتضاء النه</w:t>
      </w:r>
      <w:r w:rsidR="00F608E8">
        <w:rPr>
          <w:rFonts w:hint="cs"/>
          <w:rtl/>
        </w:rPr>
        <w:t>ی</w:t>
      </w:r>
      <w:r w:rsidR="00F608E8">
        <w:rPr>
          <w:rtl/>
        </w:rPr>
        <w:t xml:space="preserve"> للفساد</w:t>
      </w:r>
      <w:r w:rsidR="00025B70">
        <w:rPr>
          <w:rFonts w:hint="cs"/>
          <w:rtl/>
        </w:rPr>
        <w:t xml:space="preserve"> </w:t>
      </w:r>
      <w:r w:rsidR="00386C11" w:rsidRPr="00A6366F">
        <w:rPr>
          <w:rFonts w:hint="cs"/>
          <w:rtl/>
        </w:rPr>
        <w:t>/</w:t>
      </w:r>
      <w:bookmarkStart w:id="1" w:name="BokSabj_d"/>
      <w:bookmarkEnd w:id="1"/>
      <w:r w:rsidR="00F608E8">
        <w:rPr>
          <w:rtl/>
        </w:rPr>
        <w:t>نواه</w:t>
      </w:r>
      <w:r w:rsidR="00F608E8">
        <w:rPr>
          <w:rFonts w:hint="cs"/>
          <w:rtl/>
        </w:rPr>
        <w:t>ی</w:t>
      </w:r>
      <w:r w:rsidR="00386C11" w:rsidRPr="00A6366F">
        <w:rPr>
          <w:rFonts w:hint="cs"/>
          <w:rtl/>
        </w:rPr>
        <w:t xml:space="preserve"> /</w:t>
      </w:r>
      <w:bookmarkStart w:id="2" w:name="Bokkolli"/>
      <w:bookmarkEnd w:id="2"/>
      <w:r w:rsidR="00F608E8">
        <w:rPr>
          <w:rtl/>
        </w:rPr>
        <w:t>مباحث الفاظ</w:t>
      </w:r>
      <w:r w:rsidR="001B6799" w:rsidRPr="00A6366F">
        <w:rPr>
          <w:rFonts w:hint="cs"/>
          <w:rtl/>
        </w:rPr>
        <w:t xml:space="preserve"> </w:t>
      </w:r>
    </w:p>
    <w:p w14:paraId="5429782A" w14:textId="77777777" w:rsidR="008F5B4D" w:rsidRPr="009C66D5" w:rsidRDefault="008F5B4D" w:rsidP="00203E9C">
      <w:pPr>
        <w:ind w:hanging="2"/>
        <w:rPr>
          <w:rStyle w:val="Emphasis"/>
          <w:b/>
          <w:bCs w:val="0"/>
          <w:rtl/>
        </w:rPr>
      </w:pPr>
      <w:r w:rsidRPr="009C66D5">
        <w:rPr>
          <w:rStyle w:val="Emphasis"/>
          <w:rFonts w:hint="cs"/>
          <w:b/>
          <w:bCs w:val="0"/>
          <w:rtl/>
        </w:rPr>
        <w:t>خلاصه مباحث گذشته:</w:t>
      </w:r>
    </w:p>
    <w:p w14:paraId="11A46C9A" w14:textId="6BE71DCB" w:rsidR="008256EF" w:rsidRDefault="009D5049" w:rsidP="00023FF7">
      <w:pPr>
        <w:ind w:hanging="2"/>
        <w:rPr>
          <w:rtl/>
        </w:rPr>
      </w:pPr>
      <w:r>
        <w:rPr>
          <w:rFonts w:hint="cs"/>
          <w:rtl/>
        </w:rPr>
        <w:t xml:space="preserve">در بحث اقتضاء نهی از عبادت نسبت به فساد آن </w:t>
      </w:r>
      <w:r w:rsidR="00403DE0">
        <w:rPr>
          <w:rFonts w:hint="cs"/>
          <w:rtl/>
        </w:rPr>
        <w:t>پنج فرض مطرح می شود که فرض اول تا سوم مورد بررسی قرار گرفت</w:t>
      </w:r>
      <w:r>
        <w:rPr>
          <w:rFonts w:hint="cs"/>
          <w:rtl/>
        </w:rPr>
        <w:t>. فرض چهارم تعلق نهی غیری به عبادت است. وجوهی برای عدم اقتضاء نهی نسبت به فساد در این فرض مطرح شد و برخی از آن ها مورد پذیرش قرار گرفت. فرض پنجم تعلق نهی کراهتی به عبادت است</w:t>
      </w:r>
      <w:r w:rsidR="00EA710C">
        <w:rPr>
          <w:rFonts w:hint="cs"/>
          <w:rtl/>
        </w:rPr>
        <w:t xml:space="preserve"> که بیان شد</w:t>
      </w:r>
      <w:r>
        <w:rPr>
          <w:rFonts w:hint="cs"/>
          <w:rtl/>
        </w:rPr>
        <w:t xml:space="preserve"> در صورت تعلق امر به صرف الوجود نهی از حصه ای از عبادت مقتضی فساد نخواهد بود بر خلاف فرضی که امر انحلالی باشد.</w:t>
      </w:r>
    </w:p>
    <w:p w14:paraId="55F3BC32" w14:textId="091002E7" w:rsidR="003A6148" w:rsidRDefault="0072374E" w:rsidP="00023FF7">
      <w:pPr>
        <w:ind w:hanging="2"/>
      </w:pPr>
      <w:r>
        <w:rPr>
          <w:rFonts w:hint="cs"/>
          <w:rtl/>
        </w:rPr>
        <w:t xml:space="preserve">تنبیهی </w:t>
      </w:r>
      <w:r w:rsidR="00403DE0">
        <w:rPr>
          <w:rFonts w:hint="cs"/>
          <w:rtl/>
        </w:rPr>
        <w:t xml:space="preserve">که در </w:t>
      </w:r>
      <w:r w:rsidR="008256EF">
        <w:rPr>
          <w:rFonts w:hint="cs"/>
          <w:rtl/>
        </w:rPr>
        <w:t xml:space="preserve">پایان </w:t>
      </w:r>
      <w:r w:rsidR="00403DE0">
        <w:rPr>
          <w:rFonts w:hint="cs"/>
          <w:rtl/>
        </w:rPr>
        <w:t>جلسه گذشته مورد اشاره قرار گرفت قول مشهور مبنی بر ظهور امر و نهی متعلق به عبادات و معاملات در ارشادیت است.</w:t>
      </w:r>
    </w:p>
    <w:p w14:paraId="0287BB4F" w14:textId="77777777" w:rsidR="00247D2F" w:rsidRPr="003A6148" w:rsidRDefault="00247D2F" w:rsidP="003A6148">
      <w:pPr>
        <w:pBdr>
          <w:bottom w:val="double" w:sz="6" w:space="1" w:color="auto"/>
        </w:pBdr>
      </w:pPr>
    </w:p>
    <w:p w14:paraId="2C2983D1" w14:textId="77777777" w:rsidR="008F5B4D" w:rsidRDefault="008F5B4D" w:rsidP="003A6148"/>
    <w:p w14:paraId="64B79A48" w14:textId="72A6AC05" w:rsidR="00BC31A2" w:rsidRDefault="00BC31A2" w:rsidP="00BC31A2">
      <w:pPr>
        <w:pStyle w:val="Heading1"/>
        <w:rPr>
          <w:rtl/>
        </w:rPr>
      </w:pPr>
      <w:bookmarkStart w:id="3" w:name="_Toc99183161"/>
      <w:bookmarkStart w:id="4" w:name="_Toc99291686"/>
      <w:bookmarkStart w:id="5" w:name="_Toc99291719"/>
      <w:r>
        <w:rPr>
          <w:rFonts w:hint="cs"/>
          <w:rtl/>
        </w:rPr>
        <w:t>تنبیه: ظهور امر و نهی در عبادات و معاملات در ارشادیت</w:t>
      </w:r>
      <w:bookmarkEnd w:id="3"/>
      <w:bookmarkEnd w:id="4"/>
      <w:bookmarkEnd w:id="5"/>
    </w:p>
    <w:p w14:paraId="74876181" w14:textId="08B477B2" w:rsidR="00DD2891" w:rsidRDefault="00FC4865" w:rsidP="00DD2891">
      <w:pPr>
        <w:rPr>
          <w:rtl/>
        </w:rPr>
      </w:pPr>
      <w:r>
        <w:rPr>
          <w:rFonts w:hint="cs"/>
          <w:rtl/>
        </w:rPr>
        <w:t>بحث اقتضاء نهی نسبت به فساد در نهی تکلیفی مطرح می شود. اما ظاهر خطاب نهی از عبادت یا معامله یا نهی از فعلی در عبادت یا معامله ارشاد به فساد آن است. به عنوان مثال «لا تصم فی السفر»</w:t>
      </w:r>
      <w:r w:rsidR="00D91215">
        <w:rPr>
          <w:rStyle w:val="FootnoteReference"/>
          <w:rtl/>
        </w:rPr>
        <w:footnoteReference w:id="1"/>
      </w:r>
      <w:r>
        <w:rPr>
          <w:rFonts w:hint="cs"/>
          <w:rtl/>
        </w:rPr>
        <w:t xml:space="preserve"> ارشاد به فساد روزه در سفر </w:t>
      </w:r>
      <w:r w:rsidR="00937753">
        <w:rPr>
          <w:rFonts w:hint="cs"/>
          <w:rtl/>
        </w:rPr>
        <w:t xml:space="preserve">بوده و حتی </w:t>
      </w:r>
      <w:r w:rsidR="009A337F" w:rsidRPr="009A337F">
        <w:rPr>
          <w:rFonts w:hint="eastAsia"/>
          <w:color w:val="008000"/>
          <w:rtl/>
        </w:rPr>
        <w:lastRenderedPageBreak/>
        <w:t>«</w:t>
      </w:r>
      <w:r w:rsidR="009A337F" w:rsidRPr="009A337F">
        <w:rPr>
          <w:color w:val="008000"/>
          <w:rtl/>
        </w:rPr>
        <w:t>الصَّوْمُ فِ</w:t>
      </w:r>
      <w:r w:rsidR="007F1421">
        <w:rPr>
          <w:color w:val="008000"/>
          <w:rtl/>
        </w:rPr>
        <w:t>ی</w:t>
      </w:r>
      <w:r w:rsidR="009A337F" w:rsidRPr="009A337F">
        <w:rPr>
          <w:color w:val="008000"/>
          <w:rtl/>
        </w:rPr>
        <w:t xml:space="preserve"> السَّفَرِ مَعْصِ</w:t>
      </w:r>
      <w:r w:rsidR="007F1421">
        <w:rPr>
          <w:color w:val="008000"/>
          <w:rtl/>
        </w:rPr>
        <w:t>ی</w:t>
      </w:r>
      <w:r w:rsidR="009A337F" w:rsidRPr="009A337F">
        <w:rPr>
          <w:color w:val="008000"/>
          <w:rtl/>
        </w:rPr>
        <w:t>ة»</w:t>
      </w:r>
      <w:r w:rsidR="00D91215">
        <w:rPr>
          <w:rStyle w:val="FootnoteReference"/>
          <w:color w:val="008000"/>
          <w:rtl/>
        </w:rPr>
        <w:footnoteReference w:id="2"/>
      </w:r>
      <w:r w:rsidR="009A337F">
        <w:rPr>
          <w:rFonts w:hint="cs"/>
          <w:rtl/>
        </w:rPr>
        <w:t xml:space="preserve"> که در موثقه عمار بیان شده است ظاهر در عصیان تشریعی است.</w:t>
      </w:r>
      <w:r w:rsidR="00937753">
        <w:rPr>
          <w:rFonts w:hint="cs"/>
          <w:rtl/>
        </w:rPr>
        <w:t xml:space="preserve"> عصیان و حرمت تشریعی به این معناست که صوم در سفر امر وجوبی و استحبابی ندارد و لذا اگر مکلف قصد امر جزمی کند مرتکب حرام شده است. </w:t>
      </w:r>
    </w:p>
    <w:p w14:paraId="41869275" w14:textId="7073F3A5" w:rsidR="00DD2891" w:rsidRDefault="003C44F4" w:rsidP="003C44F4">
      <w:pPr>
        <w:pStyle w:val="Heading2"/>
        <w:rPr>
          <w:rtl/>
        </w:rPr>
      </w:pPr>
      <w:bookmarkStart w:id="6" w:name="_Toc99291687"/>
      <w:bookmarkStart w:id="7" w:name="_Toc99291720"/>
      <w:r>
        <w:rPr>
          <w:rFonts w:hint="cs"/>
          <w:rtl/>
        </w:rPr>
        <w:t xml:space="preserve">بررسی </w:t>
      </w:r>
      <w:r w:rsidR="00DD2891">
        <w:rPr>
          <w:rFonts w:hint="cs"/>
          <w:rtl/>
        </w:rPr>
        <w:t xml:space="preserve">سرایت حرمت </w:t>
      </w:r>
      <w:r>
        <w:rPr>
          <w:rFonts w:hint="cs"/>
          <w:rtl/>
        </w:rPr>
        <w:t>«تشریع» و حرمت «بدعت» به فعل خارجی</w:t>
      </w:r>
      <w:bookmarkEnd w:id="6"/>
      <w:bookmarkEnd w:id="7"/>
    </w:p>
    <w:p w14:paraId="26969AC9" w14:textId="10D7CAAA" w:rsidR="00037F3E" w:rsidRDefault="00937753" w:rsidP="006162A2">
      <w:pPr>
        <w:rPr>
          <w:rtl/>
        </w:rPr>
      </w:pPr>
      <w:r>
        <w:rPr>
          <w:rFonts w:hint="cs"/>
          <w:rtl/>
        </w:rPr>
        <w:t xml:space="preserve">این لزوما به معنای حرمت فعل نیست. کسانی قائل به حرمت صوم در سفر به قصد امر جزمی می شوند که تشریع را عنوان منطبق بر فعل بدانند اگر چه دلیل آن ها بعد از استظهار حرمت تشریعی و نه ذاتی صوم در سفر، استظهار از روایات </w:t>
      </w:r>
      <w:r w:rsidRPr="009A337F">
        <w:rPr>
          <w:rFonts w:hint="eastAsia"/>
          <w:color w:val="008000"/>
          <w:rtl/>
        </w:rPr>
        <w:t>«</w:t>
      </w:r>
      <w:r w:rsidRPr="009A337F">
        <w:rPr>
          <w:color w:val="008000"/>
          <w:rtl/>
        </w:rPr>
        <w:t>الصَّوْمُ فِ</w:t>
      </w:r>
      <w:r w:rsidR="007F1421">
        <w:rPr>
          <w:color w:val="008000"/>
          <w:rtl/>
        </w:rPr>
        <w:t>ی</w:t>
      </w:r>
      <w:r w:rsidRPr="009A337F">
        <w:rPr>
          <w:color w:val="008000"/>
          <w:rtl/>
        </w:rPr>
        <w:t xml:space="preserve"> السَّفَرِ مَعْصِ</w:t>
      </w:r>
      <w:r w:rsidR="007F1421">
        <w:rPr>
          <w:color w:val="008000"/>
          <w:rtl/>
        </w:rPr>
        <w:t>ی</w:t>
      </w:r>
      <w:r w:rsidRPr="009A337F">
        <w:rPr>
          <w:color w:val="008000"/>
          <w:rtl/>
        </w:rPr>
        <w:t>ة»</w:t>
      </w:r>
      <w:r>
        <w:rPr>
          <w:rFonts w:hint="cs"/>
          <w:color w:val="008000"/>
          <w:rtl/>
        </w:rPr>
        <w:t xml:space="preserve"> </w:t>
      </w:r>
      <w:r>
        <w:rPr>
          <w:rFonts w:hint="cs"/>
          <w:rtl/>
        </w:rPr>
        <w:t>باشد.</w:t>
      </w:r>
      <w:r w:rsidR="00E01ED9">
        <w:rPr>
          <w:rFonts w:hint="cs"/>
          <w:rtl/>
        </w:rPr>
        <w:t xml:space="preserve"> </w:t>
      </w:r>
      <w:r w:rsidR="00933AE8">
        <w:rPr>
          <w:rFonts w:hint="cs"/>
          <w:rtl/>
        </w:rPr>
        <w:t xml:space="preserve">بر این اساس </w:t>
      </w:r>
      <w:r w:rsidR="003C7D65">
        <w:rPr>
          <w:rFonts w:hint="cs"/>
          <w:rtl/>
        </w:rPr>
        <w:t>روایت</w:t>
      </w:r>
      <w:r w:rsidR="00E01ED9">
        <w:rPr>
          <w:rFonts w:hint="cs"/>
          <w:rtl/>
        </w:rPr>
        <w:t xml:space="preserve"> </w:t>
      </w:r>
      <w:r w:rsidR="00E01ED9" w:rsidRPr="009A337F">
        <w:rPr>
          <w:rFonts w:hint="eastAsia"/>
          <w:color w:val="008000"/>
          <w:rtl/>
        </w:rPr>
        <w:t>«</w:t>
      </w:r>
      <w:r w:rsidR="00E01ED9" w:rsidRPr="009A337F">
        <w:rPr>
          <w:color w:val="008000"/>
          <w:rtl/>
        </w:rPr>
        <w:t>الصَّوْمُ فِ</w:t>
      </w:r>
      <w:r w:rsidR="007F1421">
        <w:rPr>
          <w:color w:val="008000"/>
          <w:rtl/>
        </w:rPr>
        <w:t>ی</w:t>
      </w:r>
      <w:r w:rsidR="00E01ED9" w:rsidRPr="009A337F">
        <w:rPr>
          <w:color w:val="008000"/>
          <w:rtl/>
        </w:rPr>
        <w:t xml:space="preserve"> السَّفَرِ مَعْصِ</w:t>
      </w:r>
      <w:r w:rsidR="007F1421">
        <w:rPr>
          <w:color w:val="008000"/>
          <w:rtl/>
        </w:rPr>
        <w:t>ی</w:t>
      </w:r>
      <w:r w:rsidR="00E01ED9" w:rsidRPr="009A337F">
        <w:rPr>
          <w:color w:val="008000"/>
          <w:rtl/>
        </w:rPr>
        <w:t>ة»</w:t>
      </w:r>
      <w:r>
        <w:rPr>
          <w:rFonts w:hint="cs"/>
          <w:rtl/>
        </w:rPr>
        <w:t xml:space="preserve"> دلیل بر </w:t>
      </w:r>
      <w:r w:rsidR="00E01ED9">
        <w:rPr>
          <w:rFonts w:hint="cs"/>
          <w:rtl/>
        </w:rPr>
        <w:t>حرمت خود فعلی است که به قصد امر جزمی آورده می شود نه اینکه فعل نفسانی یعنی اسناد دادن امر به صوم در سفر به خدا حرام باشد.</w:t>
      </w:r>
      <w:r w:rsidR="00933AE8">
        <w:rPr>
          <w:rFonts w:hint="cs"/>
          <w:rtl/>
        </w:rPr>
        <w:t xml:space="preserve"> اما ممکن است گفته شود </w:t>
      </w:r>
      <w:r w:rsidR="00933AE8" w:rsidRPr="009A337F">
        <w:rPr>
          <w:rFonts w:hint="eastAsia"/>
          <w:color w:val="008000"/>
          <w:rtl/>
        </w:rPr>
        <w:t>«</w:t>
      </w:r>
      <w:r w:rsidR="00933AE8" w:rsidRPr="009A337F">
        <w:rPr>
          <w:color w:val="008000"/>
          <w:rtl/>
        </w:rPr>
        <w:t>الصَّوْمُ فِ</w:t>
      </w:r>
      <w:r w:rsidR="007F1421">
        <w:rPr>
          <w:color w:val="008000"/>
          <w:rtl/>
        </w:rPr>
        <w:t>ی</w:t>
      </w:r>
      <w:r w:rsidR="00933AE8" w:rsidRPr="009A337F">
        <w:rPr>
          <w:color w:val="008000"/>
          <w:rtl/>
        </w:rPr>
        <w:t xml:space="preserve"> السَّفَرِ مَعْصِ</w:t>
      </w:r>
      <w:r w:rsidR="007F1421">
        <w:rPr>
          <w:color w:val="008000"/>
          <w:rtl/>
        </w:rPr>
        <w:t>ی</w:t>
      </w:r>
      <w:r w:rsidR="00933AE8" w:rsidRPr="009A337F">
        <w:rPr>
          <w:color w:val="008000"/>
          <w:rtl/>
        </w:rPr>
        <w:t>ة»</w:t>
      </w:r>
      <w:r w:rsidR="00933AE8">
        <w:rPr>
          <w:rFonts w:hint="cs"/>
          <w:rtl/>
        </w:rPr>
        <w:t xml:space="preserve"> بیانی عرفی بوده و سازگار با ملازم بودن آن با معصیت است از این حیث که مکلف همراه با صوم در سفر به قصد امر جزمی مرتکب تشریع نیز می شود.</w:t>
      </w:r>
      <w:r w:rsidR="00037F3E">
        <w:rPr>
          <w:rFonts w:hint="cs"/>
          <w:rtl/>
        </w:rPr>
        <w:t xml:space="preserve"> </w:t>
      </w:r>
    </w:p>
    <w:p w14:paraId="157CBDB0" w14:textId="4EE6EC6C" w:rsidR="001A1EA5" w:rsidRDefault="00037F3E" w:rsidP="006162A2">
      <w:pPr>
        <w:rPr>
          <w:rtl/>
        </w:rPr>
      </w:pPr>
      <w:r>
        <w:rPr>
          <w:rFonts w:hint="cs"/>
          <w:rtl/>
        </w:rPr>
        <w:t xml:space="preserve">اگر بدعت باشد خود فعل حرام می شود کما اینکه بعید نیست صوم در سفر به قصد امر جزمی به آن بدعت باشد. روزه </w:t>
      </w:r>
      <w:r w:rsidR="00593E9D">
        <w:rPr>
          <w:rFonts w:hint="cs"/>
          <w:rtl/>
        </w:rPr>
        <w:t xml:space="preserve">در سفر که عامه انجام می دهند و قائل اند </w:t>
      </w:r>
      <w:r>
        <w:rPr>
          <w:rFonts w:hint="cs"/>
          <w:rtl/>
        </w:rPr>
        <w:t xml:space="preserve">عدم وجوب روزه در سفر از باب رخصت است نه عزیمت، </w:t>
      </w:r>
      <w:r w:rsidR="00593E9D">
        <w:rPr>
          <w:rFonts w:hint="cs"/>
          <w:rtl/>
        </w:rPr>
        <w:t>مصداق بدعت است.</w:t>
      </w:r>
      <w:r w:rsidR="00853040">
        <w:rPr>
          <w:rFonts w:hint="cs"/>
          <w:rtl/>
        </w:rPr>
        <w:t xml:space="preserve"> «و قد سمّاهم رسول الله عصاة»</w:t>
      </w:r>
      <w:r w:rsidR="00D91215">
        <w:rPr>
          <w:rStyle w:val="FootnoteReference"/>
          <w:rtl/>
        </w:rPr>
        <w:footnoteReference w:id="3"/>
      </w:r>
      <w:r w:rsidR="00853040">
        <w:rPr>
          <w:rFonts w:hint="cs"/>
          <w:rtl/>
        </w:rPr>
        <w:t>. بنابراین در صورتی که بدعت باشد به نظر ما هم عنوان منطبق بر فعل خارجی است.</w:t>
      </w:r>
    </w:p>
    <w:p w14:paraId="026F1636" w14:textId="199A4D92" w:rsidR="00853040" w:rsidRDefault="00853040" w:rsidP="006162A2">
      <w:pPr>
        <w:rPr>
          <w:rtl/>
        </w:rPr>
      </w:pPr>
      <w:r>
        <w:rPr>
          <w:rFonts w:hint="cs"/>
          <w:rtl/>
        </w:rPr>
        <w:t>در منتقی الاصول جلد 5 صفحه 276 در این فرض نیز مناقشه کرده است. ایشان فرموده است: لزومی ندارد که حرمت بدعت به فعل خارجی سرایت کند. بدعت به معنای ابداع در دین یعنی بناء نفسانی بر ثبوت حکمی در دین است که مصداق آن فعل نفسانی است نه آنچه در خارج انجام می شود.</w:t>
      </w:r>
      <w:r w:rsidR="00DF5EA6">
        <w:rPr>
          <w:rStyle w:val="FootnoteReference"/>
          <w:rtl/>
        </w:rPr>
        <w:footnoteReference w:id="4"/>
      </w:r>
    </w:p>
    <w:p w14:paraId="065283A4" w14:textId="77777777" w:rsidR="00DD2891" w:rsidRDefault="00853040" w:rsidP="006162A2">
      <w:pPr>
        <w:rPr>
          <w:rtl/>
        </w:rPr>
      </w:pPr>
      <w:r>
        <w:rPr>
          <w:rFonts w:hint="cs"/>
          <w:rtl/>
        </w:rPr>
        <w:t xml:space="preserve">این مطلب خلاف ظاهر عنوان بدعت بوده و بدعت بر فعل خارجی منطبق می شود. </w:t>
      </w:r>
      <w:r w:rsidR="00D8211F">
        <w:rPr>
          <w:rFonts w:hint="cs"/>
          <w:rtl/>
        </w:rPr>
        <w:t xml:space="preserve">آنچنان که در تهذیب جلد 3 صفحه 69 در </w:t>
      </w:r>
      <w:r>
        <w:rPr>
          <w:rFonts w:hint="cs"/>
          <w:rtl/>
        </w:rPr>
        <w:t>صحیحه زراره و محمد بن مسلم و فضیل بن یسار راجع به نماز تراویح وارد شده است. عامه در ده شب آخر ماه رمضان نماز مستحب را با جماعت می خواندند و قرآن را با قرائت سه جزء در هر شب ختم می کردند.</w:t>
      </w:r>
      <w:r w:rsidR="00D8211F">
        <w:rPr>
          <w:rFonts w:hint="cs"/>
          <w:rtl/>
        </w:rPr>
        <w:t xml:space="preserve"> این مسأله را</w:t>
      </w:r>
      <w:r>
        <w:rPr>
          <w:rFonts w:hint="cs"/>
          <w:rtl/>
        </w:rPr>
        <w:t xml:space="preserve"> از امام </w:t>
      </w:r>
      <w:r>
        <w:rPr>
          <w:rFonts w:hint="cs"/>
          <w:rtl/>
        </w:rPr>
        <w:lastRenderedPageBreak/>
        <w:t>علیه السلام سوال کردند. امام فرمود: در زمان پیامبر نیز</w:t>
      </w:r>
      <w:r w:rsidR="00D8211F">
        <w:rPr>
          <w:rFonts w:hint="cs"/>
          <w:rtl/>
        </w:rPr>
        <w:t xml:space="preserve"> گروهی</w:t>
      </w:r>
      <w:r>
        <w:rPr>
          <w:rFonts w:hint="cs"/>
          <w:rtl/>
        </w:rPr>
        <w:t xml:space="preserve"> این کار را انجام دادند. پیامبر فرمود: </w:t>
      </w:r>
      <w:r w:rsidR="0052692B" w:rsidRPr="0052692B">
        <w:rPr>
          <w:rFonts w:hint="eastAsia"/>
          <w:color w:val="008000"/>
          <w:rtl/>
        </w:rPr>
        <w:t>«</w:t>
      </w:r>
      <w:r w:rsidRPr="0052692B">
        <w:rPr>
          <w:color w:val="008000"/>
          <w:u w:val="single"/>
          <w:rtl/>
        </w:rPr>
        <w:t>أَ</w:t>
      </w:r>
      <w:r w:rsidR="007F1421">
        <w:rPr>
          <w:color w:val="008000"/>
          <w:u w:val="single"/>
          <w:rtl/>
        </w:rPr>
        <w:t>ی</w:t>
      </w:r>
      <w:r w:rsidRPr="0052692B">
        <w:rPr>
          <w:color w:val="008000"/>
          <w:u w:val="single"/>
          <w:rtl/>
        </w:rPr>
        <w:t>هَا النَّاسُ إِنَّ الصَّلَاةَ بِاللَّ</w:t>
      </w:r>
      <w:r w:rsidR="007F1421">
        <w:rPr>
          <w:color w:val="008000"/>
          <w:u w:val="single"/>
          <w:rtl/>
        </w:rPr>
        <w:t>ی</w:t>
      </w:r>
      <w:r w:rsidRPr="0052692B">
        <w:rPr>
          <w:color w:val="008000"/>
          <w:u w:val="single"/>
          <w:rtl/>
        </w:rPr>
        <w:t>لِ فِ</w:t>
      </w:r>
      <w:r w:rsidR="007F1421">
        <w:rPr>
          <w:color w:val="008000"/>
          <w:u w:val="single"/>
          <w:rtl/>
        </w:rPr>
        <w:t>ی</w:t>
      </w:r>
      <w:r w:rsidRPr="0052692B">
        <w:rPr>
          <w:color w:val="008000"/>
          <w:u w:val="single"/>
          <w:rtl/>
        </w:rPr>
        <w:t xml:space="preserve"> شَهْرِ رَمَضَانَ النَّافِلَةَ فِ</w:t>
      </w:r>
      <w:r w:rsidR="007F1421">
        <w:rPr>
          <w:color w:val="008000"/>
          <w:u w:val="single"/>
          <w:rtl/>
        </w:rPr>
        <w:t>ی</w:t>
      </w:r>
      <w:r w:rsidRPr="0052692B">
        <w:rPr>
          <w:color w:val="008000"/>
          <w:u w:val="single"/>
          <w:rtl/>
        </w:rPr>
        <w:t xml:space="preserve"> جَمَاعَةٍ بِدْعَةٌ</w:t>
      </w:r>
      <w:r w:rsidRPr="0052692B">
        <w:rPr>
          <w:color w:val="008000"/>
          <w:rtl/>
        </w:rPr>
        <w:t xml:space="preserve"> وَ صَلَاةَ الضُّحَ</w:t>
      </w:r>
      <w:r w:rsidR="007F1421">
        <w:rPr>
          <w:color w:val="008000"/>
          <w:rtl/>
        </w:rPr>
        <w:t>ی</w:t>
      </w:r>
      <w:r w:rsidRPr="0052692B">
        <w:rPr>
          <w:color w:val="008000"/>
          <w:rtl/>
        </w:rPr>
        <w:t xml:space="preserve"> بِدْعَةٌ أَلَا فَلَا تَجْتَمِعُوا لَ</w:t>
      </w:r>
      <w:r w:rsidR="007F1421">
        <w:rPr>
          <w:color w:val="008000"/>
          <w:rtl/>
        </w:rPr>
        <w:t>ی</w:t>
      </w:r>
      <w:r w:rsidRPr="0052692B">
        <w:rPr>
          <w:color w:val="008000"/>
          <w:rtl/>
        </w:rPr>
        <w:t>لًا فِ</w:t>
      </w:r>
      <w:r w:rsidR="007F1421">
        <w:rPr>
          <w:color w:val="008000"/>
          <w:rtl/>
        </w:rPr>
        <w:t>ی</w:t>
      </w:r>
      <w:r w:rsidRPr="0052692B">
        <w:rPr>
          <w:color w:val="008000"/>
          <w:rtl/>
        </w:rPr>
        <w:t xml:space="preserve"> شَهْرِ رَمَضَانَ لِصَلَاةِ اللَّ</w:t>
      </w:r>
      <w:r w:rsidR="007F1421">
        <w:rPr>
          <w:color w:val="008000"/>
          <w:rtl/>
        </w:rPr>
        <w:t>ی</w:t>
      </w:r>
      <w:r w:rsidRPr="0052692B">
        <w:rPr>
          <w:color w:val="008000"/>
          <w:rtl/>
        </w:rPr>
        <w:t>لِ وَ لَا تُصَلُّوا صَلَاةَ الضُّحَ</w:t>
      </w:r>
      <w:r w:rsidR="007F1421">
        <w:rPr>
          <w:color w:val="008000"/>
          <w:rtl/>
        </w:rPr>
        <w:t>ی</w:t>
      </w:r>
      <w:r w:rsidRPr="0052692B">
        <w:rPr>
          <w:color w:val="008000"/>
          <w:rtl/>
        </w:rPr>
        <w:t xml:space="preserve"> فَإِنَّ ذَلِ</w:t>
      </w:r>
      <w:r w:rsidR="007F1421">
        <w:rPr>
          <w:color w:val="008000"/>
          <w:rtl/>
        </w:rPr>
        <w:t>ک</w:t>
      </w:r>
      <w:r w:rsidRPr="0052692B">
        <w:rPr>
          <w:color w:val="008000"/>
          <w:rtl/>
        </w:rPr>
        <w:t xml:space="preserve"> مَعْصِ</w:t>
      </w:r>
      <w:r w:rsidR="007F1421">
        <w:rPr>
          <w:color w:val="008000"/>
          <w:rtl/>
        </w:rPr>
        <w:t>ی</w:t>
      </w:r>
      <w:r w:rsidRPr="0052692B">
        <w:rPr>
          <w:color w:val="008000"/>
          <w:rtl/>
        </w:rPr>
        <w:t xml:space="preserve">ةٌ </w:t>
      </w:r>
      <w:r w:rsidRPr="0052692B">
        <w:rPr>
          <w:color w:val="008000"/>
          <w:u w:val="single"/>
          <w:rtl/>
        </w:rPr>
        <w:t xml:space="preserve">أَلَا وَ إِنَّ </w:t>
      </w:r>
      <w:r w:rsidR="007F1421">
        <w:rPr>
          <w:color w:val="008000"/>
          <w:u w:val="single"/>
          <w:rtl/>
        </w:rPr>
        <w:t>ک</w:t>
      </w:r>
      <w:r w:rsidRPr="0052692B">
        <w:rPr>
          <w:color w:val="008000"/>
          <w:u w:val="single"/>
          <w:rtl/>
        </w:rPr>
        <w:t xml:space="preserve">لَّ بِدْعَةٍ ضَلَالَةٌ وَ </w:t>
      </w:r>
      <w:r w:rsidR="007F1421">
        <w:rPr>
          <w:color w:val="008000"/>
          <w:u w:val="single"/>
          <w:rtl/>
        </w:rPr>
        <w:t>ک</w:t>
      </w:r>
      <w:r w:rsidRPr="0052692B">
        <w:rPr>
          <w:color w:val="008000"/>
          <w:u w:val="single"/>
          <w:rtl/>
        </w:rPr>
        <w:t>لَّ ضَلَالَةٍ سَبِ</w:t>
      </w:r>
      <w:r w:rsidR="007F1421">
        <w:rPr>
          <w:color w:val="008000"/>
          <w:u w:val="single"/>
          <w:rtl/>
        </w:rPr>
        <w:t>ی</w:t>
      </w:r>
      <w:r w:rsidRPr="0052692B">
        <w:rPr>
          <w:color w:val="008000"/>
          <w:u w:val="single"/>
          <w:rtl/>
        </w:rPr>
        <w:t>لُهَا إِلَ</w:t>
      </w:r>
      <w:r w:rsidR="007F1421">
        <w:rPr>
          <w:color w:val="008000"/>
          <w:u w:val="single"/>
          <w:rtl/>
        </w:rPr>
        <w:t>ی</w:t>
      </w:r>
      <w:r w:rsidRPr="0052692B">
        <w:rPr>
          <w:color w:val="008000"/>
          <w:u w:val="single"/>
          <w:rtl/>
        </w:rPr>
        <w:t xml:space="preserve"> النَّار</w:t>
      </w:r>
      <w:r w:rsidR="0052692B" w:rsidRPr="0052692B">
        <w:rPr>
          <w:color w:val="008000"/>
          <w:rtl/>
        </w:rPr>
        <w:t>»</w:t>
      </w:r>
      <w:r w:rsidR="00DF5EA6">
        <w:rPr>
          <w:rStyle w:val="FootnoteReference"/>
          <w:color w:val="008000"/>
          <w:rtl/>
        </w:rPr>
        <w:footnoteReference w:id="5"/>
      </w:r>
      <w:r w:rsidR="0052692B">
        <w:rPr>
          <w:rFonts w:hint="cs"/>
          <w:rtl/>
        </w:rPr>
        <w:t xml:space="preserve">. </w:t>
      </w:r>
    </w:p>
    <w:p w14:paraId="4E875C7C" w14:textId="21838904" w:rsidR="00853040" w:rsidRDefault="0052692B" w:rsidP="006162A2">
      <w:pPr>
        <w:rPr>
          <w:rtl/>
        </w:rPr>
      </w:pPr>
      <w:r>
        <w:rPr>
          <w:rFonts w:hint="cs"/>
          <w:rtl/>
        </w:rPr>
        <w:t xml:space="preserve">پس اینکه در روایات فرموده اند صوم در سفر معصیت است می تواند از باب بدعت باشد و می تواند از باب تشریع باشد. اما این ظهور ندارد در اینکه اگر تشریع </w:t>
      </w:r>
      <w:r w:rsidR="00D8211F">
        <w:rPr>
          <w:rFonts w:hint="cs"/>
          <w:rtl/>
        </w:rPr>
        <w:t>باشد</w:t>
      </w:r>
      <w:r>
        <w:rPr>
          <w:rFonts w:hint="cs"/>
          <w:rtl/>
        </w:rPr>
        <w:t xml:space="preserve"> خود صوم در سفر حرام خواهد بود. </w:t>
      </w:r>
      <w:r w:rsidR="00D8211F">
        <w:rPr>
          <w:rFonts w:hint="cs"/>
          <w:rtl/>
        </w:rPr>
        <w:t xml:space="preserve">می فرماید </w:t>
      </w:r>
      <w:r>
        <w:rPr>
          <w:rFonts w:hint="cs"/>
          <w:rtl/>
        </w:rPr>
        <w:t>کسی که در سفر به قصد امر جزمی روزه می گیرد گناه می کند</w:t>
      </w:r>
      <w:r w:rsidR="00D8211F">
        <w:rPr>
          <w:rFonts w:hint="cs"/>
          <w:rtl/>
        </w:rPr>
        <w:t xml:space="preserve">. </w:t>
      </w:r>
      <w:r>
        <w:rPr>
          <w:rFonts w:hint="cs"/>
          <w:rtl/>
        </w:rPr>
        <w:t>ممکن است گناه او مربوط به فعل نفسانی باشد.</w:t>
      </w:r>
    </w:p>
    <w:p w14:paraId="6DE98533" w14:textId="77777777" w:rsidR="00EE5DAE" w:rsidRDefault="00D8211F" w:rsidP="006162A2">
      <w:pPr>
        <w:rPr>
          <w:rtl/>
        </w:rPr>
      </w:pPr>
      <w:r>
        <w:rPr>
          <w:rFonts w:hint="cs"/>
          <w:rtl/>
        </w:rPr>
        <w:t xml:space="preserve">در میان عمومات نهی از تشریع نیز </w:t>
      </w:r>
      <w:r w:rsidR="00EE5DAE">
        <w:rPr>
          <w:rFonts w:hint="cs"/>
          <w:rtl/>
        </w:rPr>
        <w:t>دو دلیل عمده وجود دارد:</w:t>
      </w:r>
      <w:r>
        <w:rPr>
          <w:rFonts w:hint="cs"/>
          <w:rtl/>
        </w:rPr>
        <w:t xml:space="preserve"> </w:t>
      </w:r>
    </w:p>
    <w:p w14:paraId="380AB52B" w14:textId="2AF56541" w:rsidR="00EE5DAE" w:rsidRDefault="00EE5DAE" w:rsidP="006162A2">
      <w:pPr>
        <w:rPr>
          <w:rtl/>
        </w:rPr>
      </w:pPr>
      <w:r>
        <w:rPr>
          <w:rFonts w:hint="cs"/>
          <w:rtl/>
        </w:rPr>
        <w:t xml:space="preserve">1. </w:t>
      </w:r>
      <w:r w:rsidR="00D8211F">
        <w:rPr>
          <w:rFonts w:hint="cs"/>
          <w:rtl/>
        </w:rPr>
        <w:t xml:space="preserve">صحیحه هشام بن سالم: </w:t>
      </w:r>
      <w:r w:rsidRPr="00EE5DAE">
        <w:rPr>
          <w:rFonts w:hint="eastAsia"/>
          <w:color w:val="008000"/>
          <w:rtl/>
        </w:rPr>
        <w:t>«</w:t>
      </w:r>
      <w:r w:rsidRPr="00EE5DAE">
        <w:rPr>
          <w:color w:val="008000"/>
          <w:rtl/>
        </w:rPr>
        <w:t>مَا حَقُّ اللَّهِ عَلَ</w:t>
      </w:r>
      <w:r w:rsidR="007F1421">
        <w:rPr>
          <w:color w:val="008000"/>
          <w:rtl/>
        </w:rPr>
        <w:t>ی</w:t>
      </w:r>
      <w:r w:rsidRPr="00EE5DAE">
        <w:rPr>
          <w:color w:val="008000"/>
          <w:rtl/>
        </w:rPr>
        <w:t xml:space="preserve"> خَلْقِهِ قَالَ أَنْ </w:t>
      </w:r>
      <w:r w:rsidR="007F1421">
        <w:rPr>
          <w:color w:val="008000"/>
          <w:rtl/>
        </w:rPr>
        <w:t>ی</w:t>
      </w:r>
      <w:r w:rsidRPr="00EE5DAE">
        <w:rPr>
          <w:color w:val="008000"/>
          <w:rtl/>
        </w:rPr>
        <w:t xml:space="preserve">قُولُوا مَا </w:t>
      </w:r>
      <w:r w:rsidR="007F1421">
        <w:rPr>
          <w:color w:val="008000"/>
          <w:rtl/>
        </w:rPr>
        <w:t>ی</w:t>
      </w:r>
      <w:r w:rsidRPr="00EE5DAE">
        <w:rPr>
          <w:color w:val="008000"/>
          <w:rtl/>
        </w:rPr>
        <w:t xml:space="preserve">عْلَمُونَ وَ </w:t>
      </w:r>
      <w:r w:rsidR="007F1421">
        <w:rPr>
          <w:color w:val="008000"/>
          <w:rtl/>
        </w:rPr>
        <w:t>یک</w:t>
      </w:r>
      <w:r w:rsidRPr="00EE5DAE">
        <w:rPr>
          <w:color w:val="008000"/>
          <w:rtl/>
        </w:rPr>
        <w:t xml:space="preserve">فُّوا عَمَّا لَا </w:t>
      </w:r>
      <w:r w:rsidR="007F1421">
        <w:rPr>
          <w:color w:val="008000"/>
          <w:rtl/>
        </w:rPr>
        <w:t>ی</w:t>
      </w:r>
      <w:r w:rsidRPr="00EE5DAE">
        <w:rPr>
          <w:color w:val="008000"/>
          <w:rtl/>
        </w:rPr>
        <w:t>عْلَمُون»</w:t>
      </w:r>
      <w:r w:rsidRPr="00EE5DAE">
        <w:rPr>
          <w:rtl/>
        </w:rPr>
        <w:t>‏</w:t>
      </w:r>
      <w:r w:rsidR="007F1421">
        <w:rPr>
          <w:rStyle w:val="FootnoteReference"/>
          <w:rtl/>
        </w:rPr>
        <w:footnoteReference w:id="6"/>
      </w:r>
      <w:r>
        <w:rPr>
          <w:rFonts w:hint="cs"/>
          <w:rtl/>
        </w:rPr>
        <w:t>.</w:t>
      </w:r>
    </w:p>
    <w:p w14:paraId="1E250C21" w14:textId="1AFC57C5" w:rsidR="00EE5DAE" w:rsidRDefault="00EE5DAE" w:rsidP="00DF5EA6">
      <w:pPr>
        <w:rPr>
          <w:rtl/>
        </w:rPr>
      </w:pPr>
      <w:r>
        <w:rPr>
          <w:rFonts w:hint="cs"/>
          <w:rtl/>
        </w:rPr>
        <w:t xml:space="preserve">2. صحیحه عبدالرحمن بن الحجاج: </w:t>
      </w:r>
      <w:r w:rsidRPr="00EE5DAE">
        <w:rPr>
          <w:rFonts w:hint="eastAsia"/>
          <w:color w:val="008000"/>
          <w:rtl/>
        </w:rPr>
        <w:t>«</w:t>
      </w:r>
      <w:r w:rsidRPr="00EE5DAE">
        <w:rPr>
          <w:color w:val="008000"/>
          <w:rtl/>
        </w:rPr>
        <w:t>إِ</w:t>
      </w:r>
      <w:r w:rsidR="007F1421">
        <w:rPr>
          <w:color w:val="008000"/>
          <w:rtl/>
        </w:rPr>
        <w:t>ی</w:t>
      </w:r>
      <w:r w:rsidRPr="00EE5DAE">
        <w:rPr>
          <w:color w:val="008000"/>
          <w:rtl/>
        </w:rPr>
        <w:t>ا</w:t>
      </w:r>
      <w:r w:rsidR="007F1421">
        <w:rPr>
          <w:color w:val="008000"/>
          <w:rtl/>
        </w:rPr>
        <w:t>ک</w:t>
      </w:r>
      <w:r w:rsidRPr="00EE5DAE">
        <w:rPr>
          <w:color w:val="008000"/>
          <w:rtl/>
        </w:rPr>
        <w:t xml:space="preserve"> وَ خَصْلَتَ</w:t>
      </w:r>
      <w:r w:rsidR="007F1421">
        <w:rPr>
          <w:color w:val="008000"/>
          <w:rtl/>
        </w:rPr>
        <w:t>ی</w:t>
      </w:r>
      <w:r w:rsidRPr="00EE5DAE">
        <w:rPr>
          <w:color w:val="008000"/>
          <w:rtl/>
        </w:rPr>
        <w:t>نِ فَفِ</w:t>
      </w:r>
      <w:r w:rsidR="007F1421">
        <w:rPr>
          <w:color w:val="008000"/>
          <w:rtl/>
        </w:rPr>
        <w:t>ی</w:t>
      </w:r>
      <w:r w:rsidRPr="00EE5DAE">
        <w:rPr>
          <w:color w:val="008000"/>
          <w:rtl/>
        </w:rPr>
        <w:t>هِمَا هَلَ</w:t>
      </w:r>
      <w:r w:rsidR="007F1421">
        <w:rPr>
          <w:color w:val="008000"/>
          <w:rtl/>
        </w:rPr>
        <w:t>ک</w:t>
      </w:r>
      <w:r w:rsidRPr="00EE5DAE">
        <w:rPr>
          <w:color w:val="008000"/>
          <w:rtl/>
        </w:rPr>
        <w:t xml:space="preserve"> مَنْ هَلَ</w:t>
      </w:r>
      <w:r w:rsidR="007F1421">
        <w:rPr>
          <w:color w:val="008000"/>
          <w:rtl/>
        </w:rPr>
        <w:t>ک</w:t>
      </w:r>
      <w:r w:rsidRPr="00EE5DAE">
        <w:rPr>
          <w:color w:val="008000"/>
          <w:rtl/>
        </w:rPr>
        <w:t xml:space="preserve"> إِ</w:t>
      </w:r>
      <w:r w:rsidR="007F1421">
        <w:rPr>
          <w:color w:val="008000"/>
          <w:rtl/>
        </w:rPr>
        <w:t>ی</w:t>
      </w:r>
      <w:r w:rsidRPr="00EE5DAE">
        <w:rPr>
          <w:color w:val="008000"/>
          <w:rtl/>
        </w:rPr>
        <w:t>ا</w:t>
      </w:r>
      <w:r w:rsidR="007F1421">
        <w:rPr>
          <w:color w:val="008000"/>
          <w:rtl/>
        </w:rPr>
        <w:t>ک</w:t>
      </w:r>
      <w:r w:rsidRPr="00EE5DAE">
        <w:rPr>
          <w:color w:val="008000"/>
          <w:rtl/>
        </w:rPr>
        <w:t xml:space="preserve"> أَنْ تُفْتِ</w:t>
      </w:r>
      <w:r w:rsidR="007F1421">
        <w:rPr>
          <w:color w:val="008000"/>
          <w:rtl/>
        </w:rPr>
        <w:t>ی</w:t>
      </w:r>
      <w:r w:rsidRPr="00EE5DAE">
        <w:rPr>
          <w:color w:val="008000"/>
          <w:rtl/>
        </w:rPr>
        <w:t xml:space="preserve"> النَّاسَ بِرَأْ</w:t>
      </w:r>
      <w:r w:rsidR="007F1421">
        <w:rPr>
          <w:color w:val="008000"/>
          <w:rtl/>
        </w:rPr>
        <w:t>یک</w:t>
      </w:r>
      <w:r w:rsidRPr="00EE5DAE">
        <w:rPr>
          <w:color w:val="008000"/>
          <w:rtl/>
        </w:rPr>
        <w:t xml:space="preserve"> أَوْ تَدِ</w:t>
      </w:r>
      <w:r w:rsidR="007F1421">
        <w:rPr>
          <w:color w:val="008000"/>
          <w:rtl/>
        </w:rPr>
        <w:t>ی</w:t>
      </w:r>
      <w:r w:rsidRPr="00EE5DAE">
        <w:rPr>
          <w:color w:val="008000"/>
          <w:rtl/>
        </w:rPr>
        <w:t>نَ بِمَا لَا تَعْلَمُ»</w:t>
      </w:r>
      <w:r w:rsidR="007F1421">
        <w:rPr>
          <w:rStyle w:val="FootnoteReference"/>
          <w:color w:val="008000"/>
          <w:rtl/>
        </w:rPr>
        <w:footnoteReference w:id="7"/>
      </w:r>
      <w:r w:rsidRPr="00EE5DAE">
        <w:rPr>
          <w:rtl/>
        </w:rPr>
        <w:t>.</w:t>
      </w:r>
      <w:r w:rsidR="00DF5EA6">
        <w:rPr>
          <w:rFonts w:hint="cs"/>
          <w:rtl/>
        </w:rPr>
        <w:t xml:space="preserve"> </w:t>
      </w:r>
      <w:r>
        <w:rPr>
          <w:rFonts w:hint="cs"/>
          <w:rtl/>
        </w:rPr>
        <w:t xml:space="preserve">این عنوان گرچه دال بر حرمت تشریع است اما </w:t>
      </w:r>
      <w:r w:rsidRPr="00EE5DAE">
        <w:rPr>
          <w:rFonts w:hint="eastAsia"/>
          <w:color w:val="008000"/>
          <w:rtl/>
        </w:rPr>
        <w:t>«</w:t>
      </w:r>
      <w:r w:rsidRPr="00EE5DAE">
        <w:rPr>
          <w:color w:val="008000"/>
          <w:rtl/>
        </w:rPr>
        <w:t>تَدِ</w:t>
      </w:r>
      <w:r w:rsidR="007F1421">
        <w:rPr>
          <w:color w:val="008000"/>
          <w:rtl/>
        </w:rPr>
        <w:t>ی</w:t>
      </w:r>
      <w:r w:rsidRPr="00EE5DAE">
        <w:rPr>
          <w:color w:val="008000"/>
          <w:rtl/>
        </w:rPr>
        <w:t>نَ بِمَا لَا تَعْلَمُ»</w:t>
      </w:r>
      <w:r>
        <w:rPr>
          <w:rFonts w:hint="cs"/>
          <w:rtl/>
        </w:rPr>
        <w:t xml:space="preserve"> فعل نفسانی است نه فعل خارجی.</w:t>
      </w:r>
    </w:p>
    <w:p w14:paraId="78CAB929" w14:textId="3111CF95" w:rsidR="004150CF" w:rsidRDefault="004150CF" w:rsidP="004150CF">
      <w:pPr>
        <w:pStyle w:val="Heading2"/>
        <w:rPr>
          <w:rtl/>
        </w:rPr>
      </w:pPr>
      <w:bookmarkStart w:id="8" w:name="_Toc99291688"/>
      <w:bookmarkStart w:id="9" w:name="_Toc99291721"/>
      <w:r>
        <w:rPr>
          <w:rFonts w:hint="cs"/>
          <w:rtl/>
        </w:rPr>
        <w:t>بررسی بیان شهید صدر در وجوه بطلان عبادت در فرض تحقق تشریع</w:t>
      </w:r>
      <w:bookmarkEnd w:id="8"/>
      <w:bookmarkEnd w:id="9"/>
    </w:p>
    <w:p w14:paraId="05105FAE" w14:textId="58B026BB" w:rsidR="00EE5DAE" w:rsidRDefault="00EE5DAE" w:rsidP="00F47CDA">
      <w:pPr>
        <w:rPr>
          <w:rtl/>
          <w:lang w:bidi="ar-SA"/>
        </w:rPr>
      </w:pPr>
      <w:r>
        <w:rPr>
          <w:rFonts w:hint="cs"/>
          <w:rtl/>
        </w:rPr>
        <w:t>شهید صدر فرموده است: حرام تشریعی اگر عبادت باشد بدون شک فاسد خواهد بود. زیرا اگر مکلف بداند که به عنوان مثال روزه در سفر امر ندارد و به قصد امر بیاورد حتی بنابر عدم حرمت تشریع</w:t>
      </w:r>
      <w:r w:rsidR="007B05F9">
        <w:rPr>
          <w:rFonts w:hint="cs"/>
          <w:rtl/>
        </w:rPr>
        <w:t xml:space="preserve"> به مولی تقرب نجسته است</w:t>
      </w:r>
      <w:r>
        <w:rPr>
          <w:rFonts w:hint="cs"/>
          <w:rtl/>
        </w:rPr>
        <w:t>.</w:t>
      </w:r>
      <w:r w:rsidR="00F47CDA">
        <w:rPr>
          <w:rFonts w:hint="cs"/>
          <w:rtl/>
        </w:rPr>
        <w:t xml:space="preserve"> فرض دیگر این است که وجود امر نزد مکلف مشکوک باشد و داعی او بر صوم در سفر رجاء و احتیاط باشد اما به </w:t>
      </w:r>
      <w:r w:rsidR="00EA424C">
        <w:rPr>
          <w:rFonts w:hint="cs"/>
          <w:rtl/>
        </w:rPr>
        <w:t xml:space="preserve">جهت </w:t>
      </w:r>
      <w:r w:rsidR="00F47CDA">
        <w:rPr>
          <w:rFonts w:hint="cs"/>
          <w:rtl/>
        </w:rPr>
        <w:t xml:space="preserve">شک در مشروعیت همراه با انجام صوم بنای قطعی بر امر داشتن آن می گذارد. </w:t>
      </w:r>
      <w:r w:rsidR="00EA424C">
        <w:rPr>
          <w:rFonts w:hint="cs"/>
          <w:rtl/>
        </w:rPr>
        <w:t>در این فرض اگرچه تقرب به دلیل احتمال امر، معقول است اما به دلیل تشریع باطل خواهد بود</w:t>
      </w:r>
      <w:r w:rsidR="00337A12">
        <w:rPr>
          <w:rFonts w:hint="cs"/>
          <w:rtl/>
        </w:rPr>
        <w:t>؛</w:t>
      </w:r>
      <w:r w:rsidR="00EA424C">
        <w:rPr>
          <w:rFonts w:hint="cs"/>
          <w:rtl/>
        </w:rPr>
        <w:t xml:space="preserve"> </w:t>
      </w:r>
      <w:r w:rsidR="00337A12">
        <w:rPr>
          <w:rFonts w:hint="cs"/>
          <w:rtl/>
        </w:rPr>
        <w:t xml:space="preserve">زیرا </w:t>
      </w:r>
      <w:r w:rsidR="00EA424C">
        <w:rPr>
          <w:rFonts w:hint="cs"/>
          <w:rtl/>
        </w:rPr>
        <w:t>حرمت تشریع به معنای حرمت فعلی است که مکلف همراه با قصد تشریع انجام می دهد.</w:t>
      </w:r>
      <w:r w:rsidR="00F21FA8">
        <w:rPr>
          <w:rStyle w:val="FootnoteReference"/>
          <w:rtl/>
        </w:rPr>
        <w:footnoteReference w:id="8"/>
      </w:r>
    </w:p>
    <w:p w14:paraId="3417070F" w14:textId="4B522696" w:rsidR="00EE5DAE" w:rsidRDefault="00337A12" w:rsidP="00132EA2">
      <w:pPr>
        <w:rPr>
          <w:rtl/>
        </w:rPr>
      </w:pPr>
      <w:r>
        <w:rPr>
          <w:rFonts w:hint="cs"/>
          <w:rtl/>
        </w:rPr>
        <w:lastRenderedPageBreak/>
        <w:t>اشکال ما به فرمایش ایشان این است که در هیچ آیه یا روایتی «التشریع حرام» مطرح نشده است. آنچه حرام شمرده شده است «بدعت» و «افتراء علی الله» است و این گونه نیست که این عناوین دائما بر فعل همراه با تشریع منطبق شوند.</w:t>
      </w:r>
      <w:r w:rsidR="00DD58B6">
        <w:rPr>
          <w:rFonts w:hint="cs"/>
          <w:rtl/>
        </w:rPr>
        <w:t xml:space="preserve"> بسیاری از افراد </w:t>
      </w:r>
      <w:r w:rsidR="00E2086D">
        <w:rPr>
          <w:rFonts w:hint="cs"/>
          <w:rtl/>
        </w:rPr>
        <w:t xml:space="preserve">ممکن است </w:t>
      </w:r>
      <w:r w:rsidR="00DD58B6">
        <w:rPr>
          <w:rFonts w:hint="cs"/>
          <w:rtl/>
        </w:rPr>
        <w:t>عملی را از باب احتیاط انجام دهند</w:t>
      </w:r>
      <w:r w:rsidR="00AF3AD0">
        <w:rPr>
          <w:rFonts w:hint="cs"/>
          <w:rtl/>
        </w:rPr>
        <w:t>. حال اگر شخصی در کنار عمل قصد امر نیز داشت از نظر عرفی فعل او بدعت نخواهد بود. این فعل را دیگران هم به قصد احتیاط انجام می دهند و این شخص تنها با قصد امر کردن زیاده روی کرد</w:t>
      </w:r>
      <w:r w:rsidR="00E2086D">
        <w:rPr>
          <w:rFonts w:hint="cs"/>
          <w:rtl/>
        </w:rPr>
        <w:t>ه است</w:t>
      </w:r>
      <w:r w:rsidR="00AF3AD0">
        <w:rPr>
          <w:rFonts w:hint="cs"/>
          <w:rtl/>
        </w:rPr>
        <w:t xml:space="preserve">. </w:t>
      </w:r>
      <w:r w:rsidR="00E2086D">
        <w:rPr>
          <w:rFonts w:hint="cs"/>
          <w:rtl/>
        </w:rPr>
        <w:t>فعل او مصداق بدعت و ابداع در دین نیست</w:t>
      </w:r>
      <w:r w:rsidR="00B237C6">
        <w:rPr>
          <w:rFonts w:hint="cs"/>
          <w:rtl/>
        </w:rPr>
        <w:t>.</w:t>
      </w:r>
      <w:r w:rsidR="00E2086D">
        <w:rPr>
          <w:rFonts w:hint="cs"/>
          <w:rtl/>
        </w:rPr>
        <w:t xml:space="preserve"> به خصوص در فرضی که</w:t>
      </w:r>
      <w:r w:rsidR="00B237C6">
        <w:rPr>
          <w:rFonts w:hint="cs"/>
          <w:rtl/>
        </w:rPr>
        <w:t xml:space="preserve"> </w:t>
      </w:r>
      <w:r w:rsidR="00132EA2">
        <w:rPr>
          <w:rFonts w:hint="cs"/>
          <w:rtl/>
        </w:rPr>
        <w:t xml:space="preserve">فعل او </w:t>
      </w:r>
      <w:r w:rsidR="00B237C6">
        <w:rPr>
          <w:rFonts w:hint="cs"/>
          <w:rtl/>
        </w:rPr>
        <w:t>مطابق با واقع بوده و</w:t>
      </w:r>
      <w:r w:rsidR="00E2086D">
        <w:rPr>
          <w:rFonts w:hint="cs"/>
          <w:rtl/>
        </w:rPr>
        <w:t xml:space="preserve"> فی علم الله</w:t>
      </w:r>
      <w:r w:rsidR="00B237C6">
        <w:rPr>
          <w:rFonts w:hint="cs"/>
          <w:rtl/>
        </w:rPr>
        <w:t xml:space="preserve"> نیز</w:t>
      </w:r>
      <w:r w:rsidR="00E2086D">
        <w:rPr>
          <w:rFonts w:hint="cs"/>
          <w:rtl/>
        </w:rPr>
        <w:t xml:space="preserve"> امر به آن وجود داشته</w:t>
      </w:r>
      <w:r w:rsidR="00B237C6">
        <w:rPr>
          <w:rFonts w:hint="cs"/>
          <w:rtl/>
        </w:rPr>
        <w:t xml:space="preserve"> باشد گرچه </w:t>
      </w:r>
      <w:r w:rsidR="00E2086D">
        <w:rPr>
          <w:rFonts w:hint="cs"/>
          <w:rtl/>
        </w:rPr>
        <w:t xml:space="preserve">این شخص به جهت شک داشتن تشریع کرده </w:t>
      </w:r>
      <w:r w:rsidR="00B237C6">
        <w:rPr>
          <w:rFonts w:hint="cs"/>
          <w:rtl/>
        </w:rPr>
        <w:t>است</w:t>
      </w:r>
      <w:r w:rsidR="00E2086D">
        <w:rPr>
          <w:rFonts w:hint="cs"/>
          <w:rtl/>
        </w:rPr>
        <w:t>.</w:t>
      </w:r>
      <w:r w:rsidR="00B237C6">
        <w:rPr>
          <w:rFonts w:hint="cs"/>
          <w:rtl/>
        </w:rPr>
        <w:t xml:space="preserve"> البته </w:t>
      </w:r>
      <w:bookmarkStart w:id="10" w:name="_Hlk99227093"/>
      <w:r w:rsidR="00B237C6" w:rsidRPr="00EE5DAE">
        <w:rPr>
          <w:rFonts w:hint="eastAsia"/>
          <w:color w:val="008000"/>
          <w:rtl/>
        </w:rPr>
        <w:t>«</w:t>
      </w:r>
      <w:r w:rsidR="00B237C6" w:rsidRPr="00EE5DAE">
        <w:rPr>
          <w:color w:val="008000"/>
          <w:rtl/>
        </w:rPr>
        <w:t>تَدِ</w:t>
      </w:r>
      <w:r w:rsidR="007F1421">
        <w:rPr>
          <w:color w:val="008000"/>
          <w:rtl/>
        </w:rPr>
        <w:t>ی</w:t>
      </w:r>
      <w:r w:rsidR="00B237C6" w:rsidRPr="00EE5DAE">
        <w:rPr>
          <w:color w:val="008000"/>
          <w:rtl/>
        </w:rPr>
        <w:t>نَ بِمَا لَا تَعْلَمُ»</w:t>
      </w:r>
      <w:bookmarkEnd w:id="10"/>
      <w:r w:rsidR="00B237C6">
        <w:rPr>
          <w:rFonts w:hint="cs"/>
          <w:rtl/>
        </w:rPr>
        <w:t xml:space="preserve"> صادق است اما</w:t>
      </w:r>
      <w:r w:rsidR="00132EA2">
        <w:rPr>
          <w:rFonts w:hint="cs"/>
          <w:rtl/>
        </w:rPr>
        <w:t xml:space="preserve"> </w:t>
      </w:r>
      <w:r w:rsidR="00132EA2" w:rsidRPr="00EE5DAE">
        <w:rPr>
          <w:rFonts w:hint="eastAsia"/>
          <w:color w:val="008000"/>
          <w:rtl/>
        </w:rPr>
        <w:t>«</w:t>
      </w:r>
      <w:r w:rsidR="00132EA2" w:rsidRPr="00EE5DAE">
        <w:rPr>
          <w:color w:val="008000"/>
          <w:rtl/>
        </w:rPr>
        <w:t>تَدِ</w:t>
      </w:r>
      <w:r w:rsidR="007F1421">
        <w:rPr>
          <w:color w:val="008000"/>
          <w:rtl/>
        </w:rPr>
        <w:t>ی</w:t>
      </w:r>
      <w:r w:rsidR="00132EA2" w:rsidRPr="00EE5DAE">
        <w:rPr>
          <w:color w:val="008000"/>
          <w:rtl/>
        </w:rPr>
        <w:t>نَ بِمَا لَا تَعْلَمُ»</w:t>
      </w:r>
      <w:r w:rsidR="00B237C6">
        <w:rPr>
          <w:rFonts w:hint="cs"/>
          <w:rtl/>
        </w:rPr>
        <w:t xml:space="preserve"> </w:t>
      </w:r>
      <w:r w:rsidR="00132EA2">
        <w:rPr>
          <w:rFonts w:hint="cs"/>
          <w:rtl/>
        </w:rPr>
        <w:t>نیز عنوان فعل خارجی نیست</w:t>
      </w:r>
      <w:r w:rsidR="00B237C6">
        <w:rPr>
          <w:rFonts w:hint="cs"/>
          <w:rtl/>
        </w:rPr>
        <w:t>.</w:t>
      </w:r>
      <w:r w:rsidR="00132EA2">
        <w:rPr>
          <w:rFonts w:hint="cs"/>
          <w:rtl/>
        </w:rPr>
        <w:t xml:space="preserve"> پس دلیلی که بیان کند «التشریع محرّم» وجود ندارد. تنها بدعت و افتراء علی الله حرام هستند و آن در جایی است که در واقع امر نداشته باشد و شخص ابداع در دین کند. به عنوان مثال اگر شخصی در نماز غفیله که همه آن را انجام می دهند، قصد استحباب کند با اینکه شک در استحباب آن دارد، عرفی نیست که گفته شود نماز غفیله او با نماز غفیله سایرین تفاوت دارد و نماز او مصداق بدعت است. اگر فی علم الله امر داشته باشد قطعا بدعت نخواهد بود. اگر امر نیز نداشته باشد عرفا این شخص فعلی زائد بر دیگران که احتیاط می کنند به جا نیاورده است. ظاهر بدعت این است که «سنّ سنة سیئة» باشد که در این مورد صدق نمی کند.</w:t>
      </w:r>
      <w:r w:rsidR="007C254E">
        <w:rPr>
          <w:rFonts w:hint="cs"/>
          <w:rtl/>
        </w:rPr>
        <w:t xml:space="preserve"> به عنوان مثال همه افراد نماز غدیر را می خوانند، یا نماز لیلة الدفن را می خوانند با اینکه </w:t>
      </w:r>
      <w:r w:rsidR="00927EA8">
        <w:rPr>
          <w:rFonts w:hint="cs"/>
          <w:rtl/>
        </w:rPr>
        <w:t xml:space="preserve">گفته می شود </w:t>
      </w:r>
      <w:r w:rsidR="007C254E">
        <w:rPr>
          <w:rFonts w:hint="cs"/>
          <w:rtl/>
        </w:rPr>
        <w:t xml:space="preserve">امر آن ثابت نبوده و باید رجاء خوانده شود. </w:t>
      </w:r>
      <w:r w:rsidR="00927EA8">
        <w:rPr>
          <w:rFonts w:hint="cs"/>
          <w:rtl/>
        </w:rPr>
        <w:t xml:space="preserve">حال اگر شخصی قصد امر جزمی کند در صورتی که فی علم الله امر داشته باشد قطعا بدعت و افتراء علی الله نیست. در صورتی که امر نداشته باشد نیز این شخص کار جدیدی انجام نداده است و تنها همان نماز وحشتی که سایرین انجام می دهند را انجام داده است. در این صورت </w:t>
      </w:r>
      <w:r w:rsidR="00556656">
        <w:rPr>
          <w:rFonts w:hint="cs"/>
          <w:rtl/>
        </w:rPr>
        <w:t xml:space="preserve">به او </w:t>
      </w:r>
      <w:r w:rsidR="00D20DAC">
        <w:rPr>
          <w:rFonts w:hint="cs"/>
          <w:rtl/>
        </w:rPr>
        <w:t xml:space="preserve">مبدع در دین گفته نمی شود. اگرچه به مقتضای </w:t>
      </w:r>
      <w:r w:rsidR="00D20DAC" w:rsidRPr="00EE5DAE">
        <w:rPr>
          <w:rFonts w:hint="eastAsia"/>
          <w:color w:val="008000"/>
          <w:rtl/>
        </w:rPr>
        <w:t>«</w:t>
      </w:r>
      <w:r w:rsidR="00D20DAC" w:rsidRPr="00EE5DAE">
        <w:rPr>
          <w:color w:val="008000"/>
          <w:rtl/>
        </w:rPr>
        <w:t>تَدِ</w:t>
      </w:r>
      <w:r w:rsidR="007F1421">
        <w:rPr>
          <w:color w:val="008000"/>
          <w:rtl/>
        </w:rPr>
        <w:t>ی</w:t>
      </w:r>
      <w:r w:rsidR="00D20DAC" w:rsidRPr="00EE5DAE">
        <w:rPr>
          <w:color w:val="008000"/>
          <w:rtl/>
        </w:rPr>
        <w:t>نَ بِمَا لَا تَعْلَمُ»</w:t>
      </w:r>
      <w:r w:rsidR="00D20DAC">
        <w:rPr>
          <w:rFonts w:hint="cs"/>
          <w:rtl/>
        </w:rPr>
        <w:t xml:space="preserve"> اسناد و التزام قلبی او به امر داشتن نماز وحشت حرام است اما دلیلی بر حرمت نماز وحشت خارجی وجود ندارد. بنابراین این فرمایش شهید صدر که فرمود این فعل بعد از معنون شدن به عنوان تشریع حرام تکلیفی شده و نهی تکلیفی مقتضی فساد است، درست نیست؛ زیرا این فعل معنون به عنوان تشریع محرم نخواهد شد.</w:t>
      </w:r>
    </w:p>
    <w:p w14:paraId="184176BF" w14:textId="13554480" w:rsidR="004150CF" w:rsidRDefault="00EE2261" w:rsidP="004150CF">
      <w:pPr>
        <w:rPr>
          <w:rtl/>
        </w:rPr>
      </w:pPr>
      <w:r>
        <w:rPr>
          <w:rFonts w:hint="cs"/>
          <w:rtl/>
        </w:rPr>
        <w:t>بر فرض اینکه فعل خارجی معنون به عنوان تشریع محرم شود این نهی از عبادت به عنوان عبادت نیست تا مقتضی فساد باشد بلکه نهی از عنوان آخری است که بر عبادت منطبق شده است. به عنوان مثال نهی از غصب متحد و منطبق بر نماز در مکان مغصوب و وضوء با آب مغصوب می شود.</w:t>
      </w:r>
      <w:r w:rsidR="00EC77A1">
        <w:rPr>
          <w:rFonts w:hint="cs"/>
          <w:rtl/>
        </w:rPr>
        <w:t xml:space="preserve"> اینکه این نهی مقتضی فساد باشد اول الکلام است.</w:t>
      </w:r>
      <w:r w:rsidR="00C94664">
        <w:rPr>
          <w:rFonts w:hint="cs"/>
          <w:rtl/>
        </w:rPr>
        <w:t xml:space="preserve"> </w:t>
      </w:r>
      <w:r w:rsidR="000C4B95">
        <w:rPr>
          <w:rFonts w:hint="cs"/>
          <w:rtl/>
        </w:rPr>
        <w:t xml:space="preserve">خود شهید صدر در بحوث </w:t>
      </w:r>
      <w:r w:rsidR="000C4B95">
        <w:rPr>
          <w:rFonts w:hint="cs"/>
          <w:rtl/>
        </w:rPr>
        <w:lastRenderedPageBreak/>
        <w:t xml:space="preserve">فرموده است: در فرض علم و عمد و فرض جهل تقصیری به جهت وجود ارتکاز بر اینکه «المبعّد لا یصلح للمقربیة» </w:t>
      </w:r>
      <w:r w:rsidR="00DE25D3">
        <w:rPr>
          <w:rFonts w:hint="cs"/>
          <w:rtl/>
        </w:rPr>
        <w:t xml:space="preserve">ملتزم به بطلان می شویم. برخی از بزرگان مانند مرحوم امام و آقای سیستانی همین مطلب را نیز نپذیرفته اند. پس بر فرض اینکه فعل خارجی معنون به عنوان تشریع محرم شود مانند غصب خواهد </w:t>
      </w:r>
      <w:r w:rsidR="00AD15DE">
        <w:rPr>
          <w:rFonts w:hint="cs"/>
          <w:rtl/>
        </w:rPr>
        <w:t xml:space="preserve">بود </w:t>
      </w:r>
      <w:r w:rsidR="00DE25D3">
        <w:rPr>
          <w:rFonts w:hint="cs"/>
          <w:rtl/>
        </w:rPr>
        <w:t xml:space="preserve">که فعل خارجی معنون به عنوان غصب محرم </w:t>
      </w:r>
      <w:r w:rsidR="007C2A0E">
        <w:rPr>
          <w:rFonts w:hint="cs"/>
          <w:rtl/>
        </w:rPr>
        <w:t>است</w:t>
      </w:r>
      <w:r w:rsidR="00AD15DE">
        <w:rPr>
          <w:rFonts w:hint="cs"/>
          <w:rtl/>
        </w:rPr>
        <w:t xml:space="preserve"> و اول الکلام است که این مقتضی فساد عبادت باشد. ما می پذیریم که در مورد عالم عامد و جاهل مقصر مقتضی فساد است به دلیل اینکه مبعد صلاحیت مقربیت ندارد. اما این مطلب مورد پذیرش همه نیست.</w:t>
      </w:r>
    </w:p>
    <w:p w14:paraId="6E183D15" w14:textId="045E38C9" w:rsidR="003E0DA4" w:rsidRDefault="003E0DA4" w:rsidP="00132EA2">
      <w:pPr>
        <w:rPr>
          <w:rtl/>
        </w:rPr>
      </w:pPr>
      <w:r>
        <w:rPr>
          <w:rFonts w:hint="cs"/>
          <w:rtl/>
        </w:rPr>
        <w:t>شهید صدر وجه دیگری نیز بیان کرده است: حتی بنابر اینکه تشریع حرام نباشد عمل مصداق تشریع، باطل است. بر فرض</w:t>
      </w:r>
      <w:r w:rsidR="003D3065">
        <w:rPr>
          <w:rFonts w:hint="cs"/>
          <w:rtl/>
        </w:rPr>
        <w:t xml:space="preserve"> اینکه</w:t>
      </w:r>
      <w:r>
        <w:rPr>
          <w:rFonts w:hint="cs"/>
          <w:rtl/>
        </w:rPr>
        <w:t xml:space="preserve"> تشریع عنوان فعل نفس باشد </w:t>
      </w:r>
      <w:r w:rsidR="003D3065">
        <w:rPr>
          <w:rFonts w:hint="cs"/>
          <w:rtl/>
        </w:rPr>
        <w:t xml:space="preserve">اما </w:t>
      </w:r>
      <w:r>
        <w:rPr>
          <w:rFonts w:hint="cs"/>
          <w:rtl/>
        </w:rPr>
        <w:t xml:space="preserve">عملی که صادر از یک قصد نفسانی حرام باشد مقربیت ندارد. </w:t>
      </w:r>
      <w:r w:rsidR="004C7751">
        <w:rPr>
          <w:rFonts w:hint="cs"/>
          <w:rtl/>
        </w:rPr>
        <w:t>به عنوان مثال شخصی که برای آزرده خاطر کردن مؤمنی نماز می خواند عمل او مقرب الی الله نخواهد بود چرا که ناشی از یک داعی محرّم یعنی داعی ایذاء مؤمن است.</w:t>
      </w:r>
      <w:r w:rsidR="00D56C61">
        <w:rPr>
          <w:rFonts w:hint="cs"/>
          <w:rtl/>
        </w:rPr>
        <w:t xml:space="preserve"> در مقام نیز داعی تشریع وجود دارد</w:t>
      </w:r>
      <w:r w:rsidR="00D87416">
        <w:rPr>
          <w:rFonts w:hint="cs"/>
          <w:rtl/>
        </w:rPr>
        <w:t>.</w:t>
      </w:r>
      <w:r w:rsidR="00D56C61">
        <w:rPr>
          <w:rFonts w:hint="cs"/>
          <w:rtl/>
        </w:rPr>
        <w:t xml:space="preserve"> </w:t>
      </w:r>
      <w:r w:rsidR="00D87416">
        <w:rPr>
          <w:rFonts w:hint="cs"/>
          <w:rtl/>
        </w:rPr>
        <w:t xml:space="preserve">این نماز ولو تشریع منطبق بر آن نباشد نمی تواند مقرب الی الله باشد. </w:t>
      </w:r>
      <w:r w:rsidR="003F25F5">
        <w:rPr>
          <w:rFonts w:hint="cs"/>
          <w:rtl/>
        </w:rPr>
        <w:t>اساسا نیازی به حرمت تشریع نیز وجود نداشته و صرف قبیح بودن آن کافی است؛ زیرا فعلی که ناشی از یک قصد و داعی قبیح عقلی باشد</w:t>
      </w:r>
      <w:r w:rsidR="00144B9B">
        <w:rPr>
          <w:rFonts w:hint="cs"/>
          <w:rtl/>
        </w:rPr>
        <w:t xml:space="preserve"> نمی تواند مقرب به مولی باشد.</w:t>
      </w:r>
      <w:r w:rsidR="003F25F5">
        <w:rPr>
          <w:rFonts w:hint="cs"/>
          <w:rtl/>
        </w:rPr>
        <w:t xml:space="preserve"> </w:t>
      </w:r>
      <w:r w:rsidR="008F7127">
        <w:rPr>
          <w:rFonts w:hint="cs"/>
          <w:rtl/>
        </w:rPr>
        <w:t>تشریع</w:t>
      </w:r>
      <w:r w:rsidR="00144B9B">
        <w:rPr>
          <w:rFonts w:hint="cs"/>
          <w:rtl/>
        </w:rPr>
        <w:t xml:space="preserve"> نیز</w:t>
      </w:r>
      <w:r w:rsidR="008F7127">
        <w:rPr>
          <w:rFonts w:hint="cs"/>
          <w:rtl/>
        </w:rPr>
        <w:t xml:space="preserve"> از نظر عقل هتک حرمت مولی است ولو شارع آن را حرام نکند</w:t>
      </w:r>
      <w:r w:rsidR="00144B9B">
        <w:rPr>
          <w:rFonts w:hint="cs"/>
          <w:rtl/>
        </w:rPr>
        <w:t>.</w:t>
      </w:r>
      <w:r w:rsidR="00F21FA8">
        <w:rPr>
          <w:rStyle w:val="FootnoteReference"/>
          <w:rtl/>
        </w:rPr>
        <w:footnoteReference w:id="9"/>
      </w:r>
    </w:p>
    <w:p w14:paraId="593CF718" w14:textId="01E02381" w:rsidR="006C18F3" w:rsidRDefault="00144B9B" w:rsidP="00F30F1F">
      <w:pPr>
        <w:rPr>
          <w:rtl/>
        </w:rPr>
      </w:pPr>
      <w:r>
        <w:rPr>
          <w:rFonts w:hint="cs"/>
          <w:rtl/>
        </w:rPr>
        <w:t xml:space="preserve">این مطلب نیز صحیح نیست. این گونه نیست که قصد تشریع داعی صدور فعل باشد. به عنوان مثال نماز وحشتی که شخص قصد خواندن آن را دارد تنها مقرون به قصد امر جزمی است. </w:t>
      </w:r>
      <w:r w:rsidR="00B75FC7">
        <w:rPr>
          <w:rFonts w:hint="cs"/>
          <w:rtl/>
        </w:rPr>
        <w:t xml:space="preserve">تشریع که قصد امر جزمی است به این معنا نیست که داعی شخص بر نماز وحشت خواندن اسناد تحکمی استحباب نماز وحشت به خداست و چنین داعی وجود ندارد. البته اگر چنین داعی برای نماز وحشت وجود داشته باشد ما می پذیریم که این عمل مقرب نیست. اما مقرون بودن تشریع به عمل به این معنا نیست که داعی بر عمل همان تشریع است. </w:t>
      </w:r>
      <w:r w:rsidR="004E67CB">
        <w:rPr>
          <w:rFonts w:hint="cs"/>
          <w:rtl/>
        </w:rPr>
        <w:t xml:space="preserve">اساسا گاهی تشریع در کیفیت امر بوده و داعی امر مولی است. به عنوان مثال در فرضی که اصل استحباب قنوت در نماز مسلم بوده و مکلف نیز از امر خدا منبعث می شود، در کیفیت این امر الهی تشریع کرده و آن را وجوبی می شمارد. </w:t>
      </w:r>
      <w:r w:rsidR="002417CF">
        <w:rPr>
          <w:rFonts w:hint="cs"/>
          <w:rtl/>
        </w:rPr>
        <w:t xml:space="preserve">در این فرض او از امر خدا منبعث شده است نه از از وجوب قنوتی که خود تشریع کرده است. تنها در کیفیت امر الهی تشریع کرده </w:t>
      </w:r>
      <w:r w:rsidR="00CE5DFD">
        <w:rPr>
          <w:rFonts w:hint="cs"/>
          <w:rtl/>
        </w:rPr>
        <w:t xml:space="preserve">و از باب تشریع معتقد است که این امر وجوبی است. </w:t>
      </w:r>
      <w:r w:rsidR="00F30F1F">
        <w:rPr>
          <w:rFonts w:hint="cs"/>
          <w:rtl/>
        </w:rPr>
        <w:t xml:space="preserve">واضح است که در این </w:t>
      </w:r>
      <w:r w:rsidR="00F30F1F">
        <w:rPr>
          <w:rFonts w:hint="cs"/>
          <w:rtl/>
        </w:rPr>
        <w:lastRenderedPageBreak/>
        <w:t xml:space="preserve">فرض امر مولی محرک این شخص بوده است. لذا این فرمایش بحوث که آنچه حرام تشریعی باشد مسلما فاسد است، درست نیست مگر در صورتی که مفاد روایات باشد نظیر </w:t>
      </w:r>
      <w:r w:rsidR="00F30F1F" w:rsidRPr="009A337F">
        <w:rPr>
          <w:rFonts w:hint="eastAsia"/>
          <w:color w:val="008000"/>
          <w:rtl/>
        </w:rPr>
        <w:t>«</w:t>
      </w:r>
      <w:r w:rsidR="00F30F1F" w:rsidRPr="009A337F">
        <w:rPr>
          <w:color w:val="008000"/>
          <w:rtl/>
        </w:rPr>
        <w:t>الصَّوْمُ فِ</w:t>
      </w:r>
      <w:r w:rsidR="007F1421">
        <w:rPr>
          <w:color w:val="008000"/>
          <w:rtl/>
        </w:rPr>
        <w:t>ی</w:t>
      </w:r>
      <w:r w:rsidR="00F30F1F" w:rsidRPr="009A337F">
        <w:rPr>
          <w:color w:val="008000"/>
          <w:rtl/>
        </w:rPr>
        <w:t xml:space="preserve"> السَّفَرِ مَعْصِ</w:t>
      </w:r>
      <w:r w:rsidR="007F1421">
        <w:rPr>
          <w:color w:val="008000"/>
          <w:rtl/>
        </w:rPr>
        <w:t>ی</w:t>
      </w:r>
      <w:r w:rsidR="00F30F1F" w:rsidRPr="009A337F">
        <w:rPr>
          <w:color w:val="008000"/>
          <w:rtl/>
        </w:rPr>
        <w:t>ة»</w:t>
      </w:r>
      <w:r w:rsidR="00F30F1F">
        <w:rPr>
          <w:rFonts w:hint="cs"/>
          <w:rtl/>
        </w:rPr>
        <w:t xml:space="preserve">. </w:t>
      </w:r>
    </w:p>
    <w:p w14:paraId="32FB36DE" w14:textId="2B4B1425" w:rsidR="00F30F1F" w:rsidRDefault="006C18F3" w:rsidP="00F30F1F">
      <w:pPr>
        <w:rPr>
          <w:rtl/>
        </w:rPr>
      </w:pPr>
      <w:r>
        <w:rPr>
          <w:rFonts w:hint="cs"/>
          <w:rtl/>
        </w:rPr>
        <w:t>پس ظاهر خطاب نهی از عبادت یا معامله ارشاد به فساد است که از آن به حرام تشریعی تعبیر می شود.</w:t>
      </w:r>
    </w:p>
    <w:p w14:paraId="0CF79925" w14:textId="53E7ADF6" w:rsidR="004150CF" w:rsidRDefault="004150CF" w:rsidP="004150CF">
      <w:pPr>
        <w:pStyle w:val="Heading2"/>
        <w:rPr>
          <w:rtl/>
        </w:rPr>
      </w:pPr>
      <w:bookmarkStart w:id="11" w:name="_Toc99291689"/>
      <w:bookmarkStart w:id="12" w:name="_Toc99291722"/>
      <w:r>
        <w:rPr>
          <w:rFonts w:hint="cs"/>
          <w:rtl/>
        </w:rPr>
        <w:t>موارد دلالت نهی از عبادت بر حرمت ذاتی آن به سبب وجود قرینه</w:t>
      </w:r>
      <w:bookmarkEnd w:id="11"/>
      <w:bookmarkEnd w:id="12"/>
    </w:p>
    <w:p w14:paraId="7A5098B8" w14:textId="49318CE9" w:rsidR="006C18F3" w:rsidRDefault="006C18F3" w:rsidP="00F30F1F">
      <w:pPr>
        <w:rPr>
          <w:rtl/>
        </w:rPr>
      </w:pPr>
      <w:r>
        <w:rPr>
          <w:rFonts w:hint="cs"/>
          <w:rtl/>
        </w:rPr>
        <w:t>ما در دو مورد بیان کردیم که قرینه بر حرمت ذاتی وجود دارد:</w:t>
      </w:r>
    </w:p>
    <w:p w14:paraId="3F8AAC7A" w14:textId="423F7622" w:rsidR="006C18F3" w:rsidRDefault="006C18F3" w:rsidP="00F30F1F">
      <w:pPr>
        <w:rPr>
          <w:rtl/>
        </w:rPr>
      </w:pPr>
      <w:r>
        <w:rPr>
          <w:rFonts w:hint="cs"/>
          <w:rtl/>
        </w:rPr>
        <w:t>1. نماز حائض: البته آقای زنجانی فرموده است اختصاص به نماز نداشته و روزه حائض نیز حرام ذاتی است.</w:t>
      </w:r>
    </w:p>
    <w:p w14:paraId="4571E5B2" w14:textId="00B6212D" w:rsidR="00EB0ACA" w:rsidRDefault="006C18F3" w:rsidP="00D91571">
      <w:pPr>
        <w:rPr>
          <w:rtl/>
        </w:rPr>
      </w:pPr>
      <w:r>
        <w:rPr>
          <w:rFonts w:hint="cs"/>
          <w:rtl/>
        </w:rPr>
        <w:t xml:space="preserve">دلیل آن صحیحه خلف </w:t>
      </w:r>
      <w:r w:rsidR="00042032">
        <w:rPr>
          <w:rFonts w:hint="cs"/>
          <w:rtl/>
        </w:rPr>
        <w:t xml:space="preserve">بن حماد است که در کافی جلد </w:t>
      </w:r>
      <w:r w:rsidR="002E138D">
        <w:rPr>
          <w:rFonts w:hint="cs"/>
          <w:rtl/>
        </w:rPr>
        <w:t>3 صفحه 92 نقل شده است</w:t>
      </w:r>
      <w:r w:rsidR="00D91571">
        <w:rPr>
          <w:rFonts w:hint="cs"/>
          <w:rtl/>
        </w:rPr>
        <w:t xml:space="preserve"> و </w:t>
      </w:r>
      <w:r w:rsidR="00EB0ACA">
        <w:rPr>
          <w:rFonts w:hint="cs"/>
          <w:rtl/>
        </w:rPr>
        <w:t xml:space="preserve">می گوید: بعض اصحاب ما با دختری ازدواج کرد و </w:t>
      </w:r>
      <w:r w:rsidR="00D91571">
        <w:rPr>
          <w:rFonts w:hint="cs"/>
          <w:rtl/>
        </w:rPr>
        <w:t xml:space="preserve">دختر </w:t>
      </w:r>
      <w:r w:rsidR="00EB0ACA">
        <w:rPr>
          <w:rFonts w:hint="cs"/>
          <w:rtl/>
        </w:rPr>
        <w:t xml:space="preserve">در شب زفاف خون ریزی کرد. قابله ها شک کردند در اینکه خون حیض یا خون بکارت است. </w:t>
      </w:r>
      <w:r w:rsidR="00EB0ACA" w:rsidRPr="00EB0ACA">
        <w:rPr>
          <w:rFonts w:hint="eastAsia"/>
          <w:color w:val="008000"/>
          <w:rtl/>
        </w:rPr>
        <w:t>«</w:t>
      </w:r>
      <w:r w:rsidR="00EB0ACA" w:rsidRPr="00EB0ACA">
        <w:rPr>
          <w:color w:val="008000"/>
          <w:rtl/>
        </w:rPr>
        <w:t>فَسَأَلُوا عَنْ ذَلِ</w:t>
      </w:r>
      <w:r w:rsidR="007F1421">
        <w:rPr>
          <w:color w:val="008000"/>
          <w:rtl/>
        </w:rPr>
        <w:t>ک</w:t>
      </w:r>
      <w:r w:rsidR="00EB0ACA" w:rsidRPr="00EB0ACA">
        <w:rPr>
          <w:color w:val="008000"/>
          <w:rtl/>
        </w:rPr>
        <w:t xml:space="preserve"> فُقَهَاءَهُمْ- </w:t>
      </w:r>
      <w:r w:rsidR="007F1421">
        <w:rPr>
          <w:color w:val="008000"/>
          <w:rtl/>
        </w:rPr>
        <w:t>ک</w:t>
      </w:r>
      <w:r w:rsidR="00EB0ACA" w:rsidRPr="00EB0ACA">
        <w:rPr>
          <w:color w:val="008000"/>
          <w:rtl/>
        </w:rPr>
        <w:t>أَبِ</w:t>
      </w:r>
      <w:r w:rsidR="007F1421">
        <w:rPr>
          <w:color w:val="008000"/>
          <w:rtl/>
        </w:rPr>
        <w:t>ی</w:t>
      </w:r>
      <w:r w:rsidR="00EB0ACA" w:rsidRPr="00EB0ACA">
        <w:rPr>
          <w:color w:val="008000"/>
          <w:rtl/>
        </w:rPr>
        <w:t xml:space="preserve"> حَنِ</w:t>
      </w:r>
      <w:r w:rsidR="007F1421">
        <w:rPr>
          <w:color w:val="008000"/>
          <w:rtl/>
        </w:rPr>
        <w:t>ی</w:t>
      </w:r>
      <w:r w:rsidR="00EB0ACA" w:rsidRPr="00EB0ACA">
        <w:rPr>
          <w:color w:val="008000"/>
          <w:rtl/>
        </w:rPr>
        <w:t>فَةَ وَ غَ</w:t>
      </w:r>
      <w:r w:rsidR="007F1421">
        <w:rPr>
          <w:color w:val="008000"/>
          <w:rtl/>
        </w:rPr>
        <w:t>ی</w:t>
      </w:r>
      <w:r w:rsidR="00EB0ACA" w:rsidRPr="00EB0ACA">
        <w:rPr>
          <w:color w:val="008000"/>
          <w:rtl/>
        </w:rPr>
        <w:t>رِهِ مِنْ فُقَهَائِهِمْ فَقَالُوا هَذَا شَ</w:t>
      </w:r>
      <w:r w:rsidR="007F1421">
        <w:rPr>
          <w:color w:val="008000"/>
          <w:rtl/>
        </w:rPr>
        <w:t>ی</w:t>
      </w:r>
      <w:r w:rsidR="00EB0ACA" w:rsidRPr="00EB0ACA">
        <w:rPr>
          <w:color w:val="008000"/>
          <w:rtl/>
        </w:rPr>
        <w:t>‏ءٌ قَدْ أَشْ</w:t>
      </w:r>
      <w:r w:rsidR="007F1421">
        <w:rPr>
          <w:color w:val="008000"/>
          <w:rtl/>
        </w:rPr>
        <w:t>ک</w:t>
      </w:r>
      <w:r w:rsidR="00EB0ACA" w:rsidRPr="00EB0ACA">
        <w:rPr>
          <w:color w:val="008000"/>
          <w:rtl/>
        </w:rPr>
        <w:t>لَ وَ الصَّلَاةُ فَرِ</w:t>
      </w:r>
      <w:r w:rsidR="007F1421">
        <w:rPr>
          <w:color w:val="008000"/>
          <w:rtl/>
        </w:rPr>
        <w:t>ی</w:t>
      </w:r>
      <w:r w:rsidR="00EB0ACA" w:rsidRPr="00EB0ACA">
        <w:rPr>
          <w:color w:val="008000"/>
          <w:rtl/>
        </w:rPr>
        <w:t>ضَةٌ وَاجِبَةٌ فَلْتَتَوَضَّأْ وَ لْتُصَلِّ وَ لْ</w:t>
      </w:r>
      <w:r w:rsidR="007F1421">
        <w:rPr>
          <w:color w:val="008000"/>
          <w:rtl/>
        </w:rPr>
        <w:t>ی</w:t>
      </w:r>
      <w:r w:rsidR="00EB0ACA" w:rsidRPr="00EB0ACA">
        <w:rPr>
          <w:color w:val="008000"/>
          <w:rtl/>
        </w:rPr>
        <w:t>مْسِ</w:t>
      </w:r>
      <w:r w:rsidR="007F1421">
        <w:rPr>
          <w:color w:val="008000"/>
          <w:rtl/>
        </w:rPr>
        <w:t>ک</w:t>
      </w:r>
      <w:r w:rsidR="00EB0ACA" w:rsidRPr="00EB0ACA">
        <w:rPr>
          <w:color w:val="008000"/>
          <w:rtl/>
        </w:rPr>
        <w:t xml:space="preserve"> عَنْهَا زَوْجُهَا حَتَّ</w:t>
      </w:r>
      <w:r w:rsidR="007F1421">
        <w:rPr>
          <w:color w:val="008000"/>
          <w:rtl/>
        </w:rPr>
        <w:t>ی</w:t>
      </w:r>
      <w:r w:rsidR="00EB0ACA" w:rsidRPr="00EB0ACA">
        <w:rPr>
          <w:color w:val="008000"/>
          <w:rtl/>
        </w:rPr>
        <w:t xml:space="preserve"> تَرَ</w:t>
      </w:r>
      <w:r w:rsidR="007F1421">
        <w:rPr>
          <w:color w:val="008000"/>
          <w:rtl/>
        </w:rPr>
        <w:t>ی</w:t>
      </w:r>
      <w:r w:rsidR="00EB0ACA" w:rsidRPr="00EB0ACA">
        <w:rPr>
          <w:color w:val="008000"/>
          <w:rtl/>
        </w:rPr>
        <w:t xml:space="preserve"> الْبَ</w:t>
      </w:r>
      <w:r w:rsidR="007F1421">
        <w:rPr>
          <w:color w:val="008000"/>
          <w:rtl/>
        </w:rPr>
        <w:t>ی</w:t>
      </w:r>
      <w:r w:rsidR="00EB0ACA" w:rsidRPr="00EB0ACA">
        <w:rPr>
          <w:color w:val="008000"/>
          <w:rtl/>
        </w:rPr>
        <w:t>اضَ»</w:t>
      </w:r>
      <w:r w:rsidR="00EB0ACA">
        <w:rPr>
          <w:rFonts w:hint="cs"/>
          <w:rtl/>
        </w:rPr>
        <w:t xml:space="preserve">. در نوع رساله ها در مشابه این مسأله می گویند بنابر فتوی یا احتیاط واجب باید میان تروک حائض و اعمال طاهره یا مستحاضه جمع شود. آن دختر نیز به همین صورت جمع میان تروک حائض و اعمال طاهره کرد؛ احتیاطا نماز می خواند اما همسرش از او دوری می کرد. خلف بن حماد می گوید: </w:t>
      </w:r>
      <w:r w:rsidR="00EB0ACA" w:rsidRPr="00AA31E1">
        <w:rPr>
          <w:rFonts w:hint="eastAsia"/>
          <w:color w:val="008000"/>
          <w:rtl/>
        </w:rPr>
        <w:t>«</w:t>
      </w:r>
      <w:r w:rsidR="00EB0ACA" w:rsidRPr="00EB0ACA">
        <w:rPr>
          <w:color w:val="008000"/>
          <w:rtl/>
        </w:rPr>
        <w:t>حَجَجْتُ فِ</w:t>
      </w:r>
      <w:r w:rsidR="007F1421">
        <w:rPr>
          <w:color w:val="008000"/>
          <w:rtl/>
        </w:rPr>
        <w:t>ی</w:t>
      </w:r>
      <w:r w:rsidR="00EB0ACA" w:rsidRPr="00EB0ACA">
        <w:rPr>
          <w:color w:val="008000"/>
          <w:rtl/>
        </w:rPr>
        <w:t xml:space="preserve"> تِلْ</w:t>
      </w:r>
      <w:r w:rsidR="007F1421">
        <w:rPr>
          <w:color w:val="008000"/>
          <w:rtl/>
        </w:rPr>
        <w:t>ک</w:t>
      </w:r>
      <w:r w:rsidR="00EB0ACA" w:rsidRPr="00EB0ACA">
        <w:rPr>
          <w:color w:val="008000"/>
          <w:rtl/>
        </w:rPr>
        <w:t xml:space="preserve"> السَّنَةِ فَلَمَّا صِرْنَا بِمِنً</w:t>
      </w:r>
      <w:r w:rsidR="007F1421">
        <w:rPr>
          <w:color w:val="008000"/>
          <w:rtl/>
        </w:rPr>
        <w:t>ی</w:t>
      </w:r>
      <w:r w:rsidR="00EB0ACA" w:rsidRPr="00EB0ACA">
        <w:rPr>
          <w:color w:val="008000"/>
          <w:rtl/>
        </w:rPr>
        <w:t xml:space="preserve"> بَعَثْتُ إِلَ</w:t>
      </w:r>
      <w:r w:rsidR="007F1421">
        <w:rPr>
          <w:color w:val="008000"/>
          <w:rtl/>
        </w:rPr>
        <w:t>ی</w:t>
      </w:r>
      <w:r w:rsidR="00EB0ACA" w:rsidRPr="00EB0ACA">
        <w:rPr>
          <w:color w:val="008000"/>
          <w:rtl/>
        </w:rPr>
        <w:t xml:space="preserve"> أَبِ</w:t>
      </w:r>
      <w:r w:rsidR="007F1421">
        <w:rPr>
          <w:color w:val="008000"/>
          <w:rtl/>
        </w:rPr>
        <w:t>ی</w:t>
      </w:r>
      <w:r w:rsidR="00EB0ACA" w:rsidRPr="00EB0ACA">
        <w:rPr>
          <w:color w:val="008000"/>
          <w:rtl/>
        </w:rPr>
        <w:t xml:space="preserve"> الْحَسَنِ مُوسَ</w:t>
      </w:r>
      <w:r w:rsidR="007F1421">
        <w:rPr>
          <w:color w:val="008000"/>
          <w:rtl/>
        </w:rPr>
        <w:t>ی</w:t>
      </w:r>
      <w:r w:rsidR="00EB0ACA" w:rsidRPr="00EB0ACA">
        <w:rPr>
          <w:color w:val="008000"/>
          <w:rtl/>
        </w:rPr>
        <w:t xml:space="preserve"> بْنِ جَعْفَرٍ ع فَقُلْتُ جُعِلْتُ فِدَا</w:t>
      </w:r>
      <w:r w:rsidR="007F1421">
        <w:rPr>
          <w:color w:val="008000"/>
          <w:rtl/>
        </w:rPr>
        <w:t>ک</w:t>
      </w:r>
      <w:r w:rsidR="00EB0ACA" w:rsidRPr="00EB0ACA">
        <w:rPr>
          <w:color w:val="008000"/>
          <w:rtl/>
        </w:rPr>
        <w:t xml:space="preserve"> إِنَّ لَنَا مَسْأَلَةً قَدْ ضِقْنَا بِهَا ذَرْعاً فَإِنْ رَأَ</w:t>
      </w:r>
      <w:r w:rsidR="007F1421">
        <w:rPr>
          <w:color w:val="008000"/>
          <w:rtl/>
        </w:rPr>
        <w:t>ی</w:t>
      </w:r>
      <w:r w:rsidR="00EB0ACA" w:rsidRPr="00EB0ACA">
        <w:rPr>
          <w:color w:val="008000"/>
          <w:rtl/>
        </w:rPr>
        <w:t>تَ أَنْ‏</w:t>
      </w:r>
      <w:r w:rsidR="00EB0ACA" w:rsidRPr="00EB0ACA">
        <w:rPr>
          <w:rFonts w:hint="cs"/>
          <w:color w:val="008000"/>
          <w:rtl/>
        </w:rPr>
        <w:t xml:space="preserve"> </w:t>
      </w:r>
      <w:r w:rsidR="00EB0ACA" w:rsidRPr="00EB0ACA">
        <w:rPr>
          <w:color w:val="008000"/>
          <w:rtl/>
        </w:rPr>
        <w:t>تَأْذَنَ لِ</w:t>
      </w:r>
      <w:r w:rsidR="007F1421">
        <w:rPr>
          <w:color w:val="008000"/>
          <w:rtl/>
        </w:rPr>
        <w:t>ی</w:t>
      </w:r>
      <w:r w:rsidR="00EB0ACA" w:rsidRPr="00EB0ACA">
        <w:rPr>
          <w:color w:val="008000"/>
          <w:rtl/>
        </w:rPr>
        <w:t xml:space="preserve"> فَآتِ</w:t>
      </w:r>
      <w:r w:rsidR="007F1421">
        <w:rPr>
          <w:color w:val="008000"/>
          <w:rtl/>
        </w:rPr>
        <w:t>یک</w:t>
      </w:r>
      <w:r w:rsidR="00EB0ACA" w:rsidRPr="00EB0ACA">
        <w:rPr>
          <w:color w:val="008000"/>
          <w:rtl/>
        </w:rPr>
        <w:t xml:space="preserve"> وَ أَسْأَلُ</w:t>
      </w:r>
      <w:r w:rsidR="007F1421">
        <w:rPr>
          <w:color w:val="008000"/>
          <w:rtl/>
        </w:rPr>
        <w:t>ک</w:t>
      </w:r>
      <w:r w:rsidR="00EB0ACA" w:rsidRPr="00EB0ACA">
        <w:rPr>
          <w:color w:val="008000"/>
          <w:rtl/>
        </w:rPr>
        <w:t xml:space="preserve"> عَنْهَا فَبَعَثَ إِلَ</w:t>
      </w:r>
      <w:r w:rsidR="007F1421">
        <w:rPr>
          <w:color w:val="008000"/>
          <w:rtl/>
        </w:rPr>
        <w:t>ی</w:t>
      </w:r>
      <w:r w:rsidR="00EB0ACA" w:rsidRPr="00EB0ACA">
        <w:rPr>
          <w:color w:val="008000"/>
          <w:rtl/>
        </w:rPr>
        <w:t xml:space="preserve"> إِذَا هَدَأَتِ الرِّجْلُ وَ انْقَطَعَ الطَّرِ</w:t>
      </w:r>
      <w:r w:rsidR="007F1421">
        <w:rPr>
          <w:color w:val="008000"/>
          <w:rtl/>
        </w:rPr>
        <w:t>ی</w:t>
      </w:r>
      <w:r w:rsidR="00EB0ACA" w:rsidRPr="00EB0ACA">
        <w:rPr>
          <w:color w:val="008000"/>
          <w:rtl/>
        </w:rPr>
        <w:t>قُ فَأَقْبِلْ</w:t>
      </w:r>
      <w:r w:rsidR="00EB0ACA" w:rsidRPr="00AA31E1">
        <w:rPr>
          <w:color w:val="008000"/>
          <w:rtl/>
        </w:rPr>
        <w:t>»</w:t>
      </w:r>
      <w:r w:rsidR="00EB0ACA">
        <w:rPr>
          <w:rFonts w:hint="cs"/>
          <w:rtl/>
        </w:rPr>
        <w:t>. یعنی در شب که آرام است و رفت و آمد نیست به خیمه ما در منا بیا.</w:t>
      </w:r>
      <w:r w:rsidR="009D36F3">
        <w:rPr>
          <w:rFonts w:hint="cs"/>
          <w:rtl/>
        </w:rPr>
        <w:t xml:space="preserve"> می گوید: به خیمه امام که نزدیک شدم </w:t>
      </w:r>
      <w:r w:rsidR="009D36F3" w:rsidRPr="009D36F3">
        <w:rPr>
          <w:rFonts w:hint="eastAsia"/>
          <w:color w:val="008000"/>
          <w:rtl/>
        </w:rPr>
        <w:t>«</w:t>
      </w:r>
      <w:r w:rsidR="009D36F3" w:rsidRPr="009D36F3">
        <w:rPr>
          <w:color w:val="008000"/>
          <w:rtl/>
        </w:rPr>
        <w:t>إِذَا أَنَا بِأَسْوَدَ قَاعِدٍ عَلَ</w:t>
      </w:r>
      <w:r w:rsidR="007F1421">
        <w:rPr>
          <w:color w:val="008000"/>
          <w:rtl/>
        </w:rPr>
        <w:t>ی</w:t>
      </w:r>
      <w:r w:rsidR="009D36F3" w:rsidRPr="009D36F3">
        <w:rPr>
          <w:color w:val="008000"/>
          <w:rtl/>
        </w:rPr>
        <w:t xml:space="preserve"> الطَّرِ</w:t>
      </w:r>
      <w:r w:rsidR="007F1421">
        <w:rPr>
          <w:color w:val="008000"/>
          <w:rtl/>
        </w:rPr>
        <w:t>ی</w:t>
      </w:r>
      <w:r w:rsidR="009D36F3" w:rsidRPr="009D36F3">
        <w:rPr>
          <w:color w:val="008000"/>
          <w:rtl/>
        </w:rPr>
        <w:t>قِ فَقَالَ مَنِ الرَّجُلُ فَقُلْتُ رَجُلٌ مِنَ الْحَاجِّ فَقَالَ مَا اسْمُ</w:t>
      </w:r>
      <w:r w:rsidR="007F1421">
        <w:rPr>
          <w:color w:val="008000"/>
          <w:rtl/>
        </w:rPr>
        <w:t>ک</w:t>
      </w:r>
      <w:r w:rsidR="009D36F3" w:rsidRPr="009D36F3">
        <w:rPr>
          <w:color w:val="008000"/>
          <w:rtl/>
        </w:rPr>
        <w:t xml:space="preserve"> قُلْتُ خَلَفُ بْنُ حَمَّادٍ قَالَ ادْخُلْ بِغَ</w:t>
      </w:r>
      <w:r w:rsidR="007F1421">
        <w:rPr>
          <w:color w:val="008000"/>
          <w:rtl/>
        </w:rPr>
        <w:t>ی</w:t>
      </w:r>
      <w:r w:rsidR="009D36F3" w:rsidRPr="009D36F3">
        <w:rPr>
          <w:color w:val="008000"/>
          <w:rtl/>
        </w:rPr>
        <w:t>رِ إِذْنٍ</w:t>
      </w:r>
      <w:r w:rsidR="009D36F3">
        <w:rPr>
          <w:rFonts w:hint="cs"/>
          <w:color w:val="008000"/>
          <w:rtl/>
        </w:rPr>
        <w:t xml:space="preserve"> </w:t>
      </w:r>
      <w:r w:rsidR="009D36F3" w:rsidRPr="009D36F3">
        <w:rPr>
          <w:color w:val="008000"/>
          <w:rtl/>
        </w:rPr>
        <w:t>فَدَخَلْتُ وَ سَلَّمْتُ فَرَدَّ السَّلَامَ وَ هُوَ جَالِسٌ عَلَ</w:t>
      </w:r>
      <w:r w:rsidR="007F1421">
        <w:rPr>
          <w:color w:val="008000"/>
          <w:rtl/>
        </w:rPr>
        <w:t>ی</w:t>
      </w:r>
      <w:r w:rsidR="009D36F3" w:rsidRPr="009D36F3">
        <w:rPr>
          <w:color w:val="008000"/>
          <w:rtl/>
        </w:rPr>
        <w:t xml:space="preserve"> فِرَاشِهِ وَحْدَهُ مَا فِ</w:t>
      </w:r>
      <w:r w:rsidR="007F1421">
        <w:rPr>
          <w:color w:val="008000"/>
          <w:rtl/>
        </w:rPr>
        <w:t>ی</w:t>
      </w:r>
      <w:r w:rsidR="009D36F3" w:rsidRPr="009D36F3">
        <w:rPr>
          <w:color w:val="008000"/>
          <w:rtl/>
        </w:rPr>
        <w:t xml:space="preserve"> الْفُسْطَاطِ غَ</w:t>
      </w:r>
      <w:r w:rsidR="007F1421">
        <w:rPr>
          <w:color w:val="008000"/>
          <w:rtl/>
        </w:rPr>
        <w:t>ی</w:t>
      </w:r>
      <w:r w:rsidR="009D36F3" w:rsidRPr="009D36F3">
        <w:rPr>
          <w:color w:val="008000"/>
          <w:rtl/>
        </w:rPr>
        <w:t>رُهُ فَلَمَّا صِرْتُ بَ</w:t>
      </w:r>
      <w:r w:rsidR="007F1421">
        <w:rPr>
          <w:color w:val="008000"/>
          <w:rtl/>
        </w:rPr>
        <w:t>ی</w:t>
      </w:r>
      <w:r w:rsidR="009D36F3" w:rsidRPr="009D36F3">
        <w:rPr>
          <w:color w:val="008000"/>
          <w:rtl/>
        </w:rPr>
        <w:t xml:space="preserve">نَ </w:t>
      </w:r>
      <w:r w:rsidR="007F1421">
        <w:rPr>
          <w:color w:val="008000"/>
          <w:rtl/>
        </w:rPr>
        <w:t>ی</w:t>
      </w:r>
      <w:r w:rsidR="009D36F3" w:rsidRPr="009D36F3">
        <w:rPr>
          <w:color w:val="008000"/>
          <w:rtl/>
        </w:rPr>
        <w:t>دَ</w:t>
      </w:r>
      <w:r w:rsidR="007F1421">
        <w:rPr>
          <w:color w:val="008000"/>
          <w:rtl/>
        </w:rPr>
        <w:t>ی</w:t>
      </w:r>
      <w:r w:rsidR="009D36F3" w:rsidRPr="009D36F3">
        <w:rPr>
          <w:color w:val="008000"/>
          <w:rtl/>
        </w:rPr>
        <w:t>هِ سَأَلَنِ</w:t>
      </w:r>
      <w:r w:rsidR="007F1421">
        <w:rPr>
          <w:color w:val="008000"/>
          <w:rtl/>
        </w:rPr>
        <w:t>ی</w:t>
      </w:r>
      <w:r w:rsidR="009D36F3" w:rsidRPr="009D36F3">
        <w:rPr>
          <w:color w:val="008000"/>
          <w:rtl/>
        </w:rPr>
        <w:t xml:space="preserve"> وَ سَأَلْتُهُ عَنْ حَالِهِ»</w:t>
      </w:r>
      <w:r w:rsidR="009D36F3">
        <w:rPr>
          <w:rFonts w:hint="cs"/>
          <w:rtl/>
        </w:rPr>
        <w:t xml:space="preserve">. می گوید بعد سوال را راجع به آن دختر مطرح کردم. امام فرمود </w:t>
      </w:r>
      <w:r w:rsidR="009D36F3" w:rsidRPr="009D36F3">
        <w:rPr>
          <w:rFonts w:hint="eastAsia"/>
          <w:color w:val="008000"/>
          <w:rtl/>
        </w:rPr>
        <w:t>«</w:t>
      </w:r>
      <w:r w:rsidR="009D36F3" w:rsidRPr="009D36F3">
        <w:rPr>
          <w:color w:val="008000"/>
          <w:rtl/>
        </w:rPr>
        <w:t xml:space="preserve">فَلْتَتَّقِ اللَّهَ فَإِنْ </w:t>
      </w:r>
      <w:r w:rsidR="007F1421">
        <w:rPr>
          <w:color w:val="008000"/>
          <w:rtl/>
        </w:rPr>
        <w:t>ک</w:t>
      </w:r>
      <w:r w:rsidR="009D36F3" w:rsidRPr="009D36F3">
        <w:rPr>
          <w:color w:val="008000"/>
          <w:rtl/>
        </w:rPr>
        <w:t>انَ مِنْ دَمِ الْحَ</w:t>
      </w:r>
      <w:r w:rsidR="007F1421">
        <w:rPr>
          <w:color w:val="008000"/>
          <w:rtl/>
        </w:rPr>
        <w:t>ی</w:t>
      </w:r>
      <w:r w:rsidR="009D36F3" w:rsidRPr="009D36F3">
        <w:rPr>
          <w:color w:val="008000"/>
          <w:rtl/>
        </w:rPr>
        <w:t>ضِ فَلْتُمْسِ</w:t>
      </w:r>
      <w:r w:rsidR="007F1421">
        <w:rPr>
          <w:color w:val="008000"/>
          <w:rtl/>
        </w:rPr>
        <w:t>ک</w:t>
      </w:r>
      <w:r w:rsidR="009D36F3" w:rsidRPr="009D36F3">
        <w:rPr>
          <w:color w:val="008000"/>
          <w:rtl/>
        </w:rPr>
        <w:t xml:space="preserve"> عَنِ الصَّلَاةِ حَتَّ</w:t>
      </w:r>
      <w:r w:rsidR="007F1421">
        <w:rPr>
          <w:color w:val="008000"/>
          <w:rtl/>
        </w:rPr>
        <w:t>ی</w:t>
      </w:r>
      <w:r w:rsidR="009D36F3" w:rsidRPr="009D36F3">
        <w:rPr>
          <w:color w:val="008000"/>
          <w:rtl/>
        </w:rPr>
        <w:t xml:space="preserve"> تَرَ</w:t>
      </w:r>
      <w:r w:rsidR="007F1421">
        <w:rPr>
          <w:color w:val="008000"/>
          <w:rtl/>
        </w:rPr>
        <w:t>ی</w:t>
      </w:r>
      <w:r w:rsidR="009D36F3" w:rsidRPr="009D36F3">
        <w:rPr>
          <w:color w:val="008000"/>
          <w:rtl/>
        </w:rPr>
        <w:t xml:space="preserve"> الطُّهْرَ وَ لْ</w:t>
      </w:r>
      <w:r w:rsidR="007F1421">
        <w:rPr>
          <w:color w:val="008000"/>
          <w:rtl/>
        </w:rPr>
        <w:t>ی</w:t>
      </w:r>
      <w:r w:rsidR="009D36F3" w:rsidRPr="009D36F3">
        <w:rPr>
          <w:color w:val="008000"/>
          <w:rtl/>
        </w:rPr>
        <w:t>مْسِ</w:t>
      </w:r>
      <w:r w:rsidR="007F1421">
        <w:rPr>
          <w:color w:val="008000"/>
          <w:rtl/>
        </w:rPr>
        <w:t>ک</w:t>
      </w:r>
      <w:r w:rsidR="009D36F3" w:rsidRPr="009D36F3">
        <w:rPr>
          <w:color w:val="008000"/>
          <w:rtl/>
        </w:rPr>
        <w:t xml:space="preserve"> عَنْهَا بَعْلُهَا وَ إِنْ </w:t>
      </w:r>
      <w:r w:rsidR="007F1421">
        <w:rPr>
          <w:color w:val="008000"/>
          <w:rtl/>
        </w:rPr>
        <w:t>ک</w:t>
      </w:r>
      <w:r w:rsidR="009D36F3" w:rsidRPr="009D36F3">
        <w:rPr>
          <w:color w:val="008000"/>
          <w:rtl/>
        </w:rPr>
        <w:t xml:space="preserve">انَ مِنَ الْعُذْرَةِ فَلْتَتَّقِ اللَّهَ وَ لْتَتَوَضَّأْ وَ لْتُصَلِّ وَ </w:t>
      </w:r>
      <w:r w:rsidR="007F1421">
        <w:rPr>
          <w:color w:val="008000"/>
          <w:rtl/>
        </w:rPr>
        <w:t>ی</w:t>
      </w:r>
      <w:r w:rsidR="009D36F3" w:rsidRPr="009D36F3">
        <w:rPr>
          <w:color w:val="008000"/>
          <w:rtl/>
        </w:rPr>
        <w:t>أْتِ</w:t>
      </w:r>
      <w:r w:rsidR="007F1421">
        <w:rPr>
          <w:color w:val="008000"/>
          <w:rtl/>
        </w:rPr>
        <w:t>ی</w:t>
      </w:r>
      <w:r w:rsidR="009D36F3" w:rsidRPr="009D36F3">
        <w:rPr>
          <w:color w:val="008000"/>
          <w:rtl/>
        </w:rPr>
        <w:t>هَا بَعْلُهَا إِنْ أَحَبَّ ذَلِ</w:t>
      </w:r>
      <w:r w:rsidR="007F1421">
        <w:rPr>
          <w:color w:val="008000"/>
          <w:rtl/>
        </w:rPr>
        <w:t>ک</w:t>
      </w:r>
      <w:r w:rsidR="009D36F3" w:rsidRPr="009D36F3">
        <w:rPr>
          <w:color w:val="008000"/>
          <w:rtl/>
        </w:rPr>
        <w:t>»</w:t>
      </w:r>
      <w:r w:rsidR="009D36F3">
        <w:rPr>
          <w:rFonts w:hint="cs"/>
          <w:rtl/>
        </w:rPr>
        <w:t xml:space="preserve">. یعنی </w:t>
      </w:r>
      <w:r w:rsidR="00EB0ACA">
        <w:rPr>
          <w:rFonts w:hint="cs"/>
          <w:rtl/>
        </w:rPr>
        <w:t>احتیاط جایز نیست</w:t>
      </w:r>
      <w:r w:rsidR="009D36F3">
        <w:rPr>
          <w:rFonts w:hint="cs"/>
          <w:rtl/>
        </w:rPr>
        <w:t>؛</w:t>
      </w:r>
      <w:r w:rsidR="00EB0ACA">
        <w:rPr>
          <w:rFonts w:hint="cs"/>
          <w:rtl/>
        </w:rPr>
        <w:t xml:space="preserve"> در صورتی که آن دختر واقعا حائض است باید از خدا بترسد و نماز نخواند. البته این گونه نیست که ذات نماز حرام باشد بلکه نماز به قصد قربت حرام است. کسی که از باب رجاء و احتیاط نماز می خواند قصد قربت دارد پس حرام است.</w:t>
      </w:r>
      <w:r w:rsidR="009D36F3">
        <w:rPr>
          <w:rFonts w:hint="cs"/>
          <w:rtl/>
        </w:rPr>
        <w:t xml:space="preserve"> سپس از نحوه تشخیص دم حیض یا بکارت پرسید. </w:t>
      </w:r>
      <w:r w:rsidR="009D36F3" w:rsidRPr="009D36F3">
        <w:rPr>
          <w:rFonts w:hint="eastAsia"/>
          <w:color w:val="008000"/>
          <w:rtl/>
        </w:rPr>
        <w:t>«</w:t>
      </w:r>
      <w:r w:rsidR="009D36F3" w:rsidRPr="009D36F3">
        <w:rPr>
          <w:color w:val="008000"/>
          <w:rtl/>
        </w:rPr>
        <w:t xml:space="preserve">فَالْتَفَتَ </w:t>
      </w:r>
      <w:r w:rsidR="007F1421">
        <w:rPr>
          <w:color w:val="008000"/>
          <w:rtl/>
        </w:rPr>
        <w:t>ی</w:t>
      </w:r>
      <w:r w:rsidR="009D36F3" w:rsidRPr="009D36F3">
        <w:rPr>
          <w:color w:val="008000"/>
          <w:rtl/>
        </w:rPr>
        <w:t>مِ</w:t>
      </w:r>
      <w:r w:rsidR="007F1421">
        <w:rPr>
          <w:color w:val="008000"/>
          <w:rtl/>
        </w:rPr>
        <w:t>ی</w:t>
      </w:r>
      <w:r w:rsidR="009D36F3" w:rsidRPr="009D36F3">
        <w:rPr>
          <w:color w:val="008000"/>
          <w:rtl/>
        </w:rPr>
        <w:t>ناً وَ شِمَالًا فِ</w:t>
      </w:r>
      <w:r w:rsidR="007F1421">
        <w:rPr>
          <w:color w:val="008000"/>
          <w:rtl/>
        </w:rPr>
        <w:t>ی</w:t>
      </w:r>
      <w:r w:rsidR="009D36F3" w:rsidRPr="009D36F3">
        <w:rPr>
          <w:color w:val="008000"/>
          <w:rtl/>
        </w:rPr>
        <w:t xml:space="preserve"> الْفُسْطَاطِ مَخَافَةَ أَنْ </w:t>
      </w:r>
      <w:r w:rsidR="007F1421">
        <w:rPr>
          <w:color w:val="008000"/>
          <w:rtl/>
        </w:rPr>
        <w:t>ی</w:t>
      </w:r>
      <w:r w:rsidR="009D36F3" w:rsidRPr="009D36F3">
        <w:rPr>
          <w:color w:val="008000"/>
          <w:rtl/>
        </w:rPr>
        <w:t xml:space="preserve">سْمَعَ </w:t>
      </w:r>
      <w:r w:rsidR="007F1421">
        <w:rPr>
          <w:color w:val="008000"/>
          <w:rtl/>
        </w:rPr>
        <w:t>ک</w:t>
      </w:r>
      <w:r w:rsidR="009D36F3" w:rsidRPr="009D36F3">
        <w:rPr>
          <w:color w:val="008000"/>
          <w:rtl/>
        </w:rPr>
        <w:t>لَامَهُ أَحَدٌ قَالَ ثُمَّ نَهَدَ إِلَ</w:t>
      </w:r>
      <w:r w:rsidR="007F1421">
        <w:rPr>
          <w:color w:val="008000"/>
          <w:rtl/>
        </w:rPr>
        <w:t>ی</w:t>
      </w:r>
      <w:r w:rsidR="009D36F3" w:rsidRPr="009D36F3">
        <w:rPr>
          <w:color w:val="008000"/>
          <w:rtl/>
        </w:rPr>
        <w:t xml:space="preserve"> فَقَالَ </w:t>
      </w:r>
      <w:r w:rsidR="007F1421">
        <w:rPr>
          <w:color w:val="008000"/>
          <w:rtl/>
        </w:rPr>
        <w:t>ی</w:t>
      </w:r>
      <w:r w:rsidR="009D36F3" w:rsidRPr="009D36F3">
        <w:rPr>
          <w:color w:val="008000"/>
          <w:rtl/>
        </w:rPr>
        <w:t>ا خَلَفُ سِرَّ اللَّهِ سِرَّ اللَّهِ فَلَا تُذِ</w:t>
      </w:r>
      <w:r w:rsidR="007F1421">
        <w:rPr>
          <w:color w:val="008000"/>
          <w:rtl/>
        </w:rPr>
        <w:t>ی</w:t>
      </w:r>
      <w:r w:rsidR="009D36F3" w:rsidRPr="009D36F3">
        <w:rPr>
          <w:color w:val="008000"/>
          <w:rtl/>
        </w:rPr>
        <w:t xml:space="preserve">عُوهُ وَ لَا تُعَلِّمُوا هَذَا </w:t>
      </w:r>
      <w:r w:rsidR="009D36F3" w:rsidRPr="009D36F3">
        <w:rPr>
          <w:color w:val="008000"/>
          <w:rtl/>
        </w:rPr>
        <w:lastRenderedPageBreak/>
        <w:t>الْخَلْقَ أُصُولَ دِ</w:t>
      </w:r>
      <w:r w:rsidR="007F1421">
        <w:rPr>
          <w:color w:val="008000"/>
          <w:rtl/>
        </w:rPr>
        <w:t>ی</w:t>
      </w:r>
      <w:r w:rsidR="009D36F3" w:rsidRPr="009D36F3">
        <w:rPr>
          <w:color w:val="008000"/>
          <w:rtl/>
        </w:rPr>
        <w:t>نِ اللَّهِ بَلِ ارْضَوْا لَهُمْ مَا رَضِ</w:t>
      </w:r>
      <w:r w:rsidR="007F1421">
        <w:rPr>
          <w:color w:val="008000"/>
          <w:rtl/>
        </w:rPr>
        <w:t>ی</w:t>
      </w:r>
      <w:r w:rsidR="009D36F3" w:rsidRPr="009D36F3">
        <w:rPr>
          <w:color w:val="008000"/>
          <w:rtl/>
        </w:rPr>
        <w:t xml:space="preserve"> اللَّهُ لَهُمْ مِنْ ضَلَالٍ»</w:t>
      </w:r>
      <w:r w:rsidR="009D36F3">
        <w:rPr>
          <w:rFonts w:hint="cs"/>
          <w:rtl/>
        </w:rPr>
        <w:t>.</w:t>
      </w:r>
      <w:r w:rsidR="00BC185A">
        <w:rPr>
          <w:rFonts w:hint="cs"/>
          <w:rtl/>
        </w:rPr>
        <w:t xml:space="preserve"> برای تعلیم فروع باید ولایت امام من الله پذیرفته شود. فروع دین به کسانی که ولایت امام من الله را نپذیرفته اند نباید گفته شود.</w:t>
      </w:r>
      <w:r w:rsidR="00D93A8B">
        <w:rPr>
          <w:rFonts w:hint="cs"/>
          <w:rtl/>
        </w:rPr>
        <w:t xml:space="preserve"> سپس حضرت علامت دم بکارت و دم حیض را بیان کردند و بعد فرمودند </w:t>
      </w:r>
      <w:r w:rsidR="00D93A8B" w:rsidRPr="00D93A8B">
        <w:rPr>
          <w:rFonts w:hint="eastAsia"/>
          <w:color w:val="008000"/>
          <w:rtl/>
        </w:rPr>
        <w:t>«</w:t>
      </w:r>
      <w:r w:rsidR="00D93A8B" w:rsidRPr="00D93A8B">
        <w:rPr>
          <w:color w:val="008000"/>
          <w:rtl/>
        </w:rPr>
        <w:t>وَ اللَّهِ إِنِّ</w:t>
      </w:r>
      <w:r w:rsidR="007F1421">
        <w:rPr>
          <w:color w:val="008000"/>
          <w:rtl/>
        </w:rPr>
        <w:t>ی</w:t>
      </w:r>
      <w:r w:rsidR="00D93A8B" w:rsidRPr="00D93A8B">
        <w:rPr>
          <w:color w:val="008000"/>
          <w:rtl/>
        </w:rPr>
        <w:t xml:space="preserve"> مَا أُخْبِرُ</w:t>
      </w:r>
      <w:r w:rsidR="007F1421">
        <w:rPr>
          <w:color w:val="008000"/>
          <w:rtl/>
        </w:rPr>
        <w:t>ک</w:t>
      </w:r>
      <w:r w:rsidR="00D93A8B" w:rsidRPr="00D93A8B">
        <w:rPr>
          <w:color w:val="008000"/>
          <w:rtl/>
        </w:rPr>
        <w:t xml:space="preserve"> إِلَّا عَنْ رَسُولِ اللَّهِ ص عَنْ جَبْرَئِ</w:t>
      </w:r>
      <w:r w:rsidR="007F1421">
        <w:rPr>
          <w:color w:val="008000"/>
          <w:rtl/>
        </w:rPr>
        <w:t>ی</w:t>
      </w:r>
      <w:r w:rsidR="00D93A8B" w:rsidRPr="00D93A8B">
        <w:rPr>
          <w:color w:val="008000"/>
          <w:rtl/>
        </w:rPr>
        <w:t>لَ عَنِ اللَّهِ عَزَّ وَ جَلَّ»</w:t>
      </w:r>
      <w:r w:rsidR="00D93A8B">
        <w:rPr>
          <w:rFonts w:hint="cs"/>
          <w:rtl/>
        </w:rPr>
        <w:t>.</w:t>
      </w:r>
      <w:r w:rsidR="00F21FA8">
        <w:rPr>
          <w:rStyle w:val="FootnoteReference"/>
          <w:rtl/>
        </w:rPr>
        <w:footnoteReference w:id="10"/>
      </w:r>
    </w:p>
    <w:p w14:paraId="741F2BF1" w14:textId="15F4350D" w:rsidR="00195226" w:rsidRDefault="00195226" w:rsidP="00EB0ACA">
      <w:pPr>
        <w:rPr>
          <w:rtl/>
        </w:rPr>
      </w:pPr>
      <w:r>
        <w:rPr>
          <w:rFonts w:hint="cs"/>
          <w:rtl/>
        </w:rPr>
        <w:t>این روایت راجع به نماز است و تعدی از نماز به صوم مشکل است. اما ظاهر آن این است که نماز حائض</w:t>
      </w:r>
      <w:r w:rsidR="00CB5A25">
        <w:rPr>
          <w:rFonts w:hint="cs"/>
          <w:rtl/>
        </w:rPr>
        <w:t xml:space="preserve"> </w:t>
      </w:r>
      <w:r>
        <w:rPr>
          <w:rFonts w:hint="cs"/>
          <w:rtl/>
        </w:rPr>
        <w:t>حرام ذاتی است</w:t>
      </w:r>
      <w:r w:rsidR="00CB5A25">
        <w:rPr>
          <w:rFonts w:hint="cs"/>
          <w:rtl/>
        </w:rPr>
        <w:t xml:space="preserve">؛ به این معنا که نماز با قصد قربت ولو احتیاطا حرام است. </w:t>
      </w:r>
      <w:r w:rsidR="00457447">
        <w:rPr>
          <w:rFonts w:hint="cs"/>
          <w:rtl/>
        </w:rPr>
        <w:t>لذا بر این اساس نباید در رساله نوشت بنابر فتوی یا احتیاط باید میان تروک حائض و اعمال طاهره یا مستحاضه جمع شود.</w:t>
      </w:r>
      <w:r w:rsidR="00FB19B2">
        <w:rPr>
          <w:rFonts w:hint="cs"/>
          <w:rtl/>
        </w:rPr>
        <w:t xml:space="preserve"> و نیز ظاهر روایاتی که در ایام استظهار امر به احتیاط می کنند و می گویند «فلتحتط» حرمت ذاتی نماز است</w:t>
      </w:r>
      <w:r w:rsidR="00EB6B0F">
        <w:rPr>
          <w:rFonts w:hint="cs"/>
          <w:rtl/>
        </w:rPr>
        <w:t xml:space="preserve">؛ زیرا «فلتحتط» به معنای این است که احتیاطا بنا را بر حیض بگذارد و نماز را ترک کند. در حالی که اگر نماز بر حائض حرام تشریعی باشد </w:t>
      </w:r>
      <w:r w:rsidR="00921F83">
        <w:rPr>
          <w:rFonts w:hint="cs"/>
          <w:rtl/>
        </w:rPr>
        <w:t>احتیاط در این است که نماز را به قصد رجاء بخواند و این موجب ارتکاب حرمت تشریعی نیست.</w:t>
      </w:r>
    </w:p>
    <w:p w14:paraId="64FBF25E" w14:textId="6F1E706C" w:rsidR="00D83BFD" w:rsidRDefault="00D42A25" w:rsidP="00F57946">
      <w:pPr>
        <w:rPr>
          <w:rtl/>
        </w:rPr>
      </w:pPr>
      <w:r>
        <w:rPr>
          <w:rFonts w:hint="cs"/>
          <w:rtl/>
        </w:rPr>
        <w:t xml:space="preserve">2. روزه یوم عید: </w:t>
      </w:r>
      <w:r w:rsidR="00327BF1">
        <w:rPr>
          <w:rFonts w:hint="cs"/>
          <w:rtl/>
        </w:rPr>
        <w:t>ما پیش از این در دلالت روایت س</w:t>
      </w:r>
      <w:r w:rsidR="00D91571">
        <w:rPr>
          <w:rFonts w:hint="cs"/>
          <w:rtl/>
        </w:rPr>
        <w:t>َ</w:t>
      </w:r>
      <w:r w:rsidR="00327BF1">
        <w:rPr>
          <w:rFonts w:hint="cs"/>
          <w:rtl/>
        </w:rPr>
        <w:t>دیر</w:t>
      </w:r>
      <w:r w:rsidR="00D91571">
        <w:rPr>
          <w:rStyle w:val="FootnoteReference"/>
          <w:rtl/>
        </w:rPr>
        <w:footnoteReference w:id="11"/>
      </w:r>
      <w:r w:rsidR="00327BF1">
        <w:rPr>
          <w:rFonts w:hint="cs"/>
          <w:rtl/>
        </w:rPr>
        <w:t xml:space="preserve"> </w:t>
      </w:r>
      <w:r w:rsidR="00F57946">
        <w:rPr>
          <w:rFonts w:hint="cs"/>
          <w:rtl/>
        </w:rPr>
        <w:t xml:space="preserve">راجع به روزه یوم عید </w:t>
      </w:r>
      <w:r w:rsidR="00327BF1">
        <w:rPr>
          <w:rFonts w:hint="cs"/>
          <w:rtl/>
        </w:rPr>
        <w:t>مناقشه کردیم. اما به نظر می رسد این مناقشه عرفی نیست. امام علیه السلام می فرماید من در روز عید روزه نمی گیرم</w:t>
      </w:r>
      <w:r w:rsidR="00F438AD">
        <w:rPr>
          <w:rFonts w:hint="cs"/>
          <w:rtl/>
        </w:rPr>
        <w:t xml:space="preserve"> زیرا</w:t>
      </w:r>
      <w:r w:rsidR="00AA482E">
        <w:rPr>
          <w:rFonts w:hint="cs"/>
          <w:rtl/>
        </w:rPr>
        <w:t xml:space="preserve"> </w:t>
      </w:r>
      <w:r w:rsidR="00AA482E" w:rsidRPr="00AA482E">
        <w:rPr>
          <w:rFonts w:hint="eastAsia"/>
          <w:color w:val="008000"/>
          <w:rtl/>
        </w:rPr>
        <w:t>«</w:t>
      </w:r>
      <w:r w:rsidR="00AA482E" w:rsidRPr="00AA482E">
        <w:rPr>
          <w:color w:val="008000"/>
          <w:rtl/>
        </w:rPr>
        <w:t>أَتَخَوَّفُ أَنْ یکونَ یوْمُ‌</w:t>
      </w:r>
      <w:r w:rsidR="00AA482E" w:rsidRPr="00AA482E">
        <w:rPr>
          <w:rFonts w:hint="cs"/>
          <w:color w:val="008000"/>
          <w:rtl/>
        </w:rPr>
        <w:t xml:space="preserve"> </w:t>
      </w:r>
      <w:r w:rsidR="00AA482E" w:rsidRPr="00AA482E">
        <w:rPr>
          <w:color w:val="008000"/>
          <w:rtl/>
        </w:rPr>
        <w:t>عَرَفَةَ یوْمَ أَضْحًی وَ لَیسَ بِیوْمِ صَوْمٍ»</w:t>
      </w:r>
      <w:r w:rsidR="00F57946">
        <w:rPr>
          <w:rFonts w:hint="cs"/>
          <w:rtl/>
        </w:rPr>
        <w:t xml:space="preserve">. </w:t>
      </w:r>
      <w:r w:rsidR="00F438AD">
        <w:rPr>
          <w:rFonts w:hint="cs"/>
          <w:rtl/>
        </w:rPr>
        <w:t>ظاهر تخوف این نیست که ترس از هدر رفتن زحمات باشد و این موجب ترس نیست</w:t>
      </w:r>
      <w:r w:rsidR="003A34F2">
        <w:rPr>
          <w:rFonts w:hint="cs"/>
          <w:rtl/>
        </w:rPr>
        <w:t xml:space="preserve">؛ چون به حسب حکم ظاهری شرعی روزه در روز عرفه محقق شده و اگر مطابق واقع باشد ثواب به آن تعلق می گیرد. اگر هم مطابق واقع نباشد چیزی از دست نرفته است و صرف تشنگی و گرسنگی مهم نیست. پس ظاهر آن خوف از ارتکاب </w:t>
      </w:r>
      <w:r w:rsidR="00D83BFD">
        <w:rPr>
          <w:rFonts w:hint="cs"/>
          <w:rtl/>
        </w:rPr>
        <w:t>حرام ولو حرام غیر منجز است.</w:t>
      </w:r>
      <w:r w:rsidR="00F57946">
        <w:rPr>
          <w:rFonts w:hint="cs"/>
          <w:rtl/>
        </w:rPr>
        <w:t xml:space="preserve"> </w:t>
      </w:r>
      <w:r w:rsidR="00593E37">
        <w:rPr>
          <w:rFonts w:hint="cs"/>
          <w:rtl/>
        </w:rPr>
        <w:t xml:space="preserve">البته وثاقت سدیر پدر حنان محل بحث است </w:t>
      </w:r>
      <w:r w:rsidR="00B86F32">
        <w:rPr>
          <w:rFonts w:hint="cs"/>
          <w:rtl/>
        </w:rPr>
        <w:t>اما</w:t>
      </w:r>
      <w:r w:rsidR="00593E37">
        <w:rPr>
          <w:rFonts w:hint="cs"/>
          <w:rtl/>
        </w:rPr>
        <w:t xml:space="preserve"> ما سعی کردیم وثاقت او را ثابت کنیم. </w:t>
      </w:r>
      <w:r w:rsidR="00B86F32">
        <w:rPr>
          <w:rFonts w:hint="cs"/>
          <w:rtl/>
        </w:rPr>
        <w:t>لذا روزه یوم عید نیز بعید نیست حرام ذاتی باشد. البته روزه به قصد قربت مقصود است نه آنچنان که شهید صدر در الفتاوی الواضحة روزه بدون قصد قربت را نیز حرام ذاتی شمرده است. کما اینکه مورد روایت</w:t>
      </w:r>
      <w:r w:rsidR="00EF748E">
        <w:rPr>
          <w:rFonts w:hint="cs"/>
          <w:rtl/>
        </w:rPr>
        <w:t xml:space="preserve"> </w:t>
      </w:r>
      <w:r w:rsidR="00EF748E" w:rsidRPr="00EF748E">
        <w:rPr>
          <w:rFonts w:hint="eastAsia"/>
          <w:color w:val="008000"/>
          <w:rtl/>
        </w:rPr>
        <w:t>«</w:t>
      </w:r>
      <w:r w:rsidR="00EF748E" w:rsidRPr="00EF748E">
        <w:rPr>
          <w:color w:val="008000"/>
          <w:rtl/>
        </w:rPr>
        <w:t>أَتَخَوَّفُ أَنْ یکونَ یوْمُ‌</w:t>
      </w:r>
      <w:r w:rsidR="00EF748E" w:rsidRPr="00EF748E">
        <w:rPr>
          <w:rFonts w:hint="cs"/>
          <w:color w:val="008000"/>
          <w:rtl/>
        </w:rPr>
        <w:t xml:space="preserve"> </w:t>
      </w:r>
      <w:r w:rsidR="00EF748E" w:rsidRPr="00EF748E">
        <w:rPr>
          <w:color w:val="008000"/>
          <w:rtl/>
        </w:rPr>
        <w:t>عَرَفَةَ یوْمَ أَضْحًی»</w:t>
      </w:r>
      <w:r w:rsidR="00B86F32">
        <w:rPr>
          <w:rFonts w:hint="cs"/>
          <w:rtl/>
        </w:rPr>
        <w:t xml:space="preserve"> نیز روزه به قصد قربت است.</w:t>
      </w:r>
    </w:p>
    <w:p w14:paraId="59D47A09" w14:textId="524D0B55" w:rsidR="00D42A25" w:rsidRDefault="00D42A25" w:rsidP="00EB0ACA">
      <w:pPr>
        <w:rPr>
          <w:rtl/>
        </w:rPr>
      </w:pPr>
      <w:r>
        <w:rPr>
          <w:rFonts w:hint="cs"/>
          <w:rtl/>
        </w:rPr>
        <w:lastRenderedPageBreak/>
        <w:t xml:space="preserve">در </w:t>
      </w:r>
      <w:r w:rsidR="00C5098A">
        <w:rPr>
          <w:rFonts w:hint="cs"/>
          <w:rtl/>
        </w:rPr>
        <w:t xml:space="preserve">موارد </w:t>
      </w:r>
      <w:r w:rsidR="00F57946">
        <w:rPr>
          <w:rFonts w:hint="cs"/>
          <w:rtl/>
        </w:rPr>
        <w:t xml:space="preserve">مذکور </w:t>
      </w:r>
      <w:r w:rsidR="00C5098A">
        <w:rPr>
          <w:rFonts w:hint="cs"/>
          <w:rtl/>
        </w:rPr>
        <w:t>قرینه</w:t>
      </w:r>
      <w:r w:rsidR="00F57946">
        <w:rPr>
          <w:rFonts w:hint="cs"/>
          <w:rtl/>
        </w:rPr>
        <w:t xml:space="preserve"> بر حرمت ذاتی</w:t>
      </w:r>
      <w:r w:rsidR="00C5098A">
        <w:rPr>
          <w:rFonts w:hint="cs"/>
          <w:rtl/>
        </w:rPr>
        <w:t xml:space="preserve"> وجود دارد. اما در </w:t>
      </w:r>
      <w:r w:rsidR="00E77550">
        <w:rPr>
          <w:rFonts w:hint="cs"/>
          <w:rtl/>
        </w:rPr>
        <w:t>صورت عدم قرینه ظاهر خطاب نهی حرمت تشریعی و ارشاد به فساد است.</w:t>
      </w:r>
    </w:p>
    <w:p w14:paraId="14F8EAD8" w14:textId="5F2E203C" w:rsidR="00783BF3" w:rsidRDefault="00783BF3" w:rsidP="00783BF3">
      <w:pPr>
        <w:pStyle w:val="Heading2"/>
        <w:rPr>
          <w:rtl/>
        </w:rPr>
      </w:pPr>
      <w:bookmarkStart w:id="13" w:name="_Toc99291690"/>
      <w:bookmarkStart w:id="14" w:name="_Toc99291723"/>
      <w:r>
        <w:rPr>
          <w:rFonts w:hint="cs"/>
          <w:rtl/>
        </w:rPr>
        <w:t>منشأ ظهور نهی از عبادت در ارشاد به فساد و عدم ظهور در حرمت ذاتی</w:t>
      </w:r>
      <w:bookmarkEnd w:id="13"/>
      <w:bookmarkEnd w:id="14"/>
    </w:p>
    <w:p w14:paraId="538FCFF8" w14:textId="0D947FD6" w:rsidR="00E53ABD" w:rsidRPr="00EE5DAE" w:rsidRDefault="00CD7AD4" w:rsidP="00EB0ACA">
      <w:pPr>
        <w:rPr>
          <w:rFonts w:hint="cs"/>
          <w:rtl/>
        </w:rPr>
      </w:pPr>
      <w:r>
        <w:rPr>
          <w:rFonts w:hint="cs"/>
          <w:rtl/>
        </w:rPr>
        <w:t xml:space="preserve">شهید صدر فرموده است: </w:t>
      </w:r>
      <w:r w:rsidR="00784A0F">
        <w:rPr>
          <w:rFonts w:hint="cs"/>
          <w:rtl/>
        </w:rPr>
        <w:t>منشأ عدم ظهور نهی از عبادت در حرمت تکلیفی توهم امر در عبادت است</w:t>
      </w:r>
      <w:r w:rsidR="0031092E">
        <w:rPr>
          <w:rFonts w:hint="cs"/>
          <w:rtl/>
        </w:rPr>
        <w:t>.</w:t>
      </w:r>
      <w:r w:rsidR="00784A0F">
        <w:rPr>
          <w:rFonts w:hint="cs"/>
          <w:rtl/>
        </w:rPr>
        <w:t xml:space="preserve"> به عنوان مثال «لا تصم فی السفر» نهی در مقام توهم امر است که ظهور در نهی تکلیفی نداشته و ارشاد به عدم امر است. همان گونه که امر در مقام توهم حظر ظهور در امر تکلیفی نداشته و ارشاد به عدم نهی است؛ مانند </w:t>
      </w:r>
      <w:r w:rsidR="00784A0F" w:rsidRPr="00784A0F">
        <w:rPr>
          <w:rFonts w:ascii="Times New Roman" w:hAnsi="Times New Roman" w:cs="Times New Roman" w:hint="cs"/>
          <w:color w:val="008000"/>
          <w:rtl/>
        </w:rPr>
        <w:t>﴿</w:t>
      </w:r>
      <w:r w:rsidR="00784A0F" w:rsidRPr="00784A0F">
        <w:rPr>
          <w:color w:val="008000"/>
          <w:rtl/>
        </w:rPr>
        <w:t>إِذَا حَلَلْتُمْ فَاصْطَادُوا</w:t>
      </w:r>
      <w:r w:rsidR="00784A0F" w:rsidRPr="00784A0F">
        <w:rPr>
          <w:rFonts w:ascii="Times New Roman" w:hAnsi="Times New Roman" w:cs="Times New Roman" w:hint="cs"/>
          <w:color w:val="008000"/>
          <w:rtl/>
        </w:rPr>
        <w:t>﴾</w:t>
      </w:r>
      <w:r w:rsidR="00784A0F">
        <w:rPr>
          <w:rStyle w:val="FootnoteReference"/>
          <w:rFonts w:ascii="Times New Roman" w:hAnsi="Times New Roman" w:cs="Times New Roman"/>
          <w:color w:val="008000"/>
          <w:rtl/>
        </w:rPr>
        <w:footnoteReference w:id="12"/>
      </w:r>
      <w:r w:rsidR="00784A0F">
        <w:rPr>
          <w:rFonts w:hint="cs"/>
          <w:rtl/>
        </w:rPr>
        <w:t>.</w:t>
      </w:r>
      <w:r w:rsidR="007F1421">
        <w:rPr>
          <w:rStyle w:val="FootnoteReference"/>
          <w:rtl/>
        </w:rPr>
        <w:footnoteReference w:id="13"/>
      </w:r>
    </w:p>
    <w:p w14:paraId="3747C7F4" w14:textId="6707F68A" w:rsidR="00E77550" w:rsidRDefault="00100877" w:rsidP="00AA482E">
      <w:pPr>
        <w:rPr>
          <w:sz w:val="34"/>
          <w:rtl/>
        </w:rPr>
      </w:pPr>
      <w:r>
        <w:rPr>
          <w:rFonts w:hint="cs"/>
          <w:sz w:val="34"/>
          <w:rtl/>
        </w:rPr>
        <w:t xml:space="preserve">این فرمایش به این معناست که «لا تصم فی السفر» در مقام توهم امر صادر شده </w:t>
      </w:r>
      <w:r w:rsidR="00D13E2B">
        <w:rPr>
          <w:rFonts w:hint="cs"/>
          <w:sz w:val="34"/>
          <w:rtl/>
        </w:rPr>
        <w:t xml:space="preserve">و </w:t>
      </w:r>
      <w:r>
        <w:rPr>
          <w:rFonts w:hint="cs"/>
          <w:sz w:val="34"/>
          <w:rtl/>
        </w:rPr>
        <w:t>ظهور در فساد صوم در سفر ندا</w:t>
      </w:r>
      <w:r w:rsidR="00D13E2B">
        <w:rPr>
          <w:rFonts w:hint="cs"/>
          <w:sz w:val="34"/>
          <w:rtl/>
        </w:rPr>
        <w:t>رد. همان گونه که در موارد حرج اگر خطاب شود «لا تصم فی حال الحرج» به معنای نفی وجوب است چرا که در مقام توهم وجوب بیان شده است. همچنین اگر توهم</w:t>
      </w:r>
      <w:r w:rsidR="00B25B22">
        <w:rPr>
          <w:rFonts w:hint="cs"/>
          <w:sz w:val="34"/>
          <w:rtl/>
        </w:rPr>
        <w:t xml:space="preserve"> امر</w:t>
      </w:r>
      <w:r w:rsidR="00D13E2B">
        <w:rPr>
          <w:rFonts w:hint="cs"/>
          <w:sz w:val="34"/>
          <w:rtl/>
        </w:rPr>
        <w:t xml:space="preserve"> استحباب</w:t>
      </w:r>
      <w:r w:rsidR="00B25B22">
        <w:rPr>
          <w:rFonts w:hint="cs"/>
          <w:sz w:val="34"/>
          <w:rtl/>
        </w:rPr>
        <w:t>ی</w:t>
      </w:r>
      <w:r w:rsidR="00D13E2B">
        <w:rPr>
          <w:rFonts w:hint="cs"/>
          <w:sz w:val="34"/>
          <w:rtl/>
        </w:rPr>
        <w:t xml:space="preserve"> باشد </w:t>
      </w:r>
      <w:r w:rsidR="00B25B22">
        <w:rPr>
          <w:rFonts w:hint="cs"/>
          <w:sz w:val="34"/>
          <w:rtl/>
        </w:rPr>
        <w:t xml:space="preserve">نهی </w:t>
      </w:r>
      <w:r w:rsidR="00D13E2B">
        <w:rPr>
          <w:rFonts w:hint="cs"/>
          <w:sz w:val="34"/>
          <w:rtl/>
        </w:rPr>
        <w:t xml:space="preserve">به معنای نفی امر استحبابی است. اما دلالت بر فساد </w:t>
      </w:r>
      <w:r w:rsidR="00C306BF">
        <w:rPr>
          <w:rFonts w:hint="cs"/>
          <w:sz w:val="34"/>
          <w:rtl/>
        </w:rPr>
        <w:t>نداشته و ممکن است استیفاء ملاک بشود کما اینکه مرحوم نائینی در موارد حرج فرموده است استیفاء ملاک می شود.</w:t>
      </w:r>
    </w:p>
    <w:p w14:paraId="29D93637" w14:textId="51A44DBF" w:rsidR="00153D17" w:rsidRDefault="00BB68EB" w:rsidP="00BB68EB">
      <w:pPr>
        <w:rPr>
          <w:sz w:val="34"/>
          <w:rtl/>
        </w:rPr>
      </w:pPr>
      <w:r>
        <w:rPr>
          <w:rFonts w:hint="cs"/>
          <w:sz w:val="34"/>
          <w:rtl/>
        </w:rPr>
        <w:t xml:space="preserve">انصاف این است که این مطلب صحیح نیست. ظاهر «لا تصم فی السفر» فساد روزه در سفر است نه اینکه صرفا امر نداشته و امکان اجزاء وجود داشته باشد. </w:t>
      </w:r>
      <w:r w:rsidR="00140080">
        <w:rPr>
          <w:rFonts w:hint="cs"/>
          <w:sz w:val="34"/>
          <w:rtl/>
        </w:rPr>
        <w:t xml:space="preserve">اگر «لا تصم فی السفر» </w:t>
      </w:r>
      <w:r w:rsidR="00913DB5">
        <w:rPr>
          <w:rFonts w:hint="cs"/>
          <w:sz w:val="34"/>
          <w:rtl/>
        </w:rPr>
        <w:t xml:space="preserve">در مقام توهم وجوب صوم در سفر صادر شود نفی صحت نمی کند. </w:t>
      </w:r>
      <w:r w:rsidR="00140080">
        <w:rPr>
          <w:rFonts w:hint="cs"/>
          <w:sz w:val="34"/>
          <w:rtl/>
        </w:rPr>
        <w:t xml:space="preserve">همچنین اگر در مقام توهم استحباب، نفی استحباب شود عرفا گفته می شود احتمال وفاء به ملاک وجود دارد و این ظهور در ارشاد به فساد ندارد. در حالی که «لا تصم فی السفر» ظاهر در ارشاد به فساد است؛ زیرا روزه در سفر فعلی نیست که ناشی از شهوت یا غضب باشد </w:t>
      </w:r>
      <w:r w:rsidR="007540EF">
        <w:rPr>
          <w:rFonts w:hint="cs"/>
          <w:sz w:val="34"/>
          <w:rtl/>
        </w:rPr>
        <w:t>و افراد</w:t>
      </w:r>
      <w:r w:rsidR="00140080">
        <w:rPr>
          <w:rFonts w:hint="cs"/>
          <w:sz w:val="34"/>
          <w:rtl/>
        </w:rPr>
        <w:t xml:space="preserve"> بدون وجود امر نیز روزه بگیرند. بلکه به جهت وجود امر اتیان می شود</w:t>
      </w:r>
      <w:r w:rsidR="001A32BD">
        <w:rPr>
          <w:rFonts w:hint="cs"/>
          <w:sz w:val="34"/>
          <w:rtl/>
        </w:rPr>
        <w:t>. به همین دلیل «لا تصم فی السفر» ظهور دارد در ارشاد به اینکه اثر متوقع از عبادت که امتثال امر است در اینجا وجود نداشته و صوم در سفر باطل است نه اینکه گناه باشد. اثر متوقع از عبادت امتثال امر است و در اینجا وجود ندارد. همین طور اثر متوقع از معامله نقل و انتقال است و «نهی النبی عن بیع الغرر»</w:t>
      </w:r>
      <w:r w:rsidR="001A32BD">
        <w:rPr>
          <w:rStyle w:val="FootnoteReference"/>
          <w:sz w:val="34"/>
          <w:rtl/>
        </w:rPr>
        <w:footnoteReference w:id="14"/>
      </w:r>
      <w:r w:rsidR="001A32BD">
        <w:rPr>
          <w:rFonts w:hint="cs"/>
          <w:sz w:val="34"/>
          <w:rtl/>
        </w:rPr>
        <w:t xml:space="preserve"> بیان می کند که آن اثر در اینجا وجود ندارد. والا این چنین نیست که </w:t>
      </w:r>
      <w:r w:rsidR="001A32BD">
        <w:rPr>
          <w:rFonts w:hint="cs"/>
          <w:sz w:val="34"/>
          <w:rtl/>
        </w:rPr>
        <w:lastRenderedPageBreak/>
        <w:t>کسی از روی شهوت و غضب ایجاب و قبول انجام دهد بلکه ایجاب و قبول برای حاصل شدن اثر نقل و انتقال انجام می شود. «نهی النبی عن بیع الغرر» بیان می کند که آن اثر حاصل ن</w:t>
      </w:r>
      <w:r w:rsidR="001517A1">
        <w:rPr>
          <w:rFonts w:hint="cs"/>
          <w:sz w:val="34"/>
          <w:rtl/>
        </w:rPr>
        <w:t>خواهد شد.</w:t>
      </w:r>
    </w:p>
    <w:p w14:paraId="72F94BBF" w14:textId="5761DF70" w:rsidR="00927E5C" w:rsidRDefault="00927E5C" w:rsidP="00927E5C">
      <w:pPr>
        <w:pStyle w:val="Heading2"/>
        <w:rPr>
          <w:rtl/>
        </w:rPr>
      </w:pPr>
      <w:bookmarkStart w:id="15" w:name="_Toc99291691"/>
      <w:bookmarkStart w:id="16" w:name="_Toc99291724"/>
      <w:r>
        <w:rPr>
          <w:rFonts w:hint="cs"/>
          <w:rtl/>
        </w:rPr>
        <w:t>وجه مخالفت عملی مشهور با قاعده ظهور نهی از عبادت و معامله در ارشادیت</w:t>
      </w:r>
      <w:bookmarkEnd w:id="15"/>
      <w:bookmarkEnd w:id="16"/>
    </w:p>
    <w:p w14:paraId="444EFADC" w14:textId="54B9B248" w:rsidR="00F17487" w:rsidRDefault="001517A1" w:rsidP="00BB68EB">
      <w:pPr>
        <w:rPr>
          <w:sz w:val="34"/>
          <w:rtl/>
        </w:rPr>
      </w:pPr>
      <w:r>
        <w:rPr>
          <w:rFonts w:hint="cs"/>
          <w:sz w:val="34"/>
          <w:rtl/>
        </w:rPr>
        <w:t xml:space="preserve">مشهور ظاهر نهی از فعلی در عبادت یا معامله </w:t>
      </w:r>
      <w:r w:rsidR="009D4816">
        <w:rPr>
          <w:rFonts w:hint="cs"/>
          <w:sz w:val="34"/>
          <w:rtl/>
        </w:rPr>
        <w:t xml:space="preserve">را ارشاد به مانعیت </w:t>
      </w:r>
      <w:r w:rsidR="00F46696">
        <w:rPr>
          <w:rFonts w:hint="cs"/>
          <w:sz w:val="34"/>
          <w:rtl/>
        </w:rPr>
        <w:t>دانسته اند. اما در بسیاری از موارد در فقه با این مبنا مخالفت کرده و قائل به حرمت تکلیفی شده اند</w:t>
      </w:r>
      <w:r w:rsidR="00F17487">
        <w:rPr>
          <w:rFonts w:hint="cs"/>
          <w:sz w:val="34"/>
          <w:rtl/>
        </w:rPr>
        <w:t>. به عنوان مثال</w:t>
      </w:r>
      <w:r w:rsidR="00B91561">
        <w:rPr>
          <w:rFonts w:hint="cs"/>
          <w:sz w:val="34"/>
          <w:rtl/>
        </w:rPr>
        <w:t xml:space="preserve"> می توان به این موارد اشاره کرد</w:t>
      </w:r>
      <w:r w:rsidR="00F17487">
        <w:rPr>
          <w:rFonts w:hint="cs"/>
          <w:sz w:val="34"/>
          <w:rtl/>
        </w:rPr>
        <w:t>:</w:t>
      </w:r>
    </w:p>
    <w:p w14:paraId="02CF2BB5" w14:textId="77777777" w:rsidR="00F17487" w:rsidRDefault="00F17487" w:rsidP="00BB68EB">
      <w:pPr>
        <w:rPr>
          <w:sz w:val="34"/>
          <w:rtl/>
        </w:rPr>
      </w:pPr>
      <w:r>
        <w:rPr>
          <w:rFonts w:hint="cs"/>
          <w:sz w:val="34"/>
          <w:rtl/>
        </w:rPr>
        <w:t xml:space="preserve">1. </w:t>
      </w:r>
      <w:r w:rsidR="00F46696">
        <w:rPr>
          <w:rFonts w:hint="cs"/>
          <w:sz w:val="34"/>
          <w:rtl/>
        </w:rPr>
        <w:t>قطع رأس و تنخیع ذبیحه قبل از زهوق روح</w:t>
      </w:r>
      <w:r>
        <w:rPr>
          <w:rFonts w:hint="cs"/>
          <w:sz w:val="34"/>
          <w:rtl/>
        </w:rPr>
        <w:t>:</w:t>
      </w:r>
      <w:r w:rsidR="003C2A38">
        <w:rPr>
          <w:rFonts w:hint="cs"/>
          <w:sz w:val="34"/>
          <w:rtl/>
        </w:rPr>
        <w:t xml:space="preserve"> طبق مبنا</w:t>
      </w:r>
      <w:r>
        <w:rPr>
          <w:rFonts w:hint="cs"/>
          <w:sz w:val="34"/>
          <w:rtl/>
        </w:rPr>
        <w:t>ی اصولی</w:t>
      </w:r>
      <w:r w:rsidR="003C2A38">
        <w:rPr>
          <w:rFonts w:hint="cs"/>
          <w:sz w:val="34"/>
          <w:rtl/>
        </w:rPr>
        <w:t xml:space="preserve"> </w:t>
      </w:r>
      <w:r w:rsidR="003C2A38" w:rsidRPr="005A41B5">
        <w:rPr>
          <w:rFonts w:hint="eastAsia"/>
          <w:color w:val="008000"/>
          <w:rtl/>
        </w:rPr>
        <w:t>«</w:t>
      </w:r>
      <w:r w:rsidR="003C2A38" w:rsidRPr="005A41B5">
        <w:rPr>
          <w:color w:val="008000"/>
          <w:rtl/>
        </w:rPr>
        <w:t>لَا تَنْخ</w:t>
      </w:r>
      <w:r w:rsidR="003C2A38">
        <w:rPr>
          <w:rFonts w:hint="cs"/>
          <w:color w:val="008000"/>
          <w:rtl/>
        </w:rPr>
        <w:t>ّ</w:t>
      </w:r>
      <w:r w:rsidR="003C2A38" w:rsidRPr="005A41B5">
        <w:rPr>
          <w:color w:val="008000"/>
          <w:rtl/>
        </w:rPr>
        <w:t>عِ الذَّبِ</w:t>
      </w:r>
      <w:r w:rsidR="003C2A38">
        <w:rPr>
          <w:color w:val="008000"/>
          <w:rtl/>
        </w:rPr>
        <w:t>ی</w:t>
      </w:r>
      <w:r w:rsidR="003C2A38" w:rsidRPr="005A41B5">
        <w:rPr>
          <w:color w:val="008000"/>
          <w:rtl/>
        </w:rPr>
        <w:t>حَة»</w:t>
      </w:r>
      <w:r w:rsidR="003C2A38">
        <w:rPr>
          <w:rStyle w:val="FootnoteReference"/>
          <w:color w:val="008000"/>
          <w:rtl/>
        </w:rPr>
        <w:footnoteReference w:id="15"/>
      </w:r>
      <w:r w:rsidR="00F46696">
        <w:rPr>
          <w:rFonts w:hint="cs"/>
          <w:sz w:val="34"/>
          <w:rtl/>
        </w:rPr>
        <w:t xml:space="preserve"> </w:t>
      </w:r>
      <w:r w:rsidR="003C2A38">
        <w:rPr>
          <w:rFonts w:hint="cs"/>
          <w:sz w:val="34"/>
          <w:rtl/>
        </w:rPr>
        <w:t>باید ظاهر در ارشاد به فساد و مانعیت باشد</w:t>
      </w:r>
      <w:r>
        <w:rPr>
          <w:rFonts w:hint="cs"/>
          <w:sz w:val="34"/>
          <w:rtl/>
        </w:rPr>
        <w:t>.</w:t>
      </w:r>
      <w:r w:rsidR="003C2A38">
        <w:rPr>
          <w:rFonts w:hint="cs"/>
          <w:sz w:val="34"/>
          <w:rtl/>
        </w:rPr>
        <w:t xml:space="preserve"> اما مشهور تنخیع ذبیحه قبل از زهاق روح را حرام تکلیفی شمرده اند. </w:t>
      </w:r>
    </w:p>
    <w:p w14:paraId="1903ECBD" w14:textId="32AFEA97" w:rsidR="00F17487" w:rsidRDefault="00F17487" w:rsidP="00F17487">
      <w:pPr>
        <w:rPr>
          <w:sz w:val="34"/>
          <w:rtl/>
        </w:rPr>
      </w:pPr>
      <w:r>
        <w:rPr>
          <w:rFonts w:hint="cs"/>
          <w:sz w:val="34"/>
          <w:rtl/>
        </w:rPr>
        <w:t xml:space="preserve">2. سجود سهو: </w:t>
      </w:r>
      <w:r w:rsidR="003C2A38">
        <w:rPr>
          <w:rFonts w:hint="cs"/>
          <w:sz w:val="34"/>
          <w:rtl/>
        </w:rPr>
        <w:t>مشهور گفته اند سجود سهو واجب تکلیفی است</w:t>
      </w:r>
      <w:r>
        <w:rPr>
          <w:rFonts w:hint="cs"/>
          <w:sz w:val="34"/>
          <w:rtl/>
        </w:rPr>
        <w:t xml:space="preserve"> و نپذیرفته اند که</w:t>
      </w:r>
      <w:r w:rsidR="00032E1D">
        <w:rPr>
          <w:rFonts w:hint="cs"/>
          <w:sz w:val="34"/>
          <w:rtl/>
        </w:rPr>
        <w:t xml:space="preserve"> </w:t>
      </w:r>
      <w:r w:rsidR="00032E1D" w:rsidRPr="00032E1D">
        <w:rPr>
          <w:rFonts w:hint="eastAsia"/>
          <w:color w:val="008000"/>
          <w:sz w:val="34"/>
          <w:rtl/>
        </w:rPr>
        <w:t>«</w:t>
      </w:r>
      <w:r w:rsidR="00032E1D" w:rsidRPr="00032E1D">
        <w:rPr>
          <w:color w:val="008000"/>
          <w:sz w:val="34"/>
          <w:rtl/>
        </w:rPr>
        <w:t>فَإِذَا فَرَغْتَ فَاسْجُدْ سَجْدَتَ</w:t>
      </w:r>
      <w:r w:rsidR="007F1421">
        <w:rPr>
          <w:color w:val="008000"/>
          <w:sz w:val="34"/>
          <w:rtl/>
        </w:rPr>
        <w:t>ی</w:t>
      </w:r>
      <w:r w:rsidR="00032E1D" w:rsidRPr="00032E1D">
        <w:rPr>
          <w:color w:val="008000"/>
          <w:sz w:val="34"/>
          <w:rtl/>
        </w:rPr>
        <w:t xml:space="preserve"> السَّهْوِ بَعْدَ التَّسْلِ</w:t>
      </w:r>
      <w:r w:rsidR="007F1421">
        <w:rPr>
          <w:color w:val="008000"/>
          <w:sz w:val="34"/>
          <w:rtl/>
        </w:rPr>
        <w:t>ی</w:t>
      </w:r>
      <w:r w:rsidR="00032E1D" w:rsidRPr="00032E1D">
        <w:rPr>
          <w:color w:val="008000"/>
          <w:sz w:val="34"/>
          <w:rtl/>
        </w:rPr>
        <w:t>م‏»</w:t>
      </w:r>
      <w:r w:rsidR="00032E1D">
        <w:rPr>
          <w:rStyle w:val="FootnoteReference"/>
          <w:color w:val="008000"/>
          <w:sz w:val="34"/>
          <w:rtl/>
        </w:rPr>
        <w:footnoteReference w:id="16"/>
      </w:r>
      <w:r w:rsidR="00032E1D">
        <w:rPr>
          <w:rFonts w:hint="cs"/>
          <w:sz w:val="34"/>
          <w:rtl/>
        </w:rPr>
        <w:t xml:space="preserve"> </w:t>
      </w:r>
      <w:r>
        <w:rPr>
          <w:rFonts w:hint="cs"/>
          <w:sz w:val="34"/>
          <w:rtl/>
        </w:rPr>
        <w:t>ظاهر در ارشاد به جزئیت باشد.</w:t>
      </w:r>
    </w:p>
    <w:p w14:paraId="57B85974" w14:textId="4C342B32" w:rsidR="00F17487" w:rsidRDefault="00F17487" w:rsidP="00F17487">
      <w:pPr>
        <w:rPr>
          <w:sz w:val="34"/>
          <w:rtl/>
        </w:rPr>
      </w:pPr>
      <w:r>
        <w:rPr>
          <w:rFonts w:hint="cs"/>
          <w:sz w:val="34"/>
          <w:rtl/>
        </w:rPr>
        <w:t xml:space="preserve">3. خروج متمتع از مکه بین عمره تمتع و حج: مشهور گفته اند این خروج حرام تکلیفی بوده و مبطل حج نیست. آقای زنجانی به مشهور اشکال کرده است که </w:t>
      </w:r>
      <w:r w:rsidRPr="00F17487">
        <w:rPr>
          <w:rFonts w:hint="eastAsia"/>
          <w:color w:val="008000"/>
          <w:sz w:val="34"/>
          <w:rtl/>
        </w:rPr>
        <w:t>«</w:t>
      </w:r>
      <w:r w:rsidRPr="00F17487">
        <w:rPr>
          <w:color w:val="008000"/>
          <w:sz w:val="34"/>
          <w:rtl/>
        </w:rPr>
        <w:t xml:space="preserve">لَمْ </w:t>
      </w:r>
      <w:r w:rsidR="007F1421">
        <w:rPr>
          <w:color w:val="008000"/>
          <w:sz w:val="34"/>
          <w:rtl/>
        </w:rPr>
        <w:t>یک</w:t>
      </w:r>
      <w:r w:rsidRPr="00F17487">
        <w:rPr>
          <w:color w:val="008000"/>
          <w:sz w:val="34"/>
          <w:rtl/>
        </w:rPr>
        <w:t xml:space="preserve">نْ لَهُ أَنْ </w:t>
      </w:r>
      <w:r w:rsidR="007F1421">
        <w:rPr>
          <w:color w:val="008000"/>
          <w:sz w:val="34"/>
          <w:rtl/>
        </w:rPr>
        <w:t>ی</w:t>
      </w:r>
      <w:r w:rsidRPr="00F17487">
        <w:rPr>
          <w:color w:val="008000"/>
          <w:sz w:val="34"/>
          <w:rtl/>
        </w:rPr>
        <w:t>خْرُجَ حَتَّ</w:t>
      </w:r>
      <w:r w:rsidR="007F1421">
        <w:rPr>
          <w:color w:val="008000"/>
          <w:sz w:val="34"/>
          <w:rtl/>
        </w:rPr>
        <w:t>ی</w:t>
      </w:r>
      <w:r w:rsidRPr="00F17487">
        <w:rPr>
          <w:color w:val="008000"/>
          <w:sz w:val="34"/>
          <w:rtl/>
        </w:rPr>
        <w:t xml:space="preserve"> </w:t>
      </w:r>
      <w:r w:rsidR="007F1421">
        <w:rPr>
          <w:color w:val="008000"/>
          <w:sz w:val="34"/>
          <w:rtl/>
        </w:rPr>
        <w:t>ی</w:t>
      </w:r>
      <w:r w:rsidRPr="00F17487">
        <w:rPr>
          <w:color w:val="008000"/>
          <w:sz w:val="34"/>
          <w:rtl/>
        </w:rPr>
        <w:t>قْضِ</w:t>
      </w:r>
      <w:r w:rsidR="007F1421">
        <w:rPr>
          <w:color w:val="008000"/>
          <w:sz w:val="34"/>
          <w:rtl/>
        </w:rPr>
        <w:t>ی</w:t>
      </w:r>
      <w:r w:rsidRPr="00F17487">
        <w:rPr>
          <w:color w:val="008000"/>
          <w:sz w:val="34"/>
          <w:rtl/>
        </w:rPr>
        <w:t xml:space="preserve"> الْحَج‏»</w:t>
      </w:r>
      <w:r>
        <w:rPr>
          <w:rStyle w:val="FootnoteReference"/>
          <w:color w:val="008000"/>
          <w:sz w:val="34"/>
          <w:rtl/>
        </w:rPr>
        <w:footnoteReference w:id="17"/>
      </w:r>
      <w:r>
        <w:rPr>
          <w:rFonts w:hint="cs"/>
          <w:sz w:val="34"/>
          <w:rtl/>
        </w:rPr>
        <w:t xml:space="preserve"> ارشاد به مانعیت خروج در اثناء حج تمتع </w:t>
      </w:r>
      <w:r w:rsidR="00B91561">
        <w:rPr>
          <w:rFonts w:hint="cs"/>
          <w:sz w:val="34"/>
          <w:rtl/>
        </w:rPr>
        <w:t xml:space="preserve">است </w:t>
      </w:r>
      <w:r w:rsidR="00D47585">
        <w:rPr>
          <w:rFonts w:hint="cs"/>
          <w:sz w:val="34"/>
          <w:rtl/>
        </w:rPr>
        <w:t>و بنابراین</w:t>
      </w:r>
      <w:r>
        <w:rPr>
          <w:rFonts w:hint="cs"/>
          <w:sz w:val="34"/>
          <w:rtl/>
        </w:rPr>
        <w:t xml:space="preserve"> در صورت خروج عمدی حتی در فرض بازگشت در همان ماه، حج باطل خواهد بود.</w:t>
      </w:r>
    </w:p>
    <w:p w14:paraId="377255C3" w14:textId="321E9DC5" w:rsidR="00B91561" w:rsidRDefault="00B91561" w:rsidP="00A40C79">
      <w:pPr>
        <w:rPr>
          <w:sz w:val="34"/>
          <w:rtl/>
        </w:rPr>
      </w:pPr>
      <w:r>
        <w:rPr>
          <w:rFonts w:hint="cs"/>
          <w:sz w:val="34"/>
          <w:rtl/>
        </w:rPr>
        <w:t>به نظر ما دلیل آن این است که نکته ظهور نهی از فعلی در عبادت یا معامله در ارشاد به مانعیت، عدم وجود نکته عرفی برای حرمت تکلیفی در آن است. به عنوان مثال عرف در «لا تقهقه فی الصلاة» نکته ای عرفی برای حرمت تکلیفی قهقهه در نماز نمی بیند. اگر واقعا نکته ای عرفی برای حرمت تکلیفی وجود داشته باشد نمی توان ارشاد به مانعیت را استظهار کرد.</w:t>
      </w:r>
      <w:r w:rsidR="00F368C1">
        <w:rPr>
          <w:rFonts w:hint="cs"/>
          <w:sz w:val="34"/>
          <w:rtl/>
        </w:rPr>
        <w:t xml:space="preserve"> در مثال «نهی النبی عن بیع الغرر» نکته ای عرفی </w:t>
      </w:r>
      <w:r w:rsidR="009C1184">
        <w:rPr>
          <w:rFonts w:hint="cs"/>
          <w:sz w:val="34"/>
          <w:rtl/>
        </w:rPr>
        <w:t xml:space="preserve">در ارتکاز عرف </w:t>
      </w:r>
      <w:r w:rsidR="00F368C1">
        <w:rPr>
          <w:rFonts w:hint="cs"/>
          <w:sz w:val="34"/>
          <w:rtl/>
        </w:rPr>
        <w:t>وجود ندارد بر اینکه در صورت عدم کیل و وزن در فروش مکیل و موزون حرام تکلیفی صورت می گیرد.</w:t>
      </w:r>
      <w:r w:rsidR="009C1184">
        <w:rPr>
          <w:rFonts w:hint="cs"/>
          <w:sz w:val="34"/>
          <w:rtl/>
        </w:rPr>
        <w:t xml:space="preserve"> اما در فرض وجود نکته ای عرفی برای تکلیفی بودن حکم نمی توان مانعیت را </w:t>
      </w:r>
      <w:r w:rsidR="009C1184">
        <w:rPr>
          <w:rFonts w:hint="cs"/>
          <w:sz w:val="34"/>
          <w:rtl/>
        </w:rPr>
        <w:lastRenderedPageBreak/>
        <w:t xml:space="preserve">استظهار کرد. نکته عرفی </w:t>
      </w:r>
      <w:r w:rsidR="005771E7">
        <w:rPr>
          <w:rFonts w:hint="cs"/>
          <w:sz w:val="34"/>
          <w:rtl/>
        </w:rPr>
        <w:t xml:space="preserve">حکم تکلیفی </w:t>
      </w:r>
      <w:r w:rsidR="009C1184">
        <w:rPr>
          <w:rFonts w:hint="cs"/>
          <w:sz w:val="34"/>
          <w:rtl/>
        </w:rPr>
        <w:t>در مثال «المتمتع لا یخرج من مکة حتی یقضی الحج» این است که متمتع محتبس</w:t>
      </w:r>
      <w:r w:rsidR="00C60E38">
        <w:rPr>
          <w:rStyle w:val="FootnoteReference"/>
          <w:sz w:val="34"/>
          <w:rtl/>
        </w:rPr>
        <w:footnoteReference w:id="18"/>
      </w:r>
      <w:r w:rsidR="005771E7">
        <w:rPr>
          <w:rFonts w:hint="cs"/>
          <w:sz w:val="34"/>
          <w:rtl/>
        </w:rPr>
        <w:t>، مشغول الذمه، رهین و مرتهن به حج است و خروج او از مکه حرام تکلیفی است.</w:t>
      </w:r>
      <w:r w:rsidR="000407B0">
        <w:rPr>
          <w:rFonts w:hint="cs"/>
          <w:sz w:val="34"/>
          <w:rtl/>
        </w:rPr>
        <w:t xml:space="preserve"> لذا مشهور استظهار مانعیت نکرده اند.</w:t>
      </w:r>
      <w:r w:rsidR="00C60E38">
        <w:rPr>
          <w:rFonts w:hint="cs"/>
          <w:sz w:val="34"/>
          <w:rtl/>
        </w:rPr>
        <w:t xml:space="preserve"> نکته عرفی تکلیفی بودن حکم در سجود سهو این است که ارغام انف شیطان صورت می گیرد</w:t>
      </w:r>
      <w:r w:rsidR="0088443F">
        <w:rPr>
          <w:rFonts w:hint="cs"/>
          <w:sz w:val="34"/>
          <w:rtl/>
        </w:rPr>
        <w:t>.</w:t>
      </w:r>
      <w:r w:rsidR="00C60E38">
        <w:rPr>
          <w:rFonts w:hint="cs"/>
          <w:sz w:val="34"/>
          <w:rtl/>
        </w:rPr>
        <w:t xml:space="preserve"> </w:t>
      </w:r>
      <w:r w:rsidR="00C60E38" w:rsidRPr="00C60E38">
        <w:rPr>
          <w:rFonts w:hint="eastAsia"/>
          <w:color w:val="008000"/>
          <w:sz w:val="34"/>
          <w:rtl/>
        </w:rPr>
        <w:t>«</w:t>
      </w:r>
      <w:r w:rsidR="00C60E38" w:rsidRPr="00C60E38">
        <w:rPr>
          <w:color w:val="008000"/>
          <w:sz w:val="34"/>
          <w:rtl/>
        </w:rPr>
        <w:t>وَ هُمَا الْمُرْغِمَتَانِ تُرْغِمَانِ الشَّ</w:t>
      </w:r>
      <w:r w:rsidR="007F1421">
        <w:rPr>
          <w:color w:val="008000"/>
          <w:sz w:val="34"/>
          <w:rtl/>
        </w:rPr>
        <w:t>ی</w:t>
      </w:r>
      <w:r w:rsidR="00C60E38" w:rsidRPr="00C60E38">
        <w:rPr>
          <w:color w:val="008000"/>
          <w:sz w:val="34"/>
          <w:rtl/>
        </w:rPr>
        <w:t>طَان‏»</w:t>
      </w:r>
      <w:r w:rsidR="00C60E38">
        <w:rPr>
          <w:rStyle w:val="FootnoteReference"/>
          <w:color w:val="008000"/>
          <w:sz w:val="34"/>
          <w:rtl/>
        </w:rPr>
        <w:footnoteReference w:id="19"/>
      </w:r>
      <w:r w:rsidR="0088443F">
        <w:rPr>
          <w:rFonts w:hint="cs"/>
          <w:sz w:val="34"/>
          <w:rtl/>
        </w:rPr>
        <w:t>؛</w:t>
      </w:r>
      <w:r w:rsidR="00C60E38">
        <w:rPr>
          <w:rFonts w:hint="cs"/>
          <w:sz w:val="34"/>
          <w:rtl/>
        </w:rPr>
        <w:t xml:space="preserve"> دلیل نامیده شده دو سجده سهو به «مرغمتین»، ارغام انف شیطان است که شخص را دچار فراموشی کرد.</w:t>
      </w:r>
      <w:r w:rsidR="00A40C79">
        <w:rPr>
          <w:rFonts w:hint="cs"/>
          <w:sz w:val="34"/>
          <w:rtl/>
        </w:rPr>
        <w:t xml:space="preserve"> اگر روایت نبود نیز نزد عرف این احتمال وجود داشت که سجده سهو به جهت ارغام انف شیطان باشد. بنابراین دلیل سجود سهو بر خلاف فرمایش مرحوم آقای روحانی ظهور در جزئیت ندارد. ایشان احتمال داده است که وجوب سجود سهو وجوب ضمنی باشد چرا که امر به فعلی در مرکب ظهور در ارشاد به جزئیت و نهی از فعلی در مرکب ظهور در ارشاد به مانعیت دارد. به نظر ما این ظهور قوی نیست. تنها در صورتی که نکته عرفی برای حکم تکلیفی وجود نداشته باشد ارشاد به مانعیت در نهی یا ارشاد به جزئیت در امر استظهار می شود.</w:t>
      </w:r>
    </w:p>
    <w:p w14:paraId="062A5700" w14:textId="102DEA1D" w:rsidR="00BB37CF" w:rsidRPr="00D91571" w:rsidRDefault="001E4430" w:rsidP="00D91571">
      <w:pPr>
        <w:rPr>
          <w:sz w:val="34"/>
          <w:rtl/>
        </w:rPr>
      </w:pPr>
      <w:r>
        <w:rPr>
          <w:rFonts w:hint="cs"/>
          <w:sz w:val="34"/>
          <w:rtl/>
        </w:rPr>
        <w:t xml:space="preserve">مسأله بعد فرض وجود شک در تکلیفی بودن یا ارشادی بودن است. </w:t>
      </w:r>
      <w:r w:rsidR="008E52B2">
        <w:rPr>
          <w:rFonts w:hint="cs"/>
          <w:sz w:val="34"/>
          <w:rtl/>
        </w:rPr>
        <w:t>به عنوان مثال</w:t>
      </w:r>
      <w:r>
        <w:rPr>
          <w:rFonts w:hint="cs"/>
          <w:sz w:val="34"/>
          <w:rtl/>
        </w:rPr>
        <w:t xml:space="preserve"> </w:t>
      </w:r>
      <w:r w:rsidR="00EE27C0">
        <w:rPr>
          <w:rFonts w:hint="cs"/>
          <w:sz w:val="34"/>
          <w:rtl/>
        </w:rPr>
        <w:t xml:space="preserve">در فرضی که </w:t>
      </w:r>
      <w:r>
        <w:rPr>
          <w:rFonts w:hint="cs"/>
          <w:sz w:val="34"/>
          <w:rtl/>
        </w:rPr>
        <w:t>در خطاب</w:t>
      </w:r>
      <w:r w:rsidR="008E52B2">
        <w:rPr>
          <w:rFonts w:hint="cs"/>
          <w:sz w:val="34"/>
          <w:rtl/>
        </w:rPr>
        <w:t xml:space="preserve"> </w:t>
      </w:r>
      <w:r w:rsidR="008E52B2" w:rsidRPr="005A41B5">
        <w:rPr>
          <w:rFonts w:hint="eastAsia"/>
          <w:color w:val="008000"/>
          <w:rtl/>
        </w:rPr>
        <w:t>«</w:t>
      </w:r>
      <w:r w:rsidR="008E52B2" w:rsidRPr="005A41B5">
        <w:rPr>
          <w:color w:val="008000"/>
          <w:rtl/>
        </w:rPr>
        <w:t>لَا تَنْخ</w:t>
      </w:r>
      <w:r w:rsidR="008E52B2">
        <w:rPr>
          <w:rFonts w:hint="cs"/>
          <w:color w:val="008000"/>
          <w:rtl/>
        </w:rPr>
        <w:t>ّ</w:t>
      </w:r>
      <w:r w:rsidR="008E52B2" w:rsidRPr="005A41B5">
        <w:rPr>
          <w:color w:val="008000"/>
          <w:rtl/>
        </w:rPr>
        <w:t>عِ الذَّبِ</w:t>
      </w:r>
      <w:r w:rsidR="008E52B2">
        <w:rPr>
          <w:color w:val="008000"/>
          <w:rtl/>
        </w:rPr>
        <w:t>ی</w:t>
      </w:r>
      <w:r w:rsidR="008E52B2" w:rsidRPr="005A41B5">
        <w:rPr>
          <w:color w:val="008000"/>
          <w:rtl/>
        </w:rPr>
        <w:t>حَة»</w:t>
      </w:r>
      <w:r w:rsidR="008E52B2">
        <w:rPr>
          <w:rFonts w:hint="cs"/>
          <w:sz w:val="34"/>
          <w:rtl/>
        </w:rPr>
        <w:t xml:space="preserve"> </w:t>
      </w:r>
      <w:r>
        <w:rPr>
          <w:rFonts w:hint="cs"/>
          <w:sz w:val="34"/>
          <w:rtl/>
        </w:rPr>
        <w:t xml:space="preserve">در </w:t>
      </w:r>
      <w:r w:rsidR="008E52B2">
        <w:rPr>
          <w:rFonts w:hint="cs"/>
          <w:sz w:val="34"/>
          <w:rtl/>
        </w:rPr>
        <w:t>ارشاد</w:t>
      </w:r>
      <w:r>
        <w:rPr>
          <w:rFonts w:hint="cs"/>
          <w:sz w:val="34"/>
          <w:rtl/>
        </w:rPr>
        <w:t xml:space="preserve"> بودن آن</w:t>
      </w:r>
      <w:r w:rsidR="008E52B2">
        <w:rPr>
          <w:rFonts w:hint="cs"/>
          <w:sz w:val="34"/>
          <w:rtl/>
        </w:rPr>
        <w:t xml:space="preserve"> به مانعیت یا حکم تکلیفی </w:t>
      </w:r>
      <w:r>
        <w:rPr>
          <w:rFonts w:hint="cs"/>
          <w:sz w:val="34"/>
          <w:rtl/>
        </w:rPr>
        <w:t>بودن شک وجود داشته باشد و یا در خطاب «لا تؤخر السعی الی غد»</w:t>
      </w:r>
      <w:r>
        <w:rPr>
          <w:rStyle w:val="FootnoteReference"/>
          <w:sz w:val="34"/>
          <w:rtl/>
        </w:rPr>
        <w:footnoteReference w:id="20"/>
      </w:r>
      <w:r>
        <w:rPr>
          <w:rFonts w:hint="cs"/>
          <w:sz w:val="34"/>
          <w:rtl/>
        </w:rPr>
        <w:t xml:space="preserve"> شک در تکلیفی بودن یعنی حرمت شرعی تأخیر سعی یا ارشادی بودن آن به مانعیت وجود داشته باشد</w:t>
      </w:r>
      <w:r w:rsidR="00EE27C0">
        <w:rPr>
          <w:rFonts w:hint="cs"/>
          <w:sz w:val="34"/>
          <w:rtl/>
        </w:rPr>
        <w:t>، مقتضای قاعده در جلسه آینده بررسی خواهد شد.</w:t>
      </w:r>
    </w:p>
    <w:sectPr w:rsidR="00BB37CF" w:rsidRPr="00D91571" w:rsidSect="00F91B85">
      <w:headerReference w:type="even" r:id="rId9"/>
      <w:headerReference w:type="default" r:id="rId10"/>
      <w:footerReference w:type="even" r:id="rId11"/>
      <w:footerReference w:type="default" r:id="rId12"/>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1F6F" w14:textId="77777777" w:rsidR="008473C6" w:rsidRDefault="008473C6" w:rsidP="008B750B">
      <w:pPr>
        <w:spacing w:line="240" w:lineRule="auto"/>
      </w:pPr>
      <w:r>
        <w:separator/>
      </w:r>
    </w:p>
    <w:p w14:paraId="7185A203" w14:textId="77777777" w:rsidR="008473C6" w:rsidRDefault="008473C6"/>
  </w:endnote>
  <w:endnote w:type="continuationSeparator" w:id="0">
    <w:p w14:paraId="1750BF76" w14:textId="77777777" w:rsidR="008473C6" w:rsidRDefault="008473C6" w:rsidP="008B750B">
      <w:pPr>
        <w:spacing w:line="240" w:lineRule="auto"/>
      </w:pPr>
      <w:r>
        <w:continuationSeparator/>
      </w:r>
    </w:p>
    <w:p w14:paraId="0FCDC86B" w14:textId="77777777" w:rsidR="008473C6" w:rsidRDefault="00847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panose1 w:val="00000500000000020004"/>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D397" w14:textId="77777777" w:rsidR="007F1421" w:rsidRDefault="007F1421">
    <w:pPr>
      <w:pStyle w:val="Footer"/>
    </w:pPr>
  </w:p>
  <w:p w14:paraId="07315181" w14:textId="77777777" w:rsidR="007F1421" w:rsidRDefault="007F14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0" w:type="auto"/>
      <w:tblLook w:val="04A0" w:firstRow="1" w:lastRow="0" w:firstColumn="1" w:lastColumn="0" w:noHBand="0" w:noVBand="1"/>
    </w:tblPr>
    <w:tblGrid>
      <w:gridCol w:w="3382"/>
      <w:gridCol w:w="2252"/>
      <w:gridCol w:w="4786"/>
    </w:tblGrid>
    <w:tr w:rsidR="007F1421" w:rsidRPr="006D44C1" w14:paraId="290E7479" w14:textId="77777777" w:rsidTr="0020241A">
      <w:tc>
        <w:tcPr>
          <w:tcW w:w="3382" w:type="dxa"/>
          <w:tcBorders>
            <w:top w:val="nil"/>
            <w:left w:val="nil"/>
            <w:bottom w:val="nil"/>
            <w:right w:val="nil"/>
          </w:tcBorders>
        </w:tcPr>
        <w:p w14:paraId="329531BF" w14:textId="77777777" w:rsidR="007F1421" w:rsidRDefault="007F1421" w:rsidP="00257650">
          <w:pPr>
            <w:pStyle w:val="Footer"/>
            <w:ind w:firstLine="0"/>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14:paraId="20A23F56" w14:textId="77777777" w:rsidR="007F1421" w:rsidRDefault="007F1421" w:rsidP="006D44C1">
          <w:pPr>
            <w:pStyle w:val="Footer"/>
            <w:jc w:val="right"/>
            <w:rPr>
              <w:rtl/>
            </w:rPr>
          </w:pPr>
          <w:r>
            <w:rPr>
              <w:rFonts w:hint="cs"/>
              <w:rtl/>
            </w:rPr>
            <w:t xml:space="preserve">صفحه </w:t>
          </w:r>
          <w:r>
            <w:fldChar w:fldCharType="begin"/>
          </w:r>
          <w:r>
            <w:instrText>PAGE   \* MERGEFORMAT</w:instrText>
          </w:r>
          <w:r>
            <w:fldChar w:fldCharType="separate"/>
          </w:r>
          <w:r w:rsidRPr="00203E9C">
            <w:rPr>
              <w:noProof/>
              <w:rtl/>
              <w:lang w:val="fa-IR"/>
            </w:rPr>
            <w:t>1</w:t>
          </w:r>
          <w:r>
            <w:rPr>
              <w:noProof/>
            </w:rPr>
            <w:fldChar w:fldCharType="end"/>
          </w:r>
        </w:p>
      </w:tc>
      <w:tc>
        <w:tcPr>
          <w:tcW w:w="4786" w:type="dxa"/>
          <w:tcBorders>
            <w:top w:val="nil"/>
            <w:left w:val="nil"/>
            <w:bottom w:val="nil"/>
            <w:right w:val="nil"/>
          </w:tcBorders>
          <w:vAlign w:val="center"/>
        </w:tcPr>
        <w:p w14:paraId="0B647CA5" w14:textId="77777777" w:rsidR="007F1421" w:rsidRPr="006D44C1" w:rsidRDefault="007F1421" w:rsidP="001B6799">
          <w:pPr>
            <w:pStyle w:val="Footer"/>
            <w:bidi w:val="0"/>
            <w:rPr>
              <w:color w:val="808080" w:themeColor="background1" w:themeShade="80"/>
              <w:rtl/>
            </w:rPr>
          </w:pPr>
          <w:bookmarkStart w:id="24" w:name="BokAdres"/>
          <w:bookmarkEnd w:id="24"/>
          <w:r>
            <w:rPr>
              <w:color w:val="808080" w:themeColor="background1" w:themeShade="80"/>
            </w:rPr>
            <w:t>U1ms4_14010106-110_am3_mfeb.ir</w:t>
          </w:r>
        </w:p>
      </w:tc>
    </w:tr>
  </w:tbl>
  <w:p w14:paraId="2A971814" w14:textId="77777777" w:rsidR="007F1421" w:rsidRDefault="007F1421" w:rsidP="00FA5F3D">
    <w:pPr>
      <w:pStyle w:val="Footer"/>
      <w:jc w:val="center"/>
    </w:pPr>
  </w:p>
  <w:p w14:paraId="0183941B" w14:textId="77777777" w:rsidR="007F1421" w:rsidRDefault="007F14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45922" w14:textId="77777777" w:rsidR="008473C6" w:rsidRDefault="008473C6" w:rsidP="008B750B">
      <w:pPr>
        <w:spacing w:line="240" w:lineRule="auto"/>
      </w:pPr>
      <w:r>
        <w:separator/>
      </w:r>
    </w:p>
    <w:p w14:paraId="2E6C4266" w14:textId="77777777" w:rsidR="008473C6" w:rsidRDefault="008473C6"/>
  </w:footnote>
  <w:footnote w:type="continuationSeparator" w:id="0">
    <w:p w14:paraId="3A5C2658" w14:textId="77777777" w:rsidR="008473C6" w:rsidRDefault="008473C6" w:rsidP="008B750B">
      <w:pPr>
        <w:spacing w:line="240" w:lineRule="auto"/>
      </w:pPr>
      <w:r>
        <w:continuationSeparator/>
      </w:r>
    </w:p>
    <w:p w14:paraId="7C37DA94" w14:textId="77777777" w:rsidR="008473C6" w:rsidRDefault="008473C6"/>
  </w:footnote>
  <w:footnote w:id="1">
    <w:p w14:paraId="7C90E359" w14:textId="7E98C6B1" w:rsidR="007F1421" w:rsidRPr="00D91215" w:rsidRDefault="00BD3139" w:rsidP="00D91215">
      <w:pPr>
        <w:pStyle w:val="FootnoteText"/>
        <w:rPr>
          <w:rFonts w:hint="cs"/>
        </w:rPr>
      </w:pPr>
      <w:r w:rsidRPr="00BD3139">
        <w:footnoteRef/>
      </w:r>
      <w:r>
        <w:rPr>
          <w:rtl/>
        </w:rPr>
        <w:t>.</w:t>
      </w:r>
      <w:r w:rsidR="007F1421" w:rsidRPr="00D91215">
        <w:rPr>
          <w:rtl/>
        </w:rPr>
        <w:t xml:space="preserve"> </w:t>
      </w:r>
      <w:hyperlink r:id="rId1" w:history="1">
        <w:r w:rsidR="007F1421" w:rsidRPr="00D91215">
          <w:rPr>
            <w:rStyle w:val="Hyperlink"/>
            <w:rtl/>
          </w:rPr>
          <w:t>وسائل الش</w:t>
        </w:r>
        <w:r w:rsidR="007F1421" w:rsidRPr="00D91215">
          <w:rPr>
            <w:rStyle w:val="Hyperlink"/>
            <w:rFonts w:hint="cs"/>
            <w:rtl/>
          </w:rPr>
          <w:t>ی</w:t>
        </w:r>
        <w:r w:rsidR="007F1421" w:rsidRPr="00D91215">
          <w:rPr>
            <w:rStyle w:val="Hyperlink"/>
            <w:rFonts w:hint="eastAsia"/>
            <w:rtl/>
          </w:rPr>
          <w:t>عة،</w:t>
        </w:r>
        <w:r w:rsidR="007F1421" w:rsidRPr="00D91215">
          <w:rPr>
            <w:rStyle w:val="Hyperlink"/>
            <w:rtl/>
          </w:rPr>
          <w:t xml:space="preserve"> الش</w:t>
        </w:r>
        <w:r w:rsidR="007F1421" w:rsidRPr="00D91215">
          <w:rPr>
            <w:rStyle w:val="Hyperlink"/>
            <w:rFonts w:hint="cs"/>
            <w:rtl/>
          </w:rPr>
          <w:t>ی</w:t>
        </w:r>
        <w:r w:rsidR="007F1421" w:rsidRPr="00D91215">
          <w:rPr>
            <w:rStyle w:val="Hyperlink"/>
            <w:rFonts w:hint="eastAsia"/>
            <w:rtl/>
          </w:rPr>
          <w:t>خ</w:t>
        </w:r>
        <w:r w:rsidR="007F1421" w:rsidRPr="00D91215">
          <w:rPr>
            <w:rStyle w:val="Hyperlink"/>
            <w:rtl/>
          </w:rPr>
          <w:t xml:space="preserve"> الحر العاملي، ج10، ص26، أبواب وجوب الصوم و نيته، باب6، ح3، ط آل البيت.</w:t>
        </w:r>
      </w:hyperlink>
    </w:p>
  </w:footnote>
  <w:footnote w:id="2">
    <w:p w14:paraId="67E3F726" w14:textId="42B7910F" w:rsidR="007F1421" w:rsidRPr="00D91215" w:rsidRDefault="00BD3139" w:rsidP="00D91215">
      <w:pPr>
        <w:pStyle w:val="FootnoteText"/>
        <w:rPr>
          <w:rFonts w:hint="cs"/>
        </w:rPr>
      </w:pPr>
      <w:r w:rsidRPr="00BD3139">
        <w:footnoteRef/>
      </w:r>
      <w:r>
        <w:rPr>
          <w:rtl/>
        </w:rPr>
        <w:t>.</w:t>
      </w:r>
      <w:r w:rsidR="007F1421" w:rsidRPr="00D91215">
        <w:rPr>
          <w:rtl/>
        </w:rPr>
        <w:t xml:space="preserve"> </w:t>
      </w:r>
      <w:hyperlink r:id="rId2" w:history="1">
        <w:r w:rsidR="007F1421" w:rsidRPr="00D91215">
          <w:rPr>
            <w:rStyle w:val="Hyperlink"/>
            <w:rFonts w:hint="eastAsia"/>
            <w:rtl/>
          </w:rPr>
          <w:t>وسائل</w:t>
        </w:r>
        <w:r w:rsidR="007F1421" w:rsidRPr="00D91215">
          <w:rPr>
            <w:rStyle w:val="Hyperlink"/>
            <w:rtl/>
          </w:rPr>
          <w:t xml:space="preserve"> الش</w:t>
        </w:r>
        <w:r w:rsidR="007F1421" w:rsidRPr="00D91215">
          <w:rPr>
            <w:rStyle w:val="Hyperlink"/>
            <w:rFonts w:hint="cs"/>
            <w:rtl/>
          </w:rPr>
          <w:t>ی</w:t>
        </w:r>
        <w:r w:rsidR="007F1421" w:rsidRPr="00D91215">
          <w:rPr>
            <w:rStyle w:val="Hyperlink"/>
            <w:rFonts w:hint="eastAsia"/>
            <w:rtl/>
          </w:rPr>
          <w:t>عة،</w:t>
        </w:r>
        <w:r w:rsidR="007F1421" w:rsidRPr="00D91215">
          <w:rPr>
            <w:rStyle w:val="Hyperlink"/>
            <w:rtl/>
          </w:rPr>
          <w:t xml:space="preserve"> الش</w:t>
        </w:r>
        <w:r w:rsidR="007F1421" w:rsidRPr="00D91215">
          <w:rPr>
            <w:rStyle w:val="Hyperlink"/>
            <w:rFonts w:hint="cs"/>
            <w:rtl/>
          </w:rPr>
          <w:t>ی</w:t>
        </w:r>
        <w:r w:rsidR="007F1421" w:rsidRPr="00D91215">
          <w:rPr>
            <w:rStyle w:val="Hyperlink"/>
            <w:rFonts w:hint="eastAsia"/>
            <w:rtl/>
          </w:rPr>
          <w:t>خ</w:t>
        </w:r>
        <w:r w:rsidR="007F1421" w:rsidRPr="00D91215">
          <w:rPr>
            <w:rStyle w:val="Hyperlink"/>
            <w:rtl/>
          </w:rPr>
          <w:t xml:space="preserve"> الحر العاملي، ج10، ص199، أبواب من </w:t>
        </w:r>
        <w:r w:rsidR="007F1421" w:rsidRPr="00D91215">
          <w:rPr>
            <w:rStyle w:val="Hyperlink"/>
            <w:rFonts w:hint="cs"/>
            <w:rtl/>
          </w:rPr>
          <w:t>ی</w:t>
        </w:r>
        <w:r w:rsidR="007F1421" w:rsidRPr="00D91215">
          <w:rPr>
            <w:rStyle w:val="Hyperlink"/>
            <w:rFonts w:hint="eastAsia"/>
            <w:rtl/>
          </w:rPr>
          <w:t>صح</w:t>
        </w:r>
        <w:r w:rsidR="007F1421" w:rsidRPr="00D91215">
          <w:rPr>
            <w:rStyle w:val="Hyperlink"/>
            <w:rtl/>
          </w:rPr>
          <w:t xml:space="preserve"> منه الصوم، باب10، ح8، ط آل البيت.</w:t>
        </w:r>
      </w:hyperlink>
    </w:p>
  </w:footnote>
  <w:footnote w:id="3">
    <w:p w14:paraId="0C08D0FE" w14:textId="43780211" w:rsidR="007F1421" w:rsidRPr="00D91215" w:rsidRDefault="00BD3139" w:rsidP="00D91215">
      <w:pPr>
        <w:pStyle w:val="FootnoteText"/>
        <w:rPr>
          <w:rFonts w:hint="cs"/>
        </w:rPr>
      </w:pPr>
      <w:r w:rsidRPr="00BD3139">
        <w:footnoteRef/>
      </w:r>
      <w:r>
        <w:rPr>
          <w:rtl/>
        </w:rPr>
        <w:t>.</w:t>
      </w:r>
      <w:r w:rsidR="007F1421" w:rsidRPr="00D91215">
        <w:rPr>
          <w:rtl/>
        </w:rPr>
        <w:t xml:space="preserve"> </w:t>
      </w:r>
      <w:hyperlink r:id="rId3" w:history="1">
        <w:r w:rsidR="007F1421" w:rsidRPr="00D91215">
          <w:rPr>
            <w:rStyle w:val="Hyperlink"/>
            <w:rtl/>
          </w:rPr>
          <w:t>وسائل الش</w:t>
        </w:r>
        <w:r w:rsidR="007F1421" w:rsidRPr="00D91215">
          <w:rPr>
            <w:rStyle w:val="Hyperlink"/>
            <w:rFonts w:hint="cs"/>
            <w:rtl/>
          </w:rPr>
          <w:t>ی</w:t>
        </w:r>
        <w:r w:rsidR="007F1421" w:rsidRPr="00D91215">
          <w:rPr>
            <w:rStyle w:val="Hyperlink"/>
            <w:rFonts w:hint="eastAsia"/>
            <w:rtl/>
          </w:rPr>
          <w:t>عة،</w:t>
        </w:r>
        <w:r w:rsidR="007F1421" w:rsidRPr="00D91215">
          <w:rPr>
            <w:rStyle w:val="Hyperlink"/>
            <w:rtl/>
          </w:rPr>
          <w:t xml:space="preserve"> الش</w:t>
        </w:r>
        <w:r w:rsidR="007F1421" w:rsidRPr="00D91215">
          <w:rPr>
            <w:rStyle w:val="Hyperlink"/>
            <w:rFonts w:hint="cs"/>
            <w:rtl/>
          </w:rPr>
          <w:t>ی</w:t>
        </w:r>
        <w:r w:rsidR="007F1421" w:rsidRPr="00D91215">
          <w:rPr>
            <w:rStyle w:val="Hyperlink"/>
            <w:rFonts w:hint="eastAsia"/>
            <w:rtl/>
          </w:rPr>
          <w:t>خ</w:t>
        </w:r>
        <w:r w:rsidR="007F1421" w:rsidRPr="00D91215">
          <w:rPr>
            <w:rStyle w:val="Hyperlink"/>
            <w:rtl/>
          </w:rPr>
          <w:t xml:space="preserve"> الحر العاملي، ج10، ص174، أبواب من </w:t>
        </w:r>
        <w:r w:rsidR="007F1421" w:rsidRPr="00D91215">
          <w:rPr>
            <w:rStyle w:val="Hyperlink"/>
            <w:rFonts w:hint="cs"/>
            <w:rtl/>
          </w:rPr>
          <w:t>ی</w:t>
        </w:r>
        <w:r w:rsidR="007F1421" w:rsidRPr="00D91215">
          <w:rPr>
            <w:rStyle w:val="Hyperlink"/>
            <w:rFonts w:hint="eastAsia"/>
            <w:rtl/>
          </w:rPr>
          <w:t>صح</w:t>
        </w:r>
        <w:r w:rsidR="007F1421" w:rsidRPr="00D91215">
          <w:rPr>
            <w:rStyle w:val="Hyperlink"/>
            <w:rtl/>
          </w:rPr>
          <w:t xml:space="preserve"> منه الصوم، باب1، ح3، ط آل البيت.</w:t>
        </w:r>
      </w:hyperlink>
    </w:p>
  </w:footnote>
  <w:footnote w:id="4">
    <w:p w14:paraId="6BB2146B" w14:textId="4828DB25" w:rsidR="00DF5EA6" w:rsidRPr="00DF5EA6" w:rsidRDefault="00BD3139" w:rsidP="00DF5EA6">
      <w:pPr>
        <w:pStyle w:val="FootnoteText"/>
        <w:rPr>
          <w:rFonts w:hint="cs"/>
        </w:rPr>
      </w:pPr>
      <w:r w:rsidRPr="00BD3139">
        <w:footnoteRef/>
      </w:r>
      <w:r>
        <w:rPr>
          <w:rtl/>
        </w:rPr>
        <w:t>.</w:t>
      </w:r>
      <w:r w:rsidR="00DF5EA6" w:rsidRPr="00DF5EA6">
        <w:rPr>
          <w:rtl/>
        </w:rPr>
        <w:t xml:space="preserve"> </w:t>
      </w:r>
      <w:hyperlink r:id="rId4" w:history="1">
        <w:r w:rsidR="00DF5EA6" w:rsidRPr="00DF5EA6">
          <w:rPr>
            <w:rStyle w:val="Hyperlink"/>
            <w:rtl/>
          </w:rPr>
          <w:t>منتق</w:t>
        </w:r>
        <w:r w:rsidR="00DF5EA6" w:rsidRPr="00DF5EA6">
          <w:rPr>
            <w:rStyle w:val="Hyperlink"/>
            <w:rFonts w:hint="cs"/>
            <w:rtl/>
          </w:rPr>
          <w:t>ی</w:t>
        </w:r>
        <w:r w:rsidR="00DF5EA6" w:rsidRPr="00DF5EA6">
          <w:rPr>
            <w:rStyle w:val="Hyperlink"/>
            <w:rtl/>
          </w:rPr>
          <w:t xml:space="preserve"> الاصول، س</w:t>
        </w:r>
        <w:r w:rsidR="00DF5EA6" w:rsidRPr="00DF5EA6">
          <w:rPr>
            <w:rStyle w:val="Hyperlink"/>
            <w:rFonts w:hint="cs"/>
            <w:rtl/>
          </w:rPr>
          <w:t>ی</w:t>
        </w:r>
        <w:r w:rsidR="00DF5EA6" w:rsidRPr="00DF5EA6">
          <w:rPr>
            <w:rStyle w:val="Hyperlink"/>
            <w:rFonts w:hint="eastAsia"/>
            <w:rtl/>
          </w:rPr>
          <w:t>د</w:t>
        </w:r>
        <w:r w:rsidR="00DF5EA6" w:rsidRPr="00DF5EA6">
          <w:rPr>
            <w:rStyle w:val="Hyperlink"/>
            <w:rtl/>
          </w:rPr>
          <w:t xml:space="preserve"> محمد حس</w:t>
        </w:r>
        <w:r w:rsidR="00DF5EA6" w:rsidRPr="00DF5EA6">
          <w:rPr>
            <w:rStyle w:val="Hyperlink"/>
            <w:rFonts w:hint="cs"/>
            <w:rtl/>
          </w:rPr>
          <w:t>ی</w:t>
        </w:r>
        <w:r w:rsidR="00DF5EA6" w:rsidRPr="00DF5EA6">
          <w:rPr>
            <w:rStyle w:val="Hyperlink"/>
            <w:rFonts w:hint="eastAsia"/>
            <w:rtl/>
          </w:rPr>
          <w:t>ن</w:t>
        </w:r>
        <w:r w:rsidR="00DF5EA6" w:rsidRPr="00DF5EA6">
          <w:rPr>
            <w:rStyle w:val="Hyperlink"/>
            <w:rFonts w:hint="cs"/>
            <w:rtl/>
          </w:rPr>
          <w:t>ی</w:t>
        </w:r>
        <w:r w:rsidR="00DF5EA6" w:rsidRPr="00DF5EA6">
          <w:rPr>
            <w:rStyle w:val="Hyperlink"/>
            <w:rtl/>
          </w:rPr>
          <w:t xml:space="preserve"> روحان</w:t>
        </w:r>
        <w:r w:rsidR="00DF5EA6" w:rsidRPr="00DF5EA6">
          <w:rPr>
            <w:rStyle w:val="Hyperlink"/>
            <w:rFonts w:hint="cs"/>
            <w:rtl/>
          </w:rPr>
          <w:t>ی</w:t>
        </w:r>
        <w:r w:rsidR="00DF5EA6" w:rsidRPr="00DF5EA6">
          <w:rPr>
            <w:rStyle w:val="Hyperlink"/>
            <w:rFonts w:hint="eastAsia"/>
            <w:rtl/>
          </w:rPr>
          <w:t>،</w:t>
        </w:r>
        <w:r w:rsidR="00DF5EA6" w:rsidRPr="00DF5EA6">
          <w:rPr>
            <w:rStyle w:val="Hyperlink"/>
            <w:rtl/>
          </w:rPr>
          <w:t xml:space="preserve"> ج5، ص276</w:t>
        </w:r>
        <w:r w:rsidR="00DF5EA6" w:rsidRPr="00DF5EA6">
          <w:rPr>
            <w:rStyle w:val="Hyperlink"/>
          </w:rPr>
          <w:t>.</w:t>
        </w:r>
      </w:hyperlink>
    </w:p>
  </w:footnote>
  <w:footnote w:id="5">
    <w:p w14:paraId="1344137E" w14:textId="7014A5C4" w:rsidR="00DF5EA6" w:rsidRPr="00DF5EA6" w:rsidRDefault="00BD3139" w:rsidP="00DF5EA6">
      <w:pPr>
        <w:pStyle w:val="FootnoteText"/>
        <w:rPr>
          <w:rFonts w:hint="cs"/>
        </w:rPr>
      </w:pPr>
      <w:r w:rsidRPr="00BD3139">
        <w:footnoteRef/>
      </w:r>
      <w:r>
        <w:rPr>
          <w:rtl/>
        </w:rPr>
        <w:t>.</w:t>
      </w:r>
      <w:r w:rsidR="00DF5EA6" w:rsidRPr="00DF5EA6">
        <w:rPr>
          <w:rtl/>
        </w:rPr>
        <w:t xml:space="preserve"> </w:t>
      </w:r>
      <w:hyperlink r:id="rId5" w:history="1">
        <w:r w:rsidR="00DF5EA6" w:rsidRPr="00DF5EA6">
          <w:rPr>
            <w:rStyle w:val="Hyperlink"/>
            <w:rFonts w:hint="eastAsia"/>
            <w:rtl/>
          </w:rPr>
          <w:t>تهذ</w:t>
        </w:r>
        <w:r w:rsidR="00DF5EA6" w:rsidRPr="00DF5EA6">
          <w:rPr>
            <w:rStyle w:val="Hyperlink"/>
            <w:rFonts w:hint="cs"/>
            <w:rtl/>
          </w:rPr>
          <w:t>ی</w:t>
        </w:r>
        <w:r w:rsidR="00DF5EA6" w:rsidRPr="00DF5EA6">
          <w:rPr>
            <w:rStyle w:val="Hyperlink"/>
            <w:rFonts w:hint="eastAsia"/>
            <w:rtl/>
          </w:rPr>
          <w:t>ب</w:t>
        </w:r>
        <w:r w:rsidR="00DF5EA6" w:rsidRPr="00DF5EA6">
          <w:rPr>
            <w:rStyle w:val="Hyperlink"/>
            <w:rtl/>
          </w:rPr>
          <w:t xml:space="preserve"> الاحکام، ش</w:t>
        </w:r>
        <w:r w:rsidR="00DF5EA6" w:rsidRPr="00DF5EA6">
          <w:rPr>
            <w:rStyle w:val="Hyperlink"/>
            <w:rFonts w:hint="cs"/>
            <w:rtl/>
          </w:rPr>
          <w:t>ی</w:t>
        </w:r>
        <w:r w:rsidR="00DF5EA6" w:rsidRPr="00DF5EA6">
          <w:rPr>
            <w:rStyle w:val="Hyperlink"/>
            <w:rFonts w:hint="eastAsia"/>
            <w:rtl/>
          </w:rPr>
          <w:t>خ</w:t>
        </w:r>
        <w:r w:rsidR="00DF5EA6" w:rsidRPr="00DF5EA6">
          <w:rPr>
            <w:rStyle w:val="Hyperlink"/>
            <w:rtl/>
          </w:rPr>
          <w:t xml:space="preserve"> طوس</w:t>
        </w:r>
        <w:r w:rsidR="00DF5EA6" w:rsidRPr="00DF5EA6">
          <w:rPr>
            <w:rStyle w:val="Hyperlink"/>
            <w:rFonts w:hint="cs"/>
            <w:rtl/>
          </w:rPr>
          <w:t>ی</w:t>
        </w:r>
        <w:r w:rsidR="00DF5EA6" w:rsidRPr="00DF5EA6">
          <w:rPr>
            <w:rStyle w:val="Hyperlink"/>
            <w:rFonts w:hint="eastAsia"/>
            <w:rtl/>
          </w:rPr>
          <w:t>،</w:t>
        </w:r>
        <w:r w:rsidR="00DF5EA6" w:rsidRPr="00DF5EA6">
          <w:rPr>
            <w:rStyle w:val="Hyperlink"/>
            <w:rtl/>
          </w:rPr>
          <w:t xml:space="preserve"> ج3، ص69.</w:t>
        </w:r>
      </w:hyperlink>
    </w:p>
  </w:footnote>
  <w:footnote w:id="6">
    <w:p w14:paraId="316A5FA3" w14:textId="46E50900" w:rsidR="007F1421" w:rsidRDefault="00BD3139" w:rsidP="007F1421">
      <w:pPr>
        <w:pStyle w:val="FootnoteText"/>
        <w:rPr>
          <w:rFonts w:hint="cs"/>
        </w:rPr>
      </w:pPr>
      <w:r w:rsidRPr="00BD3139">
        <w:rPr>
          <w:rStyle w:val="FootnoteReference"/>
          <w:vertAlign w:val="baseline"/>
        </w:rPr>
        <w:footnoteRef/>
      </w:r>
      <w:r>
        <w:rPr>
          <w:rStyle w:val="FootnoteReference"/>
          <w:vertAlign w:val="baseline"/>
          <w:rtl/>
        </w:rPr>
        <w:t>.</w:t>
      </w:r>
      <w:r w:rsidR="007F1421">
        <w:rPr>
          <w:rtl/>
        </w:rPr>
        <w:t xml:space="preserve"> </w:t>
      </w:r>
      <w:hyperlink r:id="rId6" w:history="1">
        <w:r w:rsidR="007F1421" w:rsidRPr="007F1421">
          <w:rPr>
            <w:rStyle w:val="Hyperlink"/>
            <w:rFonts w:hint="eastAsia"/>
            <w:rtl/>
          </w:rPr>
          <w:t>وسائل</w:t>
        </w:r>
        <w:r w:rsidR="007F1421" w:rsidRPr="007F1421">
          <w:rPr>
            <w:rStyle w:val="Hyperlink"/>
            <w:rtl/>
          </w:rPr>
          <w:t xml:space="preserve"> الش</w:t>
        </w:r>
        <w:r w:rsidR="007F1421" w:rsidRPr="007F1421">
          <w:rPr>
            <w:rStyle w:val="Hyperlink"/>
            <w:rFonts w:hint="cs"/>
            <w:rtl/>
          </w:rPr>
          <w:t>ی</w:t>
        </w:r>
        <w:r w:rsidR="007F1421" w:rsidRPr="007F1421">
          <w:rPr>
            <w:rStyle w:val="Hyperlink"/>
            <w:rFonts w:hint="eastAsia"/>
            <w:rtl/>
          </w:rPr>
          <w:t>عة،</w:t>
        </w:r>
        <w:r w:rsidR="007F1421" w:rsidRPr="007F1421">
          <w:rPr>
            <w:rStyle w:val="Hyperlink"/>
            <w:rtl/>
          </w:rPr>
          <w:t xml:space="preserve"> الش</w:t>
        </w:r>
        <w:r w:rsidR="007F1421" w:rsidRPr="007F1421">
          <w:rPr>
            <w:rStyle w:val="Hyperlink"/>
            <w:rFonts w:hint="cs"/>
            <w:rtl/>
          </w:rPr>
          <w:t>ی</w:t>
        </w:r>
        <w:r w:rsidR="007F1421" w:rsidRPr="007F1421">
          <w:rPr>
            <w:rStyle w:val="Hyperlink"/>
            <w:rFonts w:hint="eastAsia"/>
            <w:rtl/>
          </w:rPr>
          <w:t>خ</w:t>
        </w:r>
        <w:r w:rsidR="007F1421" w:rsidRPr="007F1421">
          <w:rPr>
            <w:rStyle w:val="Hyperlink"/>
            <w:rtl/>
          </w:rPr>
          <w:t xml:space="preserve"> الحر العاملي، ج27، ص24، أبواب صفات القاض</w:t>
        </w:r>
        <w:r w:rsidR="007F1421" w:rsidRPr="007F1421">
          <w:rPr>
            <w:rStyle w:val="Hyperlink"/>
            <w:rFonts w:hint="cs"/>
            <w:rtl/>
          </w:rPr>
          <w:t>ی</w:t>
        </w:r>
        <w:r w:rsidR="007F1421" w:rsidRPr="007F1421">
          <w:rPr>
            <w:rStyle w:val="Hyperlink"/>
            <w:rtl/>
          </w:rPr>
          <w:t xml:space="preserve"> و ما </w:t>
        </w:r>
        <w:r w:rsidR="007F1421" w:rsidRPr="007F1421">
          <w:rPr>
            <w:rStyle w:val="Hyperlink"/>
            <w:rFonts w:hint="cs"/>
            <w:rtl/>
          </w:rPr>
          <w:t>ی</w:t>
        </w:r>
        <w:r w:rsidR="007F1421" w:rsidRPr="007F1421">
          <w:rPr>
            <w:rStyle w:val="Hyperlink"/>
            <w:rFonts w:hint="eastAsia"/>
            <w:rtl/>
          </w:rPr>
          <w:t>جوز</w:t>
        </w:r>
        <w:r w:rsidR="007F1421" w:rsidRPr="007F1421">
          <w:rPr>
            <w:rStyle w:val="Hyperlink"/>
            <w:rtl/>
          </w:rPr>
          <w:t xml:space="preserve"> أن </w:t>
        </w:r>
        <w:r w:rsidR="007F1421" w:rsidRPr="007F1421">
          <w:rPr>
            <w:rStyle w:val="Hyperlink"/>
            <w:rFonts w:hint="cs"/>
            <w:rtl/>
          </w:rPr>
          <w:t>ی</w:t>
        </w:r>
        <w:r w:rsidR="007F1421" w:rsidRPr="007F1421">
          <w:rPr>
            <w:rStyle w:val="Hyperlink"/>
            <w:rFonts w:hint="eastAsia"/>
            <w:rtl/>
          </w:rPr>
          <w:t>قض</w:t>
        </w:r>
        <w:r w:rsidR="007F1421" w:rsidRPr="007F1421">
          <w:rPr>
            <w:rStyle w:val="Hyperlink"/>
            <w:rFonts w:hint="cs"/>
            <w:rtl/>
          </w:rPr>
          <w:t>ی</w:t>
        </w:r>
        <w:r w:rsidR="007F1421" w:rsidRPr="007F1421">
          <w:rPr>
            <w:rStyle w:val="Hyperlink"/>
            <w:rtl/>
          </w:rPr>
          <w:t xml:space="preserve"> به، باب4، ح10، ط آل البيت.</w:t>
        </w:r>
      </w:hyperlink>
    </w:p>
  </w:footnote>
  <w:footnote w:id="7">
    <w:p w14:paraId="204CA50F" w14:textId="24CA4081" w:rsidR="007F1421" w:rsidRDefault="00BD3139" w:rsidP="007F1421">
      <w:pPr>
        <w:pStyle w:val="FootnoteText"/>
        <w:rPr>
          <w:rFonts w:hint="cs"/>
        </w:rPr>
      </w:pPr>
      <w:r w:rsidRPr="00BD3139">
        <w:rPr>
          <w:rStyle w:val="FootnoteReference"/>
          <w:vertAlign w:val="baseline"/>
        </w:rPr>
        <w:footnoteRef/>
      </w:r>
      <w:r>
        <w:rPr>
          <w:rStyle w:val="FootnoteReference"/>
          <w:vertAlign w:val="baseline"/>
          <w:rtl/>
        </w:rPr>
        <w:t>.</w:t>
      </w:r>
      <w:r w:rsidR="007F1421">
        <w:rPr>
          <w:rtl/>
        </w:rPr>
        <w:t xml:space="preserve"> </w:t>
      </w:r>
      <w:hyperlink r:id="rId7" w:history="1">
        <w:r w:rsidR="007F1421" w:rsidRPr="007F1421">
          <w:rPr>
            <w:rStyle w:val="Hyperlink"/>
            <w:rtl/>
          </w:rPr>
          <w:t>وسائل الش</w:t>
        </w:r>
        <w:r w:rsidR="007F1421" w:rsidRPr="007F1421">
          <w:rPr>
            <w:rStyle w:val="Hyperlink"/>
            <w:rFonts w:hint="cs"/>
            <w:rtl/>
          </w:rPr>
          <w:t>ی</w:t>
        </w:r>
        <w:r w:rsidR="007F1421" w:rsidRPr="007F1421">
          <w:rPr>
            <w:rStyle w:val="Hyperlink"/>
            <w:rFonts w:hint="eastAsia"/>
            <w:rtl/>
          </w:rPr>
          <w:t>عة،</w:t>
        </w:r>
        <w:r w:rsidR="007F1421" w:rsidRPr="007F1421">
          <w:rPr>
            <w:rStyle w:val="Hyperlink"/>
            <w:rtl/>
          </w:rPr>
          <w:t xml:space="preserve"> الش</w:t>
        </w:r>
        <w:r w:rsidR="007F1421" w:rsidRPr="007F1421">
          <w:rPr>
            <w:rStyle w:val="Hyperlink"/>
            <w:rFonts w:hint="cs"/>
            <w:rtl/>
          </w:rPr>
          <w:t>ی</w:t>
        </w:r>
        <w:r w:rsidR="007F1421" w:rsidRPr="007F1421">
          <w:rPr>
            <w:rStyle w:val="Hyperlink"/>
            <w:rFonts w:hint="eastAsia"/>
            <w:rtl/>
          </w:rPr>
          <w:t>خ</w:t>
        </w:r>
        <w:r w:rsidR="007F1421" w:rsidRPr="007F1421">
          <w:rPr>
            <w:rStyle w:val="Hyperlink"/>
            <w:rtl/>
          </w:rPr>
          <w:t xml:space="preserve"> الحر العاملي، ج27، ص21، أبواب صفات القاض</w:t>
        </w:r>
        <w:r w:rsidR="007F1421" w:rsidRPr="007F1421">
          <w:rPr>
            <w:rStyle w:val="Hyperlink"/>
            <w:rFonts w:hint="cs"/>
            <w:rtl/>
          </w:rPr>
          <w:t>ی</w:t>
        </w:r>
        <w:r w:rsidR="007F1421" w:rsidRPr="007F1421">
          <w:rPr>
            <w:rStyle w:val="Hyperlink"/>
            <w:rtl/>
          </w:rPr>
          <w:t xml:space="preserve"> و ما </w:t>
        </w:r>
        <w:r w:rsidR="007F1421" w:rsidRPr="007F1421">
          <w:rPr>
            <w:rStyle w:val="Hyperlink"/>
            <w:rFonts w:hint="cs"/>
            <w:rtl/>
          </w:rPr>
          <w:t>ی</w:t>
        </w:r>
        <w:r w:rsidR="007F1421" w:rsidRPr="007F1421">
          <w:rPr>
            <w:rStyle w:val="Hyperlink"/>
            <w:rFonts w:hint="eastAsia"/>
            <w:rtl/>
          </w:rPr>
          <w:t>جوز</w:t>
        </w:r>
        <w:r w:rsidR="007F1421" w:rsidRPr="007F1421">
          <w:rPr>
            <w:rStyle w:val="Hyperlink"/>
            <w:rtl/>
          </w:rPr>
          <w:t xml:space="preserve"> أن </w:t>
        </w:r>
        <w:r w:rsidR="007F1421" w:rsidRPr="007F1421">
          <w:rPr>
            <w:rStyle w:val="Hyperlink"/>
            <w:rFonts w:hint="cs"/>
            <w:rtl/>
          </w:rPr>
          <w:t>ی</w:t>
        </w:r>
        <w:r w:rsidR="007F1421" w:rsidRPr="007F1421">
          <w:rPr>
            <w:rStyle w:val="Hyperlink"/>
            <w:rFonts w:hint="eastAsia"/>
            <w:rtl/>
          </w:rPr>
          <w:t>قض</w:t>
        </w:r>
        <w:r w:rsidR="007F1421" w:rsidRPr="007F1421">
          <w:rPr>
            <w:rStyle w:val="Hyperlink"/>
            <w:rFonts w:hint="cs"/>
            <w:rtl/>
          </w:rPr>
          <w:t>ی</w:t>
        </w:r>
        <w:r w:rsidR="007F1421" w:rsidRPr="007F1421">
          <w:rPr>
            <w:rStyle w:val="Hyperlink"/>
            <w:rtl/>
          </w:rPr>
          <w:t xml:space="preserve"> به، باب4، ح3، ط آل البيت</w:t>
        </w:r>
        <w:r w:rsidR="007F1421" w:rsidRPr="007F1421">
          <w:rPr>
            <w:rStyle w:val="Hyperlink"/>
          </w:rPr>
          <w:t>.</w:t>
        </w:r>
      </w:hyperlink>
    </w:p>
  </w:footnote>
  <w:footnote w:id="8">
    <w:p w14:paraId="1626ECF7" w14:textId="292EC0E3" w:rsidR="00F21FA8" w:rsidRPr="00F21FA8" w:rsidRDefault="00BD3139" w:rsidP="00F21FA8">
      <w:pPr>
        <w:pStyle w:val="FootnoteText"/>
        <w:rPr>
          <w:rFonts w:hint="cs"/>
        </w:rPr>
      </w:pPr>
      <w:r w:rsidRPr="00BD3139">
        <w:footnoteRef/>
      </w:r>
      <w:r>
        <w:rPr>
          <w:rtl/>
        </w:rPr>
        <w:t>.</w:t>
      </w:r>
      <w:r w:rsidR="00F21FA8" w:rsidRPr="00F21FA8">
        <w:rPr>
          <w:rtl/>
        </w:rPr>
        <w:t xml:space="preserve"> </w:t>
      </w:r>
      <w:hyperlink r:id="rId8" w:history="1">
        <w:r w:rsidR="00F21FA8" w:rsidRPr="00F21FA8">
          <w:rPr>
            <w:rStyle w:val="Hyperlink"/>
            <w:rtl/>
          </w:rPr>
          <w:t>بحوث ف</w:t>
        </w:r>
        <w:r w:rsidR="00F21FA8" w:rsidRPr="00F21FA8">
          <w:rPr>
            <w:rStyle w:val="Hyperlink"/>
            <w:rFonts w:hint="cs"/>
            <w:rtl/>
          </w:rPr>
          <w:t>ی</w:t>
        </w:r>
        <w:r w:rsidR="00F21FA8" w:rsidRPr="00F21FA8">
          <w:rPr>
            <w:rStyle w:val="Hyperlink"/>
            <w:rtl/>
          </w:rPr>
          <w:t xml:space="preserve"> علم الأصول، الس</w:t>
        </w:r>
        <w:r w:rsidR="00F21FA8" w:rsidRPr="00F21FA8">
          <w:rPr>
            <w:rStyle w:val="Hyperlink"/>
            <w:rFonts w:hint="cs"/>
            <w:rtl/>
          </w:rPr>
          <w:t>ی</w:t>
        </w:r>
        <w:r w:rsidR="00F21FA8" w:rsidRPr="00F21FA8">
          <w:rPr>
            <w:rStyle w:val="Hyperlink"/>
            <w:rFonts w:hint="eastAsia"/>
            <w:rtl/>
          </w:rPr>
          <w:t>د</w:t>
        </w:r>
        <w:r w:rsidR="00F21FA8" w:rsidRPr="00F21FA8">
          <w:rPr>
            <w:rStyle w:val="Hyperlink"/>
            <w:rtl/>
          </w:rPr>
          <w:t xml:space="preserve"> محمد باقر الصدر، ج3، ص123.</w:t>
        </w:r>
      </w:hyperlink>
    </w:p>
  </w:footnote>
  <w:footnote w:id="9">
    <w:p w14:paraId="2DB53729" w14:textId="73A0C487" w:rsidR="00F21FA8" w:rsidRPr="00F21FA8" w:rsidRDefault="00BD3139" w:rsidP="00F21FA8">
      <w:pPr>
        <w:pStyle w:val="FootnoteText"/>
        <w:rPr>
          <w:rFonts w:hint="cs"/>
        </w:rPr>
      </w:pPr>
      <w:r w:rsidRPr="00BD3139">
        <w:footnoteRef/>
      </w:r>
      <w:r>
        <w:rPr>
          <w:rtl/>
        </w:rPr>
        <w:t>.</w:t>
      </w:r>
      <w:r w:rsidR="00F21FA8" w:rsidRPr="00F21FA8">
        <w:rPr>
          <w:rtl/>
        </w:rPr>
        <w:t xml:space="preserve"> </w:t>
      </w:r>
      <w:hyperlink r:id="rId9" w:history="1">
        <w:r w:rsidR="00F21FA8" w:rsidRPr="00F21FA8">
          <w:rPr>
            <w:rStyle w:val="Hyperlink"/>
            <w:rtl/>
          </w:rPr>
          <w:t>بحوث ف</w:t>
        </w:r>
        <w:r w:rsidR="00F21FA8" w:rsidRPr="00F21FA8">
          <w:rPr>
            <w:rStyle w:val="Hyperlink"/>
            <w:rFonts w:hint="cs"/>
            <w:rtl/>
          </w:rPr>
          <w:t>ی</w:t>
        </w:r>
        <w:r w:rsidR="00F21FA8" w:rsidRPr="00F21FA8">
          <w:rPr>
            <w:rStyle w:val="Hyperlink"/>
            <w:rtl/>
          </w:rPr>
          <w:t xml:space="preserve"> علم الأصول، الس</w:t>
        </w:r>
        <w:r w:rsidR="00F21FA8" w:rsidRPr="00F21FA8">
          <w:rPr>
            <w:rStyle w:val="Hyperlink"/>
            <w:rFonts w:hint="cs"/>
            <w:rtl/>
          </w:rPr>
          <w:t>ی</w:t>
        </w:r>
        <w:r w:rsidR="00F21FA8" w:rsidRPr="00F21FA8">
          <w:rPr>
            <w:rStyle w:val="Hyperlink"/>
            <w:rFonts w:hint="eastAsia"/>
            <w:rtl/>
          </w:rPr>
          <w:t>د</w:t>
        </w:r>
        <w:r w:rsidR="00F21FA8" w:rsidRPr="00F21FA8">
          <w:rPr>
            <w:rStyle w:val="Hyperlink"/>
            <w:rtl/>
          </w:rPr>
          <w:t xml:space="preserve"> محمد باقر الصدر، ج3، ص123</w:t>
        </w:r>
        <w:r w:rsidR="00F21FA8" w:rsidRPr="00F21FA8">
          <w:rPr>
            <w:rStyle w:val="Hyperlink"/>
          </w:rPr>
          <w:t>.</w:t>
        </w:r>
      </w:hyperlink>
    </w:p>
  </w:footnote>
  <w:footnote w:id="10">
    <w:p w14:paraId="226D84D5" w14:textId="001C28FA" w:rsidR="00F21FA8" w:rsidRPr="00F21FA8" w:rsidRDefault="00BD3139" w:rsidP="00F21FA8">
      <w:pPr>
        <w:pStyle w:val="FootnoteText"/>
        <w:rPr>
          <w:rFonts w:hint="cs"/>
        </w:rPr>
      </w:pPr>
      <w:r w:rsidRPr="00BD3139">
        <w:footnoteRef/>
      </w:r>
      <w:r>
        <w:rPr>
          <w:rtl/>
        </w:rPr>
        <w:t>.</w:t>
      </w:r>
      <w:r w:rsidR="00F21FA8" w:rsidRPr="00F21FA8">
        <w:rPr>
          <w:rtl/>
        </w:rPr>
        <w:t xml:space="preserve"> </w:t>
      </w:r>
      <w:hyperlink r:id="rId10" w:history="1">
        <w:r w:rsidR="00F21FA8" w:rsidRPr="00F21FA8">
          <w:rPr>
            <w:rStyle w:val="Hyperlink"/>
            <w:rtl/>
          </w:rPr>
          <w:t>الکاف</w:t>
        </w:r>
        <w:r w:rsidR="00F21FA8" w:rsidRPr="00F21FA8">
          <w:rPr>
            <w:rStyle w:val="Hyperlink"/>
            <w:rFonts w:hint="cs"/>
            <w:rtl/>
          </w:rPr>
          <w:t>ی</w:t>
        </w:r>
        <w:r w:rsidR="00F21FA8" w:rsidRPr="00F21FA8">
          <w:rPr>
            <w:rStyle w:val="Hyperlink"/>
            <w:rFonts w:hint="eastAsia"/>
            <w:rtl/>
          </w:rPr>
          <w:t>،</w:t>
        </w:r>
        <w:r w:rsidR="00F21FA8" w:rsidRPr="00F21FA8">
          <w:rPr>
            <w:rStyle w:val="Hyperlink"/>
            <w:rtl/>
          </w:rPr>
          <w:t xml:space="preserve"> محمد بن </w:t>
        </w:r>
        <w:r w:rsidR="00F21FA8" w:rsidRPr="00F21FA8">
          <w:rPr>
            <w:rStyle w:val="Hyperlink"/>
            <w:rFonts w:hint="cs"/>
            <w:rtl/>
          </w:rPr>
          <w:t>ی</w:t>
        </w:r>
        <w:r w:rsidR="00F21FA8" w:rsidRPr="00F21FA8">
          <w:rPr>
            <w:rStyle w:val="Hyperlink"/>
            <w:rFonts w:hint="eastAsia"/>
            <w:rtl/>
          </w:rPr>
          <w:t>عقوب</w:t>
        </w:r>
        <w:r w:rsidR="00F21FA8" w:rsidRPr="00F21FA8">
          <w:rPr>
            <w:rStyle w:val="Hyperlink"/>
            <w:rtl/>
          </w:rPr>
          <w:t xml:space="preserve"> کل</w:t>
        </w:r>
        <w:r w:rsidR="00F21FA8" w:rsidRPr="00F21FA8">
          <w:rPr>
            <w:rStyle w:val="Hyperlink"/>
            <w:rFonts w:hint="cs"/>
            <w:rtl/>
          </w:rPr>
          <w:t>ی</w:t>
        </w:r>
        <w:r w:rsidR="00F21FA8" w:rsidRPr="00F21FA8">
          <w:rPr>
            <w:rStyle w:val="Hyperlink"/>
            <w:rFonts w:hint="eastAsia"/>
            <w:rtl/>
          </w:rPr>
          <w:t>ن</w:t>
        </w:r>
        <w:r w:rsidR="00F21FA8" w:rsidRPr="00F21FA8">
          <w:rPr>
            <w:rStyle w:val="Hyperlink"/>
            <w:rFonts w:hint="cs"/>
            <w:rtl/>
          </w:rPr>
          <w:t>ی</w:t>
        </w:r>
        <w:r w:rsidR="00F21FA8" w:rsidRPr="00F21FA8">
          <w:rPr>
            <w:rStyle w:val="Hyperlink"/>
            <w:rFonts w:hint="eastAsia"/>
            <w:rtl/>
          </w:rPr>
          <w:t>،</w:t>
        </w:r>
        <w:r w:rsidR="00F21FA8" w:rsidRPr="00F21FA8">
          <w:rPr>
            <w:rStyle w:val="Hyperlink"/>
            <w:rtl/>
          </w:rPr>
          <w:t xml:space="preserve"> ج3، ص92</w:t>
        </w:r>
        <w:r w:rsidR="00F21FA8" w:rsidRPr="00F21FA8">
          <w:rPr>
            <w:rStyle w:val="Hyperlink"/>
          </w:rPr>
          <w:t>.</w:t>
        </w:r>
      </w:hyperlink>
    </w:p>
  </w:footnote>
  <w:footnote w:id="11">
    <w:p w14:paraId="6129DB1C" w14:textId="4E677CB6" w:rsidR="00D91571" w:rsidRPr="005E546B" w:rsidRDefault="00BD3139" w:rsidP="00D91571">
      <w:pPr>
        <w:pStyle w:val="FootnoteText"/>
      </w:pPr>
      <w:r w:rsidRPr="00BD3139">
        <w:footnoteRef/>
      </w:r>
      <w:r>
        <w:rPr>
          <w:rtl/>
        </w:rPr>
        <w:t>.</w:t>
      </w:r>
      <w:r w:rsidR="00D91571" w:rsidRPr="005E546B">
        <w:rPr>
          <w:rtl/>
        </w:rPr>
        <w:t xml:space="preserve"> </w:t>
      </w:r>
      <w:hyperlink r:id="rId11" w:history="1">
        <w:r w:rsidR="00D91571" w:rsidRPr="005E546B">
          <w:rPr>
            <w:rStyle w:val="Hyperlink"/>
            <w:rtl/>
          </w:rPr>
          <w:t>وسائل الش</w:t>
        </w:r>
        <w:r w:rsidR="00D91571" w:rsidRPr="005E546B">
          <w:rPr>
            <w:rStyle w:val="Hyperlink"/>
            <w:rFonts w:hint="cs"/>
            <w:rtl/>
          </w:rPr>
          <w:t>ی</w:t>
        </w:r>
        <w:r w:rsidR="00D91571" w:rsidRPr="005E546B">
          <w:rPr>
            <w:rStyle w:val="Hyperlink"/>
            <w:rFonts w:hint="eastAsia"/>
            <w:rtl/>
          </w:rPr>
          <w:t>عة،</w:t>
        </w:r>
        <w:r w:rsidR="00D91571" w:rsidRPr="005E546B">
          <w:rPr>
            <w:rStyle w:val="Hyperlink"/>
            <w:rtl/>
          </w:rPr>
          <w:t xml:space="preserve"> الش</w:t>
        </w:r>
        <w:r w:rsidR="00D91571" w:rsidRPr="005E546B">
          <w:rPr>
            <w:rStyle w:val="Hyperlink"/>
            <w:rFonts w:hint="cs"/>
            <w:rtl/>
          </w:rPr>
          <w:t>ی</w:t>
        </w:r>
        <w:r w:rsidR="00D91571" w:rsidRPr="005E546B">
          <w:rPr>
            <w:rStyle w:val="Hyperlink"/>
            <w:rFonts w:hint="eastAsia"/>
            <w:rtl/>
          </w:rPr>
          <w:t>خ</w:t>
        </w:r>
        <w:r w:rsidR="00D91571" w:rsidRPr="005E546B">
          <w:rPr>
            <w:rStyle w:val="Hyperlink"/>
            <w:rtl/>
          </w:rPr>
          <w:t xml:space="preserve"> الحر العاملي، ج10، ص465، أبواب الصوم المندوب، باب10، ح6، ط آل البيت</w:t>
        </w:r>
        <w:r w:rsidR="00D91571" w:rsidRPr="005E546B">
          <w:rPr>
            <w:rStyle w:val="Hyperlink"/>
          </w:rPr>
          <w:t>.</w:t>
        </w:r>
      </w:hyperlink>
    </w:p>
  </w:footnote>
  <w:footnote w:id="12">
    <w:p w14:paraId="56C38AE2" w14:textId="659E7985" w:rsidR="007F1421" w:rsidRPr="00784A0F" w:rsidRDefault="00BD3139" w:rsidP="00784A0F">
      <w:pPr>
        <w:pStyle w:val="FootnoteText"/>
        <w:rPr>
          <w:rFonts w:hint="cs"/>
        </w:rPr>
      </w:pPr>
      <w:r w:rsidRPr="00BD3139">
        <w:footnoteRef/>
      </w:r>
      <w:r>
        <w:rPr>
          <w:rtl/>
        </w:rPr>
        <w:t>.</w:t>
      </w:r>
      <w:r w:rsidR="007F1421" w:rsidRPr="00784A0F">
        <w:rPr>
          <w:rtl/>
        </w:rPr>
        <w:t xml:space="preserve"> </w:t>
      </w:r>
      <w:r w:rsidR="007F1421" w:rsidRPr="00784A0F">
        <w:rPr>
          <w:rFonts w:hint="eastAsia"/>
          <w:rtl/>
        </w:rPr>
        <w:t>سوره</w:t>
      </w:r>
      <w:r w:rsidR="007F1421" w:rsidRPr="00784A0F">
        <w:rPr>
          <w:rtl/>
        </w:rPr>
        <w:t xml:space="preserve"> مائده، آيه 2.</w:t>
      </w:r>
    </w:p>
  </w:footnote>
  <w:footnote w:id="13">
    <w:p w14:paraId="769496D5" w14:textId="42E56E39" w:rsidR="007F1421" w:rsidRPr="007F1421" w:rsidRDefault="00BD3139" w:rsidP="007F1421">
      <w:pPr>
        <w:pStyle w:val="FootnoteText"/>
        <w:rPr>
          <w:rFonts w:hint="cs"/>
        </w:rPr>
      </w:pPr>
      <w:r w:rsidRPr="00BD3139">
        <w:footnoteRef/>
      </w:r>
      <w:r>
        <w:rPr>
          <w:rtl/>
        </w:rPr>
        <w:t>.</w:t>
      </w:r>
      <w:r w:rsidR="007F1421" w:rsidRPr="007F1421">
        <w:rPr>
          <w:rtl/>
        </w:rPr>
        <w:t xml:space="preserve"> </w:t>
      </w:r>
      <w:hyperlink r:id="rId12" w:history="1">
        <w:r w:rsidR="007F1421" w:rsidRPr="007F1421">
          <w:rPr>
            <w:rStyle w:val="Hyperlink"/>
            <w:rtl/>
          </w:rPr>
          <w:t>بحوث ف</w:t>
        </w:r>
        <w:r w:rsidR="007F1421" w:rsidRPr="007F1421">
          <w:rPr>
            <w:rStyle w:val="Hyperlink"/>
            <w:rFonts w:hint="cs"/>
            <w:rtl/>
          </w:rPr>
          <w:t>ی</w:t>
        </w:r>
        <w:r w:rsidR="007F1421" w:rsidRPr="007F1421">
          <w:rPr>
            <w:rStyle w:val="Hyperlink"/>
            <w:rtl/>
          </w:rPr>
          <w:t xml:space="preserve"> علم الأصول، الس</w:t>
        </w:r>
        <w:r w:rsidR="007F1421" w:rsidRPr="007F1421">
          <w:rPr>
            <w:rStyle w:val="Hyperlink"/>
            <w:rFonts w:hint="cs"/>
            <w:rtl/>
          </w:rPr>
          <w:t>ی</w:t>
        </w:r>
        <w:r w:rsidR="007F1421" w:rsidRPr="007F1421">
          <w:rPr>
            <w:rStyle w:val="Hyperlink"/>
            <w:rFonts w:hint="eastAsia"/>
            <w:rtl/>
          </w:rPr>
          <w:t>د</w:t>
        </w:r>
        <w:r w:rsidR="007F1421" w:rsidRPr="007F1421">
          <w:rPr>
            <w:rStyle w:val="Hyperlink"/>
            <w:rtl/>
          </w:rPr>
          <w:t xml:space="preserve"> محمد باقر الصدر، ج3، ص124.</w:t>
        </w:r>
      </w:hyperlink>
    </w:p>
  </w:footnote>
  <w:footnote w:id="14">
    <w:p w14:paraId="70784E1C" w14:textId="68194367" w:rsidR="007F1421" w:rsidRPr="001A32BD" w:rsidRDefault="00BD3139" w:rsidP="001A32BD">
      <w:pPr>
        <w:pStyle w:val="FootnoteText"/>
        <w:rPr>
          <w:rFonts w:hint="cs"/>
        </w:rPr>
      </w:pPr>
      <w:r w:rsidRPr="00BD3139">
        <w:footnoteRef/>
      </w:r>
      <w:r>
        <w:rPr>
          <w:rtl/>
        </w:rPr>
        <w:t>.</w:t>
      </w:r>
      <w:r w:rsidR="007F1421" w:rsidRPr="001A32BD">
        <w:rPr>
          <w:rtl/>
        </w:rPr>
        <w:t xml:space="preserve"> </w:t>
      </w:r>
      <w:hyperlink r:id="rId13" w:history="1">
        <w:r w:rsidR="007F1421" w:rsidRPr="001A32BD">
          <w:rPr>
            <w:rStyle w:val="Hyperlink"/>
            <w:rtl/>
          </w:rPr>
          <w:t>وسائل الش</w:t>
        </w:r>
        <w:r w:rsidR="007F1421" w:rsidRPr="001A32BD">
          <w:rPr>
            <w:rStyle w:val="Hyperlink"/>
            <w:rFonts w:hint="cs"/>
            <w:rtl/>
          </w:rPr>
          <w:t>ی</w:t>
        </w:r>
        <w:r w:rsidR="007F1421" w:rsidRPr="001A32BD">
          <w:rPr>
            <w:rStyle w:val="Hyperlink"/>
            <w:rFonts w:hint="eastAsia"/>
            <w:rtl/>
          </w:rPr>
          <w:t>عة،</w:t>
        </w:r>
        <w:r w:rsidR="007F1421" w:rsidRPr="001A32BD">
          <w:rPr>
            <w:rStyle w:val="Hyperlink"/>
            <w:rtl/>
          </w:rPr>
          <w:t xml:space="preserve"> الش</w:t>
        </w:r>
        <w:r w:rsidR="007F1421" w:rsidRPr="001A32BD">
          <w:rPr>
            <w:rStyle w:val="Hyperlink"/>
            <w:rFonts w:hint="cs"/>
            <w:rtl/>
          </w:rPr>
          <w:t>ی</w:t>
        </w:r>
        <w:r w:rsidR="007F1421" w:rsidRPr="001A32BD">
          <w:rPr>
            <w:rStyle w:val="Hyperlink"/>
            <w:rFonts w:hint="eastAsia"/>
            <w:rtl/>
          </w:rPr>
          <w:t>خ</w:t>
        </w:r>
        <w:r w:rsidR="007F1421" w:rsidRPr="001A32BD">
          <w:rPr>
            <w:rStyle w:val="Hyperlink"/>
            <w:rtl/>
          </w:rPr>
          <w:t xml:space="preserve"> الحر العاملي، ج17، ص448، أبواب آداب التجارة، باب40، ح3، ط آل البيت.</w:t>
        </w:r>
      </w:hyperlink>
    </w:p>
  </w:footnote>
  <w:footnote w:id="15">
    <w:p w14:paraId="2623AB07" w14:textId="083A81BC" w:rsidR="007F1421" w:rsidRPr="008E7EC8" w:rsidRDefault="00BD3139" w:rsidP="003C2A38">
      <w:pPr>
        <w:pStyle w:val="FootnoteText"/>
      </w:pPr>
      <w:r w:rsidRPr="00BD3139">
        <w:footnoteRef/>
      </w:r>
      <w:r>
        <w:rPr>
          <w:rtl/>
        </w:rPr>
        <w:t>.</w:t>
      </w:r>
      <w:r w:rsidR="007F1421" w:rsidRPr="008E7EC8">
        <w:rPr>
          <w:rtl/>
        </w:rPr>
        <w:t xml:space="preserve"> </w:t>
      </w:r>
      <w:hyperlink r:id="rId14" w:history="1">
        <w:r w:rsidR="007F1421" w:rsidRPr="008E7EC8">
          <w:rPr>
            <w:rStyle w:val="Hyperlink"/>
            <w:rtl/>
          </w:rPr>
          <w:t>وسائل الش</w:t>
        </w:r>
        <w:r w:rsidR="007F1421" w:rsidRPr="008E7EC8">
          <w:rPr>
            <w:rStyle w:val="Hyperlink"/>
            <w:rFonts w:hint="cs"/>
            <w:rtl/>
          </w:rPr>
          <w:t>ی</w:t>
        </w:r>
        <w:r w:rsidR="007F1421" w:rsidRPr="008E7EC8">
          <w:rPr>
            <w:rStyle w:val="Hyperlink"/>
            <w:rFonts w:hint="eastAsia"/>
            <w:rtl/>
          </w:rPr>
          <w:t>عة،</w:t>
        </w:r>
        <w:r w:rsidR="007F1421" w:rsidRPr="008E7EC8">
          <w:rPr>
            <w:rStyle w:val="Hyperlink"/>
            <w:rtl/>
          </w:rPr>
          <w:t xml:space="preserve"> الش</w:t>
        </w:r>
        <w:r w:rsidR="007F1421" w:rsidRPr="008E7EC8">
          <w:rPr>
            <w:rStyle w:val="Hyperlink"/>
            <w:rFonts w:hint="cs"/>
            <w:rtl/>
          </w:rPr>
          <w:t>ی</w:t>
        </w:r>
        <w:r w:rsidR="007F1421" w:rsidRPr="008E7EC8">
          <w:rPr>
            <w:rStyle w:val="Hyperlink"/>
            <w:rFonts w:hint="eastAsia"/>
            <w:rtl/>
          </w:rPr>
          <w:t>خ</w:t>
        </w:r>
        <w:r w:rsidR="007F1421" w:rsidRPr="008E7EC8">
          <w:rPr>
            <w:rStyle w:val="Hyperlink"/>
            <w:rtl/>
          </w:rPr>
          <w:t xml:space="preserve"> الحر العاملي، ج24، ص16، أبواب الذبائح، باب6، ح2، ط آل البيت.</w:t>
        </w:r>
      </w:hyperlink>
    </w:p>
  </w:footnote>
  <w:footnote w:id="16">
    <w:p w14:paraId="3662EAC8" w14:textId="72D92C1D" w:rsidR="007F1421" w:rsidRPr="00032E1D" w:rsidRDefault="00BD3139" w:rsidP="00032E1D">
      <w:pPr>
        <w:pStyle w:val="FootnoteText"/>
        <w:rPr>
          <w:rFonts w:hint="cs"/>
        </w:rPr>
      </w:pPr>
      <w:r w:rsidRPr="00BD3139">
        <w:footnoteRef/>
      </w:r>
      <w:r>
        <w:rPr>
          <w:rtl/>
        </w:rPr>
        <w:t>.</w:t>
      </w:r>
      <w:r w:rsidR="007F1421" w:rsidRPr="00032E1D">
        <w:rPr>
          <w:rtl/>
        </w:rPr>
        <w:t xml:space="preserve"> </w:t>
      </w:r>
      <w:hyperlink r:id="rId15" w:history="1">
        <w:r w:rsidR="007F1421" w:rsidRPr="00032E1D">
          <w:rPr>
            <w:rStyle w:val="Hyperlink"/>
            <w:rtl/>
          </w:rPr>
          <w:t>وسائل الش</w:t>
        </w:r>
        <w:r w:rsidR="007F1421" w:rsidRPr="00032E1D">
          <w:rPr>
            <w:rStyle w:val="Hyperlink"/>
            <w:rFonts w:hint="cs"/>
            <w:rtl/>
          </w:rPr>
          <w:t>ی</w:t>
        </w:r>
        <w:r w:rsidR="007F1421" w:rsidRPr="00032E1D">
          <w:rPr>
            <w:rStyle w:val="Hyperlink"/>
            <w:rFonts w:hint="eastAsia"/>
            <w:rtl/>
          </w:rPr>
          <w:t>عة،</w:t>
        </w:r>
        <w:r w:rsidR="007F1421" w:rsidRPr="00032E1D">
          <w:rPr>
            <w:rStyle w:val="Hyperlink"/>
            <w:rtl/>
          </w:rPr>
          <w:t xml:space="preserve"> الش</w:t>
        </w:r>
        <w:r w:rsidR="007F1421" w:rsidRPr="00032E1D">
          <w:rPr>
            <w:rStyle w:val="Hyperlink"/>
            <w:rFonts w:hint="cs"/>
            <w:rtl/>
          </w:rPr>
          <w:t>ی</w:t>
        </w:r>
        <w:r w:rsidR="007F1421" w:rsidRPr="00032E1D">
          <w:rPr>
            <w:rStyle w:val="Hyperlink"/>
            <w:rFonts w:hint="eastAsia"/>
            <w:rtl/>
          </w:rPr>
          <w:t>خ</w:t>
        </w:r>
        <w:r w:rsidR="007F1421" w:rsidRPr="00032E1D">
          <w:rPr>
            <w:rStyle w:val="Hyperlink"/>
            <w:rtl/>
          </w:rPr>
          <w:t xml:space="preserve"> الحر العاملي، ج6، ص406، أبواب التشهد، باب9، ح3، ط آل البيت.</w:t>
        </w:r>
      </w:hyperlink>
    </w:p>
  </w:footnote>
  <w:footnote w:id="17">
    <w:p w14:paraId="4E085D79" w14:textId="56A009C6" w:rsidR="007F1421" w:rsidRPr="00F17487" w:rsidRDefault="00BD3139" w:rsidP="00F17487">
      <w:pPr>
        <w:pStyle w:val="FootnoteText"/>
        <w:rPr>
          <w:rFonts w:hint="cs"/>
        </w:rPr>
      </w:pPr>
      <w:r w:rsidRPr="00BD3139">
        <w:footnoteRef/>
      </w:r>
      <w:r>
        <w:rPr>
          <w:rtl/>
        </w:rPr>
        <w:t>.</w:t>
      </w:r>
      <w:r w:rsidR="007F1421" w:rsidRPr="00F17487">
        <w:rPr>
          <w:rtl/>
        </w:rPr>
        <w:t xml:space="preserve"> </w:t>
      </w:r>
      <w:hyperlink r:id="rId16" w:history="1">
        <w:r w:rsidR="007F1421" w:rsidRPr="00F17487">
          <w:rPr>
            <w:rStyle w:val="Hyperlink"/>
            <w:rFonts w:hint="eastAsia"/>
            <w:rtl/>
          </w:rPr>
          <w:t>وسائل</w:t>
        </w:r>
        <w:r w:rsidR="007F1421" w:rsidRPr="00F17487">
          <w:rPr>
            <w:rStyle w:val="Hyperlink"/>
            <w:rtl/>
          </w:rPr>
          <w:t xml:space="preserve"> الش</w:t>
        </w:r>
        <w:r w:rsidR="007F1421" w:rsidRPr="00F17487">
          <w:rPr>
            <w:rStyle w:val="Hyperlink"/>
            <w:rFonts w:hint="cs"/>
            <w:rtl/>
          </w:rPr>
          <w:t>ی</w:t>
        </w:r>
        <w:r w:rsidR="007F1421" w:rsidRPr="00F17487">
          <w:rPr>
            <w:rStyle w:val="Hyperlink"/>
            <w:rFonts w:hint="eastAsia"/>
            <w:rtl/>
          </w:rPr>
          <w:t>عة،</w:t>
        </w:r>
        <w:r w:rsidR="007F1421" w:rsidRPr="00F17487">
          <w:rPr>
            <w:rStyle w:val="Hyperlink"/>
            <w:rtl/>
          </w:rPr>
          <w:t xml:space="preserve"> الش</w:t>
        </w:r>
        <w:r w:rsidR="007F1421" w:rsidRPr="00F17487">
          <w:rPr>
            <w:rStyle w:val="Hyperlink"/>
            <w:rFonts w:hint="cs"/>
            <w:rtl/>
          </w:rPr>
          <w:t>ی</w:t>
        </w:r>
        <w:r w:rsidR="007F1421" w:rsidRPr="00F17487">
          <w:rPr>
            <w:rStyle w:val="Hyperlink"/>
            <w:rFonts w:hint="eastAsia"/>
            <w:rtl/>
          </w:rPr>
          <w:t>خ</w:t>
        </w:r>
        <w:r w:rsidR="007F1421" w:rsidRPr="00F17487">
          <w:rPr>
            <w:rStyle w:val="Hyperlink"/>
            <w:rtl/>
          </w:rPr>
          <w:t xml:space="preserve"> الحر العاملي، ج11، ص303، أبواب أقسام الحج، باب22، ح6، ط آل البيت.</w:t>
        </w:r>
      </w:hyperlink>
    </w:p>
  </w:footnote>
  <w:footnote w:id="18">
    <w:p w14:paraId="3F14575A" w14:textId="29FD20DF" w:rsidR="007F1421" w:rsidRPr="00C60E38" w:rsidRDefault="00BD3139" w:rsidP="00C60E38">
      <w:pPr>
        <w:pStyle w:val="FootnoteText"/>
        <w:rPr>
          <w:rFonts w:hint="cs"/>
        </w:rPr>
      </w:pPr>
      <w:r w:rsidRPr="00BD3139">
        <w:footnoteRef/>
      </w:r>
      <w:r>
        <w:rPr>
          <w:rtl/>
        </w:rPr>
        <w:t>.</w:t>
      </w:r>
      <w:r w:rsidR="007F1421" w:rsidRPr="00C60E38">
        <w:rPr>
          <w:rtl/>
        </w:rPr>
        <w:t xml:space="preserve"> </w:t>
      </w:r>
      <w:hyperlink r:id="rId17" w:history="1">
        <w:r w:rsidR="007F1421" w:rsidRPr="00C60E38">
          <w:rPr>
            <w:rStyle w:val="Hyperlink"/>
            <w:rtl/>
          </w:rPr>
          <w:t>وسائل الش</w:t>
        </w:r>
        <w:r w:rsidR="007F1421" w:rsidRPr="00C60E38">
          <w:rPr>
            <w:rStyle w:val="Hyperlink"/>
            <w:rFonts w:hint="cs"/>
            <w:rtl/>
          </w:rPr>
          <w:t>ی</w:t>
        </w:r>
        <w:r w:rsidR="007F1421" w:rsidRPr="00C60E38">
          <w:rPr>
            <w:rStyle w:val="Hyperlink"/>
            <w:rFonts w:hint="eastAsia"/>
            <w:rtl/>
          </w:rPr>
          <w:t>عة،</w:t>
        </w:r>
        <w:r w:rsidR="007F1421" w:rsidRPr="00C60E38">
          <w:rPr>
            <w:rStyle w:val="Hyperlink"/>
            <w:rtl/>
          </w:rPr>
          <w:t xml:space="preserve"> الش</w:t>
        </w:r>
        <w:r w:rsidR="007F1421" w:rsidRPr="00C60E38">
          <w:rPr>
            <w:rStyle w:val="Hyperlink"/>
            <w:rFonts w:hint="cs"/>
            <w:rtl/>
          </w:rPr>
          <w:t>ی</w:t>
        </w:r>
        <w:r w:rsidR="007F1421" w:rsidRPr="00C60E38">
          <w:rPr>
            <w:rStyle w:val="Hyperlink"/>
            <w:rFonts w:hint="eastAsia"/>
            <w:rtl/>
          </w:rPr>
          <w:t>خ</w:t>
        </w:r>
        <w:r w:rsidR="007F1421" w:rsidRPr="00C60E38">
          <w:rPr>
            <w:rStyle w:val="Hyperlink"/>
            <w:rtl/>
          </w:rPr>
          <w:t xml:space="preserve"> الحر العاملي، ج11، ص304، أبواب أقسام الحج، باب22، ح9، ط آل البيت.</w:t>
        </w:r>
      </w:hyperlink>
    </w:p>
  </w:footnote>
  <w:footnote w:id="19">
    <w:p w14:paraId="0FF0A4A0" w14:textId="0D929D7D" w:rsidR="007F1421" w:rsidRPr="00C60E38" w:rsidRDefault="00BD3139" w:rsidP="00C60E38">
      <w:pPr>
        <w:pStyle w:val="FootnoteText"/>
        <w:rPr>
          <w:rFonts w:hint="cs"/>
        </w:rPr>
      </w:pPr>
      <w:r w:rsidRPr="00BD3139">
        <w:footnoteRef/>
      </w:r>
      <w:r>
        <w:rPr>
          <w:rtl/>
        </w:rPr>
        <w:t>.</w:t>
      </w:r>
      <w:r w:rsidR="007F1421" w:rsidRPr="00C60E38">
        <w:rPr>
          <w:rtl/>
        </w:rPr>
        <w:t xml:space="preserve"> </w:t>
      </w:r>
      <w:hyperlink r:id="rId18" w:history="1">
        <w:r w:rsidR="007F1421" w:rsidRPr="00C60E38">
          <w:rPr>
            <w:rStyle w:val="Hyperlink"/>
            <w:rFonts w:hint="eastAsia"/>
            <w:rtl/>
          </w:rPr>
          <w:t>وسائل</w:t>
        </w:r>
        <w:r w:rsidR="007F1421" w:rsidRPr="00C60E38">
          <w:rPr>
            <w:rStyle w:val="Hyperlink"/>
            <w:rtl/>
          </w:rPr>
          <w:t xml:space="preserve"> الش</w:t>
        </w:r>
        <w:r w:rsidR="007F1421" w:rsidRPr="00C60E38">
          <w:rPr>
            <w:rStyle w:val="Hyperlink"/>
            <w:rFonts w:hint="cs"/>
            <w:rtl/>
          </w:rPr>
          <w:t>ی</w:t>
        </w:r>
        <w:r w:rsidR="007F1421" w:rsidRPr="00C60E38">
          <w:rPr>
            <w:rStyle w:val="Hyperlink"/>
            <w:rFonts w:hint="eastAsia"/>
            <w:rtl/>
          </w:rPr>
          <w:t>عة،</w:t>
        </w:r>
        <w:r w:rsidR="007F1421" w:rsidRPr="00C60E38">
          <w:rPr>
            <w:rStyle w:val="Hyperlink"/>
            <w:rtl/>
          </w:rPr>
          <w:t xml:space="preserve"> الش</w:t>
        </w:r>
        <w:r w:rsidR="007F1421" w:rsidRPr="00C60E38">
          <w:rPr>
            <w:rStyle w:val="Hyperlink"/>
            <w:rFonts w:hint="cs"/>
            <w:rtl/>
          </w:rPr>
          <w:t>ی</w:t>
        </w:r>
        <w:r w:rsidR="007F1421" w:rsidRPr="00C60E38">
          <w:rPr>
            <w:rStyle w:val="Hyperlink"/>
            <w:rFonts w:hint="eastAsia"/>
            <w:rtl/>
          </w:rPr>
          <w:t>خ</w:t>
        </w:r>
        <w:r w:rsidR="007F1421" w:rsidRPr="00C60E38">
          <w:rPr>
            <w:rStyle w:val="Hyperlink"/>
            <w:rtl/>
          </w:rPr>
          <w:t xml:space="preserve"> الحر العاملي، ج8، ص250، أبواب الخلل الواقع ف</w:t>
        </w:r>
        <w:r w:rsidR="007F1421" w:rsidRPr="00C60E38">
          <w:rPr>
            <w:rStyle w:val="Hyperlink"/>
            <w:rFonts w:hint="cs"/>
            <w:rtl/>
          </w:rPr>
          <w:t>ی</w:t>
        </w:r>
        <w:r w:rsidR="007F1421" w:rsidRPr="00C60E38">
          <w:rPr>
            <w:rStyle w:val="Hyperlink"/>
            <w:rtl/>
          </w:rPr>
          <w:t xml:space="preserve"> الصلاة، باب32، ح1، ط آل البيت.</w:t>
        </w:r>
      </w:hyperlink>
    </w:p>
  </w:footnote>
  <w:footnote w:id="20">
    <w:p w14:paraId="53A2AF56" w14:textId="293ECDC7" w:rsidR="007F1421" w:rsidRPr="001E4430" w:rsidRDefault="00BD3139" w:rsidP="001E4430">
      <w:pPr>
        <w:pStyle w:val="FootnoteText"/>
        <w:rPr>
          <w:rFonts w:hint="cs"/>
        </w:rPr>
      </w:pPr>
      <w:r w:rsidRPr="00BD3139">
        <w:footnoteRef/>
      </w:r>
      <w:r>
        <w:rPr>
          <w:rtl/>
        </w:rPr>
        <w:t>.</w:t>
      </w:r>
      <w:r w:rsidR="007F1421" w:rsidRPr="001E4430">
        <w:rPr>
          <w:rtl/>
        </w:rPr>
        <w:t xml:space="preserve"> </w:t>
      </w:r>
      <w:hyperlink r:id="rId19" w:history="1">
        <w:r w:rsidR="007F1421" w:rsidRPr="001E4430">
          <w:rPr>
            <w:rStyle w:val="Hyperlink"/>
            <w:rtl/>
          </w:rPr>
          <w:t>وسائل الش</w:t>
        </w:r>
        <w:r w:rsidR="007F1421" w:rsidRPr="001E4430">
          <w:rPr>
            <w:rStyle w:val="Hyperlink"/>
            <w:rFonts w:hint="cs"/>
            <w:rtl/>
          </w:rPr>
          <w:t>ی</w:t>
        </w:r>
        <w:r w:rsidR="007F1421" w:rsidRPr="001E4430">
          <w:rPr>
            <w:rStyle w:val="Hyperlink"/>
            <w:rFonts w:hint="eastAsia"/>
            <w:rtl/>
          </w:rPr>
          <w:t>عة،</w:t>
        </w:r>
        <w:r w:rsidR="007F1421" w:rsidRPr="001E4430">
          <w:rPr>
            <w:rStyle w:val="Hyperlink"/>
            <w:rtl/>
          </w:rPr>
          <w:t xml:space="preserve"> الش</w:t>
        </w:r>
        <w:r w:rsidR="007F1421" w:rsidRPr="001E4430">
          <w:rPr>
            <w:rStyle w:val="Hyperlink"/>
            <w:rFonts w:hint="cs"/>
            <w:rtl/>
          </w:rPr>
          <w:t>ی</w:t>
        </w:r>
        <w:r w:rsidR="007F1421" w:rsidRPr="001E4430">
          <w:rPr>
            <w:rStyle w:val="Hyperlink"/>
            <w:rFonts w:hint="eastAsia"/>
            <w:rtl/>
          </w:rPr>
          <w:t>خ</w:t>
        </w:r>
        <w:r w:rsidR="007F1421" w:rsidRPr="001E4430">
          <w:rPr>
            <w:rStyle w:val="Hyperlink"/>
            <w:rtl/>
          </w:rPr>
          <w:t xml:space="preserve"> الحر العاملي، ج13، ص411، أبواب الطواف، باب60، ح3، ط آل البيت.</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30AA" w14:textId="77777777" w:rsidR="007F1421" w:rsidRDefault="007F1421">
    <w:pPr>
      <w:pStyle w:val="Header"/>
    </w:pPr>
  </w:p>
  <w:p w14:paraId="51C5C4A5" w14:textId="77777777" w:rsidR="007F1421" w:rsidRDefault="007F14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DF78" w14:textId="77777777" w:rsidR="007F1421" w:rsidRPr="001D2E9A" w:rsidRDefault="007F1421"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tl/>
      </w:rPr>
    </w:pPr>
    <w:r w:rsidRPr="001D2E9A">
      <w:rPr>
        <w:rFonts w:hint="cs"/>
        <w:b/>
        <w:bCs/>
        <w:color w:val="7030A0"/>
        <w:sz w:val="20"/>
        <w:szCs w:val="24"/>
        <w:rtl/>
      </w:rPr>
      <w:t>شماره جلسه</w:t>
    </w:r>
    <w:r>
      <w:rPr>
        <w:rFonts w:hint="cs"/>
        <w:b/>
        <w:bCs/>
        <w:sz w:val="20"/>
        <w:szCs w:val="24"/>
        <w:rtl/>
      </w:rPr>
      <w:t xml:space="preserve">: </w:t>
    </w:r>
    <w:bookmarkStart w:id="17" w:name="BokNum"/>
    <w:bookmarkEnd w:id="17"/>
    <w:r>
      <w:rPr>
        <w:b/>
        <w:bCs/>
        <w:sz w:val="20"/>
        <w:szCs w:val="24"/>
        <w:rtl/>
      </w:rPr>
      <w:t>110</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9" w:name="Bokostad"/>
    <w:bookmarkEnd w:id="19"/>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Pr>
        <w:sz w:val="24"/>
        <w:szCs w:val="24"/>
        <w:rtl/>
      </w:rPr>
      <w:t>6 /1 /1401</w:t>
    </w:r>
  </w:p>
  <w:p w14:paraId="0120F86E" w14:textId="77777777" w:rsidR="007F1421" w:rsidRPr="00F16B53" w:rsidRDefault="007F1421"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color w:val="000000" w:themeColor="text1"/>
        <w:sz w:val="24"/>
        <w:szCs w:val="24"/>
        <w:rtl/>
      </w:rPr>
      <w:t>نواه</w:t>
    </w:r>
    <w:r>
      <w:rPr>
        <w:rFonts w:hint="cs"/>
        <w:color w:val="000000" w:themeColor="text1"/>
        <w:sz w:val="24"/>
        <w:szCs w:val="24"/>
        <w:rtl/>
      </w:rPr>
      <w:t>ی</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sz w:val="24"/>
        <w:szCs w:val="24"/>
        <w:rtl/>
      </w:rPr>
      <w:t>س</w:t>
    </w:r>
    <w:r>
      <w:rPr>
        <w:rFonts w:hint="cs"/>
        <w:sz w:val="24"/>
        <w:szCs w:val="24"/>
        <w:rtl/>
      </w:rPr>
      <w:t>ی</w:t>
    </w:r>
    <w:r>
      <w:rPr>
        <w:rFonts w:hint="eastAsia"/>
        <w:sz w:val="24"/>
        <w:szCs w:val="24"/>
        <w:rtl/>
      </w:rPr>
      <w:t>د</w:t>
    </w:r>
    <w:r>
      <w:rPr>
        <w:sz w:val="24"/>
        <w:szCs w:val="24"/>
        <w:rtl/>
      </w:rPr>
      <w:t xml:space="preserve"> عل</w:t>
    </w:r>
    <w:r>
      <w:rPr>
        <w:rFonts w:hint="cs"/>
        <w:sz w:val="24"/>
        <w:szCs w:val="24"/>
        <w:rtl/>
      </w:rPr>
      <w:t>ی</w:t>
    </w:r>
    <w:r>
      <w:rPr>
        <w:sz w:val="24"/>
        <w:szCs w:val="24"/>
        <w:rtl/>
      </w:rPr>
      <w:t xml:space="preserve"> محمود</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Pr>
        <w:sz w:val="24"/>
        <w:szCs w:val="24"/>
        <w:rtl/>
      </w:rPr>
      <w:t>اقتضاء النه</w:t>
    </w:r>
    <w:r>
      <w:rPr>
        <w:rFonts w:hint="cs"/>
        <w:sz w:val="24"/>
        <w:szCs w:val="24"/>
        <w:rtl/>
      </w:rPr>
      <w:t>ی</w:t>
    </w:r>
    <w:r>
      <w:rPr>
        <w:sz w:val="24"/>
        <w:szCs w:val="24"/>
        <w:rtl/>
      </w:rPr>
      <w:t xml:space="preserve"> للفساد</w:t>
    </w:r>
  </w:p>
  <w:p w14:paraId="68E754EC" w14:textId="77777777" w:rsidR="007F1421" w:rsidRDefault="007F14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72A3"/>
    <w:rsid w:val="000239AA"/>
    <w:rsid w:val="00023FF7"/>
    <w:rsid w:val="00025777"/>
    <w:rsid w:val="00025B70"/>
    <w:rsid w:val="00032E1D"/>
    <w:rsid w:val="000353D7"/>
    <w:rsid w:val="00037F3E"/>
    <w:rsid w:val="000407B0"/>
    <w:rsid w:val="00041D7F"/>
    <w:rsid w:val="00042032"/>
    <w:rsid w:val="00055496"/>
    <w:rsid w:val="00080A41"/>
    <w:rsid w:val="0008299B"/>
    <w:rsid w:val="000913AA"/>
    <w:rsid w:val="000932E4"/>
    <w:rsid w:val="00094847"/>
    <w:rsid w:val="00096C63"/>
    <w:rsid w:val="000B5DB5"/>
    <w:rsid w:val="000C3947"/>
    <w:rsid w:val="000C4B95"/>
    <w:rsid w:val="000D2A37"/>
    <w:rsid w:val="000D30E9"/>
    <w:rsid w:val="000D6818"/>
    <w:rsid w:val="000E335E"/>
    <w:rsid w:val="000F16CF"/>
    <w:rsid w:val="000F5BAC"/>
    <w:rsid w:val="00100877"/>
    <w:rsid w:val="00102585"/>
    <w:rsid w:val="00105C50"/>
    <w:rsid w:val="00114AB7"/>
    <w:rsid w:val="00116B2B"/>
    <w:rsid w:val="00124E3D"/>
    <w:rsid w:val="00127141"/>
    <w:rsid w:val="00127E95"/>
    <w:rsid w:val="00130659"/>
    <w:rsid w:val="00132EA2"/>
    <w:rsid w:val="001347C7"/>
    <w:rsid w:val="001356B0"/>
    <w:rsid w:val="00140080"/>
    <w:rsid w:val="00144326"/>
    <w:rsid w:val="00144B9B"/>
    <w:rsid w:val="00145C1D"/>
    <w:rsid w:val="001517A1"/>
    <w:rsid w:val="00151937"/>
    <w:rsid w:val="00153D17"/>
    <w:rsid w:val="00181844"/>
    <w:rsid w:val="001837E9"/>
    <w:rsid w:val="00187DFA"/>
    <w:rsid w:val="00195226"/>
    <w:rsid w:val="001A1BC1"/>
    <w:rsid w:val="001A1EA5"/>
    <w:rsid w:val="001A2574"/>
    <w:rsid w:val="001A27D7"/>
    <w:rsid w:val="001A294E"/>
    <w:rsid w:val="001A32BD"/>
    <w:rsid w:val="001A4ED8"/>
    <w:rsid w:val="001B2488"/>
    <w:rsid w:val="001B6799"/>
    <w:rsid w:val="001C1362"/>
    <w:rsid w:val="001D2E9A"/>
    <w:rsid w:val="001D597F"/>
    <w:rsid w:val="001E3FD4"/>
    <w:rsid w:val="001E4430"/>
    <w:rsid w:val="0020241A"/>
    <w:rsid w:val="00203821"/>
    <w:rsid w:val="00203E9C"/>
    <w:rsid w:val="00211632"/>
    <w:rsid w:val="0021630D"/>
    <w:rsid w:val="0024121B"/>
    <w:rsid w:val="002417CF"/>
    <w:rsid w:val="00247D2F"/>
    <w:rsid w:val="00256560"/>
    <w:rsid w:val="00257650"/>
    <w:rsid w:val="0027605E"/>
    <w:rsid w:val="00281E00"/>
    <w:rsid w:val="00294A52"/>
    <w:rsid w:val="002B575F"/>
    <w:rsid w:val="002B729B"/>
    <w:rsid w:val="002C23B5"/>
    <w:rsid w:val="002C53A2"/>
    <w:rsid w:val="002D0040"/>
    <w:rsid w:val="002D2FA8"/>
    <w:rsid w:val="002E138D"/>
    <w:rsid w:val="002E220F"/>
    <w:rsid w:val="00307311"/>
    <w:rsid w:val="0031092E"/>
    <w:rsid w:val="003145A2"/>
    <w:rsid w:val="0032100F"/>
    <w:rsid w:val="00327BF1"/>
    <w:rsid w:val="003314E6"/>
    <w:rsid w:val="0033402C"/>
    <w:rsid w:val="00337A12"/>
    <w:rsid w:val="00340521"/>
    <w:rsid w:val="00345C73"/>
    <w:rsid w:val="00354A99"/>
    <w:rsid w:val="00360311"/>
    <w:rsid w:val="00361922"/>
    <w:rsid w:val="0037339B"/>
    <w:rsid w:val="003739FE"/>
    <w:rsid w:val="00386C11"/>
    <w:rsid w:val="00397466"/>
    <w:rsid w:val="003A34F2"/>
    <w:rsid w:val="003A6148"/>
    <w:rsid w:val="003C2A38"/>
    <w:rsid w:val="003C33F6"/>
    <w:rsid w:val="003C3D2E"/>
    <w:rsid w:val="003C43A5"/>
    <w:rsid w:val="003C44F4"/>
    <w:rsid w:val="003C7D65"/>
    <w:rsid w:val="003D3065"/>
    <w:rsid w:val="003E0DA4"/>
    <w:rsid w:val="003E1C5C"/>
    <w:rsid w:val="003E6650"/>
    <w:rsid w:val="003F0123"/>
    <w:rsid w:val="003F25F5"/>
    <w:rsid w:val="003F5B46"/>
    <w:rsid w:val="00401363"/>
    <w:rsid w:val="00402E47"/>
    <w:rsid w:val="00403DE0"/>
    <w:rsid w:val="004150CF"/>
    <w:rsid w:val="00415B16"/>
    <w:rsid w:val="00425015"/>
    <w:rsid w:val="00430994"/>
    <w:rsid w:val="00441B6D"/>
    <w:rsid w:val="004556EF"/>
    <w:rsid w:val="00457447"/>
    <w:rsid w:val="00462B07"/>
    <w:rsid w:val="00465BD2"/>
    <w:rsid w:val="004715C8"/>
    <w:rsid w:val="00481C31"/>
    <w:rsid w:val="00482FC1"/>
    <w:rsid w:val="00483027"/>
    <w:rsid w:val="00484710"/>
    <w:rsid w:val="004871AA"/>
    <w:rsid w:val="004918D7"/>
    <w:rsid w:val="004926E1"/>
    <w:rsid w:val="004A2FEA"/>
    <w:rsid w:val="004C7751"/>
    <w:rsid w:val="004D2DD7"/>
    <w:rsid w:val="004D75C5"/>
    <w:rsid w:val="004E2186"/>
    <w:rsid w:val="004E66FB"/>
    <w:rsid w:val="004E67CB"/>
    <w:rsid w:val="004F470A"/>
    <w:rsid w:val="004F4C59"/>
    <w:rsid w:val="00500C8F"/>
    <w:rsid w:val="00501909"/>
    <w:rsid w:val="00507BBB"/>
    <w:rsid w:val="005128DF"/>
    <w:rsid w:val="0051592A"/>
    <w:rsid w:val="005206FE"/>
    <w:rsid w:val="005257ED"/>
    <w:rsid w:val="0052692B"/>
    <w:rsid w:val="005306F8"/>
    <w:rsid w:val="00537672"/>
    <w:rsid w:val="0054023D"/>
    <w:rsid w:val="005426BF"/>
    <w:rsid w:val="00556656"/>
    <w:rsid w:val="0056213C"/>
    <w:rsid w:val="005771E7"/>
    <w:rsid w:val="00580C24"/>
    <w:rsid w:val="005812C5"/>
    <w:rsid w:val="00593E37"/>
    <w:rsid w:val="00593E9D"/>
    <w:rsid w:val="005968EF"/>
    <w:rsid w:val="00596C1E"/>
    <w:rsid w:val="005A2E26"/>
    <w:rsid w:val="005B7BCA"/>
    <w:rsid w:val="005C0DAE"/>
    <w:rsid w:val="005C188E"/>
    <w:rsid w:val="005D2349"/>
    <w:rsid w:val="005E1B60"/>
    <w:rsid w:val="005E3E90"/>
    <w:rsid w:val="005E5507"/>
    <w:rsid w:val="005E607B"/>
    <w:rsid w:val="005F0A8D"/>
    <w:rsid w:val="005F33B6"/>
    <w:rsid w:val="005F5FFD"/>
    <w:rsid w:val="00601229"/>
    <w:rsid w:val="00603B67"/>
    <w:rsid w:val="006162A2"/>
    <w:rsid w:val="006240DA"/>
    <w:rsid w:val="0063256E"/>
    <w:rsid w:val="00633F04"/>
    <w:rsid w:val="00635219"/>
    <w:rsid w:val="00635EC0"/>
    <w:rsid w:val="00640B58"/>
    <w:rsid w:val="00644D4C"/>
    <w:rsid w:val="00651B02"/>
    <w:rsid w:val="00651B19"/>
    <w:rsid w:val="00660A29"/>
    <w:rsid w:val="00695519"/>
    <w:rsid w:val="006A4134"/>
    <w:rsid w:val="006A5DDA"/>
    <w:rsid w:val="006A6701"/>
    <w:rsid w:val="006B21F4"/>
    <w:rsid w:val="006B3753"/>
    <w:rsid w:val="006B7AD6"/>
    <w:rsid w:val="006C18F3"/>
    <w:rsid w:val="006C50FD"/>
    <w:rsid w:val="006D1DD4"/>
    <w:rsid w:val="006D4014"/>
    <w:rsid w:val="006D44C1"/>
    <w:rsid w:val="006E5651"/>
    <w:rsid w:val="006E5B85"/>
    <w:rsid w:val="006F026A"/>
    <w:rsid w:val="0070265B"/>
    <w:rsid w:val="00704813"/>
    <w:rsid w:val="0072290D"/>
    <w:rsid w:val="0072374E"/>
    <w:rsid w:val="00723D6D"/>
    <w:rsid w:val="00724537"/>
    <w:rsid w:val="00731724"/>
    <w:rsid w:val="0073474B"/>
    <w:rsid w:val="00735511"/>
    <w:rsid w:val="00737208"/>
    <w:rsid w:val="00744DE6"/>
    <w:rsid w:val="007540EF"/>
    <w:rsid w:val="00756C93"/>
    <w:rsid w:val="00762452"/>
    <w:rsid w:val="007639E0"/>
    <w:rsid w:val="00775507"/>
    <w:rsid w:val="00783473"/>
    <w:rsid w:val="00783BF3"/>
    <w:rsid w:val="00784A0F"/>
    <w:rsid w:val="0078594B"/>
    <w:rsid w:val="007924A8"/>
    <w:rsid w:val="00795E02"/>
    <w:rsid w:val="007979D0"/>
    <w:rsid w:val="007A4E18"/>
    <w:rsid w:val="007A7B8C"/>
    <w:rsid w:val="007B05F9"/>
    <w:rsid w:val="007C254E"/>
    <w:rsid w:val="007C2A0E"/>
    <w:rsid w:val="007C6D9E"/>
    <w:rsid w:val="007D1C43"/>
    <w:rsid w:val="007D6C53"/>
    <w:rsid w:val="007E1564"/>
    <w:rsid w:val="007E1E87"/>
    <w:rsid w:val="007E5B3F"/>
    <w:rsid w:val="007F1421"/>
    <w:rsid w:val="007F2257"/>
    <w:rsid w:val="0080091D"/>
    <w:rsid w:val="00804108"/>
    <w:rsid w:val="00804FC4"/>
    <w:rsid w:val="00816367"/>
    <w:rsid w:val="00816A0B"/>
    <w:rsid w:val="00824B22"/>
    <w:rsid w:val="008256EF"/>
    <w:rsid w:val="00830C53"/>
    <w:rsid w:val="00837FAA"/>
    <w:rsid w:val="00841F77"/>
    <w:rsid w:val="008473C6"/>
    <w:rsid w:val="0085276D"/>
    <w:rsid w:val="00853040"/>
    <w:rsid w:val="00863390"/>
    <w:rsid w:val="0086385C"/>
    <w:rsid w:val="00871916"/>
    <w:rsid w:val="0088443F"/>
    <w:rsid w:val="008956DD"/>
    <w:rsid w:val="008A510E"/>
    <w:rsid w:val="008A522A"/>
    <w:rsid w:val="008B4464"/>
    <w:rsid w:val="008B750B"/>
    <w:rsid w:val="008C3162"/>
    <w:rsid w:val="008D1F14"/>
    <w:rsid w:val="008E0976"/>
    <w:rsid w:val="008E3924"/>
    <w:rsid w:val="008E52B2"/>
    <w:rsid w:val="008F13F7"/>
    <w:rsid w:val="008F5B4D"/>
    <w:rsid w:val="008F7127"/>
    <w:rsid w:val="00907425"/>
    <w:rsid w:val="00913DB5"/>
    <w:rsid w:val="00921F83"/>
    <w:rsid w:val="00923C34"/>
    <w:rsid w:val="00924152"/>
    <w:rsid w:val="0092513D"/>
    <w:rsid w:val="00927A9F"/>
    <w:rsid w:val="00927E5C"/>
    <w:rsid w:val="00927EA8"/>
    <w:rsid w:val="009335CC"/>
    <w:rsid w:val="00933AE8"/>
    <w:rsid w:val="00935A55"/>
    <w:rsid w:val="00937753"/>
    <w:rsid w:val="00941CEB"/>
    <w:rsid w:val="0094720F"/>
    <w:rsid w:val="00953B28"/>
    <w:rsid w:val="00954322"/>
    <w:rsid w:val="00957CAA"/>
    <w:rsid w:val="0096778A"/>
    <w:rsid w:val="00977656"/>
    <w:rsid w:val="009846A7"/>
    <w:rsid w:val="0098794D"/>
    <w:rsid w:val="0099497B"/>
    <w:rsid w:val="009A337F"/>
    <w:rsid w:val="009A43BA"/>
    <w:rsid w:val="009B0D05"/>
    <w:rsid w:val="009B4CA6"/>
    <w:rsid w:val="009B79F8"/>
    <w:rsid w:val="009C1184"/>
    <w:rsid w:val="009C66D5"/>
    <w:rsid w:val="009D13FD"/>
    <w:rsid w:val="009D266A"/>
    <w:rsid w:val="009D36F3"/>
    <w:rsid w:val="009D4816"/>
    <w:rsid w:val="009D5049"/>
    <w:rsid w:val="009D5B17"/>
    <w:rsid w:val="009F7E07"/>
    <w:rsid w:val="00A01522"/>
    <w:rsid w:val="00A10A11"/>
    <w:rsid w:val="00A13C6A"/>
    <w:rsid w:val="00A17B09"/>
    <w:rsid w:val="00A40C79"/>
    <w:rsid w:val="00A457C6"/>
    <w:rsid w:val="00A46AD0"/>
    <w:rsid w:val="00A47063"/>
    <w:rsid w:val="00A473A8"/>
    <w:rsid w:val="00A50C2C"/>
    <w:rsid w:val="00A513F0"/>
    <w:rsid w:val="00A61AC8"/>
    <w:rsid w:val="00A6366F"/>
    <w:rsid w:val="00A65D4C"/>
    <w:rsid w:val="00A70512"/>
    <w:rsid w:val="00AA1F60"/>
    <w:rsid w:val="00AA31E1"/>
    <w:rsid w:val="00AA40D7"/>
    <w:rsid w:val="00AA482E"/>
    <w:rsid w:val="00AB5F7D"/>
    <w:rsid w:val="00AC0C50"/>
    <w:rsid w:val="00AC6FE2"/>
    <w:rsid w:val="00AD15DE"/>
    <w:rsid w:val="00AD37DD"/>
    <w:rsid w:val="00AF3925"/>
    <w:rsid w:val="00AF3AD0"/>
    <w:rsid w:val="00B039EC"/>
    <w:rsid w:val="00B1296B"/>
    <w:rsid w:val="00B2292F"/>
    <w:rsid w:val="00B237C6"/>
    <w:rsid w:val="00B25B22"/>
    <w:rsid w:val="00B33337"/>
    <w:rsid w:val="00B43169"/>
    <w:rsid w:val="00B501A8"/>
    <w:rsid w:val="00B55AE4"/>
    <w:rsid w:val="00B70B46"/>
    <w:rsid w:val="00B739B0"/>
    <w:rsid w:val="00B75FC7"/>
    <w:rsid w:val="00B814A3"/>
    <w:rsid w:val="00B86F32"/>
    <w:rsid w:val="00B91561"/>
    <w:rsid w:val="00B96F38"/>
    <w:rsid w:val="00BB37CF"/>
    <w:rsid w:val="00BB68EB"/>
    <w:rsid w:val="00BC185A"/>
    <w:rsid w:val="00BC31A2"/>
    <w:rsid w:val="00BC716B"/>
    <w:rsid w:val="00BD0E74"/>
    <w:rsid w:val="00BD3139"/>
    <w:rsid w:val="00BD5F8C"/>
    <w:rsid w:val="00BD7C60"/>
    <w:rsid w:val="00BE29DD"/>
    <w:rsid w:val="00C066AF"/>
    <w:rsid w:val="00C10E06"/>
    <w:rsid w:val="00C145B8"/>
    <w:rsid w:val="00C2438F"/>
    <w:rsid w:val="00C306BF"/>
    <w:rsid w:val="00C31AF0"/>
    <w:rsid w:val="00C32A7E"/>
    <w:rsid w:val="00C34F28"/>
    <w:rsid w:val="00C368DF"/>
    <w:rsid w:val="00C442C5"/>
    <w:rsid w:val="00C5098A"/>
    <w:rsid w:val="00C54853"/>
    <w:rsid w:val="00C57B5C"/>
    <w:rsid w:val="00C57C7C"/>
    <w:rsid w:val="00C60E38"/>
    <w:rsid w:val="00C61049"/>
    <w:rsid w:val="00C63FFE"/>
    <w:rsid w:val="00C91EB6"/>
    <w:rsid w:val="00C94664"/>
    <w:rsid w:val="00CA10B0"/>
    <w:rsid w:val="00CA2F8E"/>
    <w:rsid w:val="00CA3EE2"/>
    <w:rsid w:val="00CA7FD5"/>
    <w:rsid w:val="00CB3287"/>
    <w:rsid w:val="00CB33E2"/>
    <w:rsid w:val="00CB4E68"/>
    <w:rsid w:val="00CB5A25"/>
    <w:rsid w:val="00CC2733"/>
    <w:rsid w:val="00CD0050"/>
    <w:rsid w:val="00CD7AD4"/>
    <w:rsid w:val="00CE5DFD"/>
    <w:rsid w:val="00CE7481"/>
    <w:rsid w:val="00CF0A8F"/>
    <w:rsid w:val="00D048CE"/>
    <w:rsid w:val="00D10998"/>
    <w:rsid w:val="00D13E2B"/>
    <w:rsid w:val="00D15CBD"/>
    <w:rsid w:val="00D20DAC"/>
    <w:rsid w:val="00D221CB"/>
    <w:rsid w:val="00D23391"/>
    <w:rsid w:val="00D31805"/>
    <w:rsid w:val="00D42A25"/>
    <w:rsid w:val="00D47585"/>
    <w:rsid w:val="00D552B9"/>
    <w:rsid w:val="00D56C61"/>
    <w:rsid w:val="00D70805"/>
    <w:rsid w:val="00D735B2"/>
    <w:rsid w:val="00D74021"/>
    <w:rsid w:val="00D76D01"/>
    <w:rsid w:val="00D8211F"/>
    <w:rsid w:val="00D83BFD"/>
    <w:rsid w:val="00D85775"/>
    <w:rsid w:val="00D87416"/>
    <w:rsid w:val="00D91215"/>
    <w:rsid w:val="00D91571"/>
    <w:rsid w:val="00D922A9"/>
    <w:rsid w:val="00D9394A"/>
    <w:rsid w:val="00D93A8B"/>
    <w:rsid w:val="00DB0CBB"/>
    <w:rsid w:val="00DB67CC"/>
    <w:rsid w:val="00DC35C0"/>
    <w:rsid w:val="00DC3783"/>
    <w:rsid w:val="00DD2891"/>
    <w:rsid w:val="00DD58B6"/>
    <w:rsid w:val="00DE1070"/>
    <w:rsid w:val="00DE25D3"/>
    <w:rsid w:val="00DF5EA6"/>
    <w:rsid w:val="00E00219"/>
    <w:rsid w:val="00E01ED9"/>
    <w:rsid w:val="00E0316B"/>
    <w:rsid w:val="00E2086D"/>
    <w:rsid w:val="00E25E10"/>
    <w:rsid w:val="00E3669B"/>
    <w:rsid w:val="00E505E3"/>
    <w:rsid w:val="00E50B41"/>
    <w:rsid w:val="00E5219B"/>
    <w:rsid w:val="00E52D07"/>
    <w:rsid w:val="00E53ABD"/>
    <w:rsid w:val="00E5518B"/>
    <w:rsid w:val="00E609FE"/>
    <w:rsid w:val="00E630BE"/>
    <w:rsid w:val="00E75920"/>
    <w:rsid w:val="00E77550"/>
    <w:rsid w:val="00E80D96"/>
    <w:rsid w:val="00E84A03"/>
    <w:rsid w:val="00E871FA"/>
    <w:rsid w:val="00E936A4"/>
    <w:rsid w:val="00E94444"/>
    <w:rsid w:val="00E954BB"/>
    <w:rsid w:val="00EA424C"/>
    <w:rsid w:val="00EA45E7"/>
    <w:rsid w:val="00EA710C"/>
    <w:rsid w:val="00EB0ACA"/>
    <w:rsid w:val="00EB6B0F"/>
    <w:rsid w:val="00EB78E3"/>
    <w:rsid w:val="00EB7BE3"/>
    <w:rsid w:val="00EC1C4B"/>
    <w:rsid w:val="00EC735A"/>
    <w:rsid w:val="00EC77A1"/>
    <w:rsid w:val="00ED5F38"/>
    <w:rsid w:val="00ED6053"/>
    <w:rsid w:val="00EE2261"/>
    <w:rsid w:val="00EE27C0"/>
    <w:rsid w:val="00EE5DAE"/>
    <w:rsid w:val="00EF27FE"/>
    <w:rsid w:val="00EF36A5"/>
    <w:rsid w:val="00EF748E"/>
    <w:rsid w:val="00F07FB6"/>
    <w:rsid w:val="00F149D0"/>
    <w:rsid w:val="00F16B53"/>
    <w:rsid w:val="00F17487"/>
    <w:rsid w:val="00F21FA8"/>
    <w:rsid w:val="00F25ECD"/>
    <w:rsid w:val="00F30F1F"/>
    <w:rsid w:val="00F318BE"/>
    <w:rsid w:val="00F33297"/>
    <w:rsid w:val="00F343FB"/>
    <w:rsid w:val="00F359FE"/>
    <w:rsid w:val="00F368C1"/>
    <w:rsid w:val="00F42159"/>
    <w:rsid w:val="00F4256E"/>
    <w:rsid w:val="00F42EE1"/>
    <w:rsid w:val="00F438AD"/>
    <w:rsid w:val="00F46696"/>
    <w:rsid w:val="00F47CDA"/>
    <w:rsid w:val="00F57946"/>
    <w:rsid w:val="00F608E8"/>
    <w:rsid w:val="00F60F1F"/>
    <w:rsid w:val="00F64141"/>
    <w:rsid w:val="00F67508"/>
    <w:rsid w:val="00F71FC9"/>
    <w:rsid w:val="00F73B48"/>
    <w:rsid w:val="00F74F51"/>
    <w:rsid w:val="00F842AD"/>
    <w:rsid w:val="00F914EB"/>
    <w:rsid w:val="00F91B85"/>
    <w:rsid w:val="00F938E7"/>
    <w:rsid w:val="00FA2794"/>
    <w:rsid w:val="00FA3B17"/>
    <w:rsid w:val="00FA5E8D"/>
    <w:rsid w:val="00FA5F3D"/>
    <w:rsid w:val="00FB19B2"/>
    <w:rsid w:val="00FB399E"/>
    <w:rsid w:val="00FB7F50"/>
    <w:rsid w:val="00FC2A85"/>
    <w:rsid w:val="00FC40AF"/>
    <w:rsid w:val="00FC4865"/>
    <w:rsid w:val="00FC73B9"/>
    <w:rsid w:val="00FD0A16"/>
    <w:rsid w:val="00FD47FE"/>
    <w:rsid w:val="00FE3D7D"/>
    <w:rsid w:val="00FE4A78"/>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85A7"/>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10"/>
    <w:pPr>
      <w:bidi/>
      <w:spacing w:line="276" w:lineRule="auto"/>
      <w:ind w:firstLine="454"/>
      <w:jc w:val="both"/>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rsid w:val="006D4014"/>
    <w:rPr>
      <w:rFonts w:cs="B Badr"/>
      <w:b/>
      <w:bCs/>
      <w:color w:val="000080"/>
      <w:sz w:val="20"/>
      <w:szCs w:val="28"/>
    </w:rPr>
  </w:style>
  <w:style w:type="character" w:styleId="UnresolvedMention">
    <w:name w:val="Unresolved Mention"/>
    <w:basedOn w:val="DefaultParagraphFont"/>
    <w:uiPriority w:val="99"/>
    <w:semiHidden/>
    <w:unhideWhenUsed/>
    <w:rsid w:val="001A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76165714">
      <w:bodyDiv w:val="1"/>
      <w:marLeft w:val="0"/>
      <w:marRight w:val="0"/>
      <w:marTop w:val="0"/>
      <w:marBottom w:val="0"/>
      <w:divBdr>
        <w:top w:val="none" w:sz="0" w:space="0" w:color="auto"/>
        <w:left w:val="none" w:sz="0" w:space="0" w:color="auto"/>
        <w:bottom w:val="none" w:sz="0" w:space="0" w:color="auto"/>
        <w:right w:val="none" w:sz="0" w:space="0" w:color="auto"/>
      </w:divBdr>
    </w:div>
    <w:div w:id="18409666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416969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295341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7109377">
      <w:bodyDiv w:val="1"/>
      <w:marLeft w:val="0"/>
      <w:marRight w:val="0"/>
      <w:marTop w:val="0"/>
      <w:marBottom w:val="0"/>
      <w:divBdr>
        <w:top w:val="none" w:sz="0" w:space="0" w:color="auto"/>
        <w:left w:val="none" w:sz="0" w:space="0" w:color="auto"/>
        <w:bottom w:val="none" w:sz="0" w:space="0" w:color="auto"/>
        <w:right w:val="none" w:sz="0" w:space="0" w:color="auto"/>
      </w:divBdr>
    </w:div>
    <w:div w:id="75956540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511777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039586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77028294">
      <w:bodyDiv w:val="1"/>
      <w:marLeft w:val="0"/>
      <w:marRight w:val="0"/>
      <w:marTop w:val="0"/>
      <w:marBottom w:val="0"/>
      <w:divBdr>
        <w:top w:val="none" w:sz="0" w:space="0" w:color="auto"/>
        <w:left w:val="none" w:sz="0" w:space="0" w:color="auto"/>
        <w:bottom w:val="none" w:sz="0" w:space="0" w:color="auto"/>
        <w:right w:val="none" w:sz="0" w:space="0" w:color="auto"/>
      </w:divBdr>
    </w:div>
    <w:div w:id="179617054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9171073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3064/3/123/&#1608;&#1602;&#1608;&#1593;%20&#1576;&#1575;&#1591;&#1604;&#1577;" TargetMode="External"/><Relationship Id="rId13" Type="http://schemas.openxmlformats.org/officeDocument/2006/relationships/hyperlink" Target="http://lib.eshia.ir/11025/17/448/&#1606;&#1607;&#1740;%20&#1576;&#1740;&#1593;%20&#1575;&#1604;&#1594;&#1585;&#1585;" TargetMode="External"/><Relationship Id="rId18" Type="http://schemas.openxmlformats.org/officeDocument/2006/relationships/hyperlink" Target="http://lib.eshia.ir/11025/8/250/&#1575;&#1604;&#1605;&#1585;&#1594;&#1605;&#1578;&#1575;&#1606;%20&#1578;&#1585;&#1594;&#1605;&#1575;&#1606;%20&#1575;&#1604;&#1588;&#1740;&#1591;&#1575;&#1606;" TargetMode="External"/><Relationship Id="rId3" Type="http://schemas.openxmlformats.org/officeDocument/2006/relationships/hyperlink" Target="http://lib.eshia.ir/11025/10/174/&#1587;&#1605;&#1740;%20&#1585;&#1587;&#1608;&#1604;%20&#1575;&#1604;&#1604;&#1607;%20&#1593;&#1589;&#1575;&#1577;" TargetMode="External"/><Relationship Id="rId7" Type="http://schemas.openxmlformats.org/officeDocument/2006/relationships/hyperlink" Target="http://lib.eshia.ir/11025/27/21/" TargetMode="External"/><Relationship Id="rId12" Type="http://schemas.openxmlformats.org/officeDocument/2006/relationships/hyperlink" Target="http://lib.eshia.ir/13064/3/124/&#1605;&#1608;&#1585;&#1583;%20&#1578;&#1608;&#1607;&#1605;" TargetMode="External"/><Relationship Id="rId17" Type="http://schemas.openxmlformats.org/officeDocument/2006/relationships/hyperlink" Target="http://lib.eshia.ir/11025/11/304/&#1605;&#1581;&#1578;&#1576;&#1587;" TargetMode="External"/><Relationship Id="rId2" Type="http://schemas.openxmlformats.org/officeDocument/2006/relationships/hyperlink" Target="http://lib.eshia.ir/11025/10/199/&#1608;&#1575;&#1604;&#1589;&#1608;&#1605;%20&#1605;&#1593;&#1589;&#1740;&#1577;" TargetMode="External"/><Relationship Id="rId16" Type="http://schemas.openxmlformats.org/officeDocument/2006/relationships/hyperlink" Target="http://lib.eshia.ir/11025/11/303/&#1740;&#1602;&#1590;&#1740;" TargetMode="External"/><Relationship Id="rId1" Type="http://schemas.openxmlformats.org/officeDocument/2006/relationships/hyperlink" Target="http://lib.eshia.ir/11025/10/26/&#1578;&#1589;&#1605;%20&#1575;&#1604;&#1587;&#1601;&#1585;" TargetMode="External"/><Relationship Id="rId6" Type="http://schemas.openxmlformats.org/officeDocument/2006/relationships/hyperlink" Target="http://lib.eshia.ir/11025/27/24/&#1740;&#1602;&#1608;&#1604;&#1608;&#1575;%20&#1740;&#1593;&#1604;&#1605;&#1608;&#1606;%20&#1608;&#1740;&#1705;&#1601;&#1608;&#1575;" TargetMode="External"/><Relationship Id="rId11" Type="http://schemas.openxmlformats.org/officeDocument/2006/relationships/hyperlink" Target="http://lib.eshia.ir/11025/10/465/" TargetMode="External"/><Relationship Id="rId5" Type="http://schemas.openxmlformats.org/officeDocument/2006/relationships/hyperlink" Target="http://lib.eshia.ir/10083/3/69/&#1586;&#1585;&#1575;&#1585;&#1577;%20&#1608;&#1575;&#1604;&#1601;&#1590;&#1740;&#1604;" TargetMode="External"/><Relationship Id="rId15" Type="http://schemas.openxmlformats.org/officeDocument/2006/relationships/hyperlink" Target="http://lib.eshia.ir/11025/6/406/&#1601;&#1585;&#1594;&#1578;%20&#1575;&#1604;&#1578;&#1587;&#1604;&#1610;&#1605;" TargetMode="External"/><Relationship Id="rId10" Type="http://schemas.openxmlformats.org/officeDocument/2006/relationships/hyperlink" Target="http://lib.eshia.ir/11005/3/92/" TargetMode="External"/><Relationship Id="rId19" Type="http://schemas.openxmlformats.org/officeDocument/2006/relationships/hyperlink" Target="http://lib.eshia.ir/11025/13/411/&#1594;&#1583;" TargetMode="External"/><Relationship Id="rId4" Type="http://schemas.openxmlformats.org/officeDocument/2006/relationships/hyperlink" Target="http://lib.eshia.ir/13050/5/276/" TargetMode="External"/><Relationship Id="rId9" Type="http://schemas.openxmlformats.org/officeDocument/2006/relationships/hyperlink" Target="http://lib.eshia.ir/13064/3/123/" TargetMode="External"/><Relationship Id="rId14" Type="http://schemas.openxmlformats.org/officeDocument/2006/relationships/hyperlink" Target="http://lib.eshia.ir/11025/24/16/&#1578;&#1606;&#1582;&#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1318-CB56-4250-997B-AE464E2E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1416</TotalTime>
  <Pages>10</Pages>
  <Words>2825</Words>
  <Characters>16108</Characters>
  <Application>Microsoft Office Word</Application>
  <DocSecurity>0</DocSecurity>
  <Lines>134</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18896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cp:keywords>تقریر، درس خارج</cp:keywords>
  <cp:lastModifiedBy>SAM</cp:lastModifiedBy>
  <cp:revision>144</cp:revision>
  <dcterms:created xsi:type="dcterms:W3CDTF">2022-03-26T05:54:00Z</dcterms:created>
  <dcterms:modified xsi:type="dcterms:W3CDTF">2022-03-27T12:12:00Z</dcterms:modified>
  <cp:contentStatus>ویرایش 2.5</cp:contentStatus>
  <cp:version>2.7</cp:version>
</cp:coreProperties>
</file>