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B425" w14:textId="77777777" w:rsidR="003B7113" w:rsidRDefault="003B7113" w:rsidP="003B7113">
      <w:bookmarkStart w:id="0" w:name="_Toc135027659"/>
      <w:r>
        <w:rPr>
          <w:rtl/>
        </w:rPr>
        <w:t>بسمه تعالی</w:t>
      </w:r>
    </w:p>
    <w:p w14:paraId="1197D5B9" w14:textId="77777777" w:rsidR="003B7113" w:rsidRDefault="003B7113" w:rsidP="003B7113">
      <w:pPr>
        <w:jc w:val="both"/>
      </w:pPr>
      <w:r>
        <w:rPr>
          <w:color w:val="FF0000"/>
          <w:rtl/>
        </w:rPr>
        <w:t xml:space="preserve">موضوع: </w:t>
      </w:r>
      <w:r>
        <w:rPr>
          <w:rtl/>
        </w:rPr>
        <w:t>تجری/ احکام قطع/ مباحث حجج</w:t>
      </w:r>
    </w:p>
    <w:p w14:paraId="08EECB70" w14:textId="77777777" w:rsidR="003B7113" w:rsidRDefault="003B7113" w:rsidP="003B7113"/>
    <w:p w14:paraId="55C02CD7" w14:textId="77777777" w:rsidR="00115E79" w:rsidRDefault="00115E79" w:rsidP="003B7113">
      <w:pPr>
        <w:pStyle w:val="Heading1"/>
        <w:jc w:val="both"/>
        <w:rPr>
          <w:rtl/>
        </w:rPr>
      </w:pPr>
      <w:bookmarkStart w:id="1" w:name="_Toc135484935"/>
      <w:r>
        <w:rPr>
          <w:rFonts w:hint="cs"/>
          <w:rtl/>
        </w:rPr>
        <w:t>تجری</w:t>
      </w:r>
      <w:bookmarkEnd w:id="0"/>
      <w:bookmarkEnd w:id="1"/>
    </w:p>
    <w:p w14:paraId="488512D1" w14:textId="77777777" w:rsidR="00115E79" w:rsidRDefault="00115E79" w:rsidP="004D31BD">
      <w:pPr>
        <w:pStyle w:val="Heading2"/>
        <w:jc w:val="both"/>
        <w:rPr>
          <w:rtl/>
        </w:rPr>
      </w:pPr>
      <w:bookmarkStart w:id="2" w:name="_Toc135027660"/>
      <w:bookmarkStart w:id="3" w:name="_Toc135484936"/>
      <w:r>
        <w:rPr>
          <w:rFonts w:hint="cs"/>
          <w:rtl/>
        </w:rPr>
        <w:t>مقام سوم: حرمت تجری</w:t>
      </w:r>
      <w:bookmarkEnd w:id="2"/>
      <w:bookmarkEnd w:id="3"/>
    </w:p>
    <w:p w14:paraId="342FA62E" w14:textId="77777777" w:rsidR="00115E79" w:rsidRDefault="00115E79" w:rsidP="004D31BD">
      <w:pPr>
        <w:pStyle w:val="Heading3"/>
        <w:jc w:val="both"/>
        <w:rPr>
          <w:rtl/>
        </w:rPr>
      </w:pPr>
      <w:bookmarkStart w:id="4" w:name="_Toc135027661"/>
      <w:bookmarkStart w:id="5" w:name="_Toc135484937"/>
      <w:r>
        <w:rPr>
          <w:rFonts w:hint="cs"/>
          <w:rtl/>
        </w:rPr>
        <w:t>ادله‌ی حرمت تجری</w:t>
      </w:r>
      <w:bookmarkEnd w:id="4"/>
      <w:bookmarkEnd w:id="5"/>
    </w:p>
    <w:p w14:paraId="23070CC7" w14:textId="77777777" w:rsidR="00115E79" w:rsidRDefault="00115E79" w:rsidP="004D31BD">
      <w:pPr>
        <w:pStyle w:val="Heading3"/>
        <w:jc w:val="both"/>
        <w:rPr>
          <w:rtl/>
        </w:rPr>
      </w:pPr>
      <w:bookmarkStart w:id="6" w:name="_Toc135027662"/>
      <w:bookmarkStart w:id="7" w:name="_Toc135484938"/>
      <w:r>
        <w:rPr>
          <w:rFonts w:hint="cs"/>
          <w:rtl/>
        </w:rPr>
        <w:t>دلیل دوم: تمسک به قاعده‌ی ملازمه</w:t>
      </w:r>
      <w:bookmarkEnd w:id="6"/>
      <w:bookmarkEnd w:id="7"/>
    </w:p>
    <w:p w14:paraId="6081EE81" w14:textId="77777777" w:rsidR="00115E79" w:rsidRDefault="00115E79" w:rsidP="004D31BD">
      <w:pPr>
        <w:jc w:val="both"/>
        <w:rPr>
          <w:rtl/>
        </w:rPr>
      </w:pPr>
      <w:r>
        <w:rPr>
          <w:rFonts w:hint="cs"/>
          <w:rtl/>
        </w:rPr>
        <w:t xml:space="preserve">دومین دلیلی که برای اثبات حرمت تجری بیان شد، قاعده‌ی ملازمه بین حکم عقل و حکم شرع است به این بیان که تجری عقلا قبیح است و با توجه به قاعده «کلما حکم به العقل حکم به الشرع» شرعا نیز حرام می‌باشد. </w:t>
      </w:r>
    </w:p>
    <w:p w14:paraId="73A7BE40" w14:textId="77777777" w:rsidR="00115E79" w:rsidRDefault="00115E79" w:rsidP="004D31BD">
      <w:pPr>
        <w:jc w:val="both"/>
        <w:rPr>
          <w:rtl/>
        </w:rPr>
      </w:pPr>
      <w:r>
        <w:rPr>
          <w:rFonts w:hint="cs"/>
          <w:rtl/>
        </w:rPr>
        <w:t xml:space="preserve">ما این قاعده را فی حد نفسه نپذیرفتیم </w:t>
      </w:r>
      <w:r w:rsidR="00C6079B">
        <w:rPr>
          <w:rFonts w:hint="cs"/>
          <w:rtl/>
        </w:rPr>
        <w:t>و لکن</w:t>
      </w:r>
      <w:r>
        <w:rPr>
          <w:rFonts w:hint="cs"/>
          <w:rtl/>
        </w:rPr>
        <w:t xml:space="preserve"> ممکن است گفته شود این قاعده ولو فی حد نفسه تمام نیست ولی به</w:t>
      </w:r>
      <w:r w:rsidR="00C6079B">
        <w:rPr>
          <w:rFonts w:hint="cs"/>
          <w:rtl/>
        </w:rPr>
        <w:t xml:space="preserve"> ضم</w:t>
      </w:r>
      <w:r>
        <w:rPr>
          <w:rFonts w:hint="cs"/>
          <w:rtl/>
        </w:rPr>
        <w:t>یمه</w:t>
      </w:r>
      <w:r w:rsidR="00C6079B">
        <w:rPr>
          <w:rFonts w:hint="cs"/>
          <w:rtl/>
        </w:rPr>
        <w:t xml:space="preserve"> بعضی از روایات که مفاد آن «</w:t>
      </w:r>
      <w:r w:rsidRPr="00B03C98">
        <w:rPr>
          <w:rFonts w:ascii="NoorLotus" w:hAnsi="NoorLotus"/>
          <w:sz w:val="28"/>
          <w:rtl/>
        </w:rPr>
        <w:t>ما من شیء الا و فیه کتا</w:t>
      </w:r>
      <w:r>
        <w:rPr>
          <w:rFonts w:ascii="NoorLotus" w:hAnsi="NoorLotus"/>
          <w:sz w:val="28"/>
          <w:rtl/>
        </w:rPr>
        <w:t>ب او سنة</w:t>
      </w:r>
      <w:r w:rsidR="00C6079B">
        <w:rPr>
          <w:rFonts w:hint="cs"/>
          <w:rtl/>
        </w:rPr>
        <w:t>» بود</w:t>
      </w:r>
      <w:r>
        <w:rPr>
          <w:rFonts w:hint="cs"/>
          <w:rtl/>
        </w:rPr>
        <w:t xml:space="preserve">، دلالت دارد بر این که هر واقعه‌ای یک حکم </w:t>
      </w:r>
      <w:r w:rsidR="004D31BD">
        <w:rPr>
          <w:rFonts w:hint="cs"/>
          <w:rtl/>
        </w:rPr>
        <w:t xml:space="preserve">(شرعی) </w:t>
      </w:r>
      <w:r>
        <w:rPr>
          <w:rFonts w:hint="cs"/>
          <w:rtl/>
        </w:rPr>
        <w:t xml:space="preserve">دارد و هیچ واقعه‌ای نمی‌تواند خالی از حکم باشد و چون این حکم نمی‌تواند خلاف حکم </w:t>
      </w:r>
      <w:r w:rsidR="004D31BD">
        <w:rPr>
          <w:rFonts w:hint="cs"/>
          <w:rtl/>
        </w:rPr>
        <w:t>عقل</w:t>
      </w:r>
      <w:r>
        <w:rPr>
          <w:rFonts w:hint="cs"/>
          <w:rtl/>
        </w:rPr>
        <w:t xml:space="preserve"> باشد پس قطعا مطابق با حکم </w:t>
      </w:r>
      <w:r w:rsidR="004D31BD">
        <w:rPr>
          <w:rFonts w:hint="cs"/>
          <w:rtl/>
        </w:rPr>
        <w:t>آن</w:t>
      </w:r>
      <w:r>
        <w:rPr>
          <w:rFonts w:hint="cs"/>
          <w:rtl/>
        </w:rPr>
        <w:t xml:space="preserve"> است</w:t>
      </w:r>
      <w:r w:rsidR="00AA7102">
        <w:rPr>
          <w:rFonts w:hint="cs"/>
          <w:rtl/>
        </w:rPr>
        <w:t>.</w:t>
      </w:r>
      <w:r>
        <w:rPr>
          <w:rFonts w:hint="cs"/>
          <w:rtl/>
        </w:rPr>
        <w:t xml:space="preserve"> </w:t>
      </w:r>
    </w:p>
    <w:p w14:paraId="053A92F7" w14:textId="77777777" w:rsidR="00AA7102" w:rsidRDefault="00AA7102" w:rsidP="004D31BD">
      <w:pPr>
        <w:pStyle w:val="Heading3"/>
        <w:jc w:val="both"/>
        <w:rPr>
          <w:rtl/>
        </w:rPr>
      </w:pPr>
      <w:bookmarkStart w:id="8" w:name="_Toc135027663"/>
      <w:bookmarkStart w:id="9" w:name="_Toc135484939"/>
      <w:r>
        <w:rPr>
          <w:rFonts w:hint="cs"/>
          <w:rtl/>
        </w:rPr>
        <w:t>روایات دال بر عدم خلو هیچ واقعه‌ای از حکم شرعی</w:t>
      </w:r>
      <w:bookmarkEnd w:id="8"/>
      <w:bookmarkEnd w:id="9"/>
    </w:p>
    <w:p w14:paraId="3324CEFE" w14:textId="77777777" w:rsidR="00C6079B" w:rsidRDefault="00E369F6" w:rsidP="004D31BD">
      <w:pPr>
        <w:jc w:val="both"/>
        <w:rPr>
          <w:rtl/>
        </w:rPr>
      </w:pPr>
      <w:r>
        <w:rPr>
          <w:rFonts w:hint="cs"/>
          <w:rtl/>
        </w:rPr>
        <w:t>این روایات عبارت</w:t>
      </w:r>
      <w:r w:rsidR="00115E79">
        <w:rPr>
          <w:rFonts w:hint="cs"/>
          <w:rtl/>
        </w:rPr>
        <w:t>ند از:</w:t>
      </w:r>
    </w:p>
    <w:p w14:paraId="2625C822" w14:textId="77777777" w:rsidR="00C6079B" w:rsidRDefault="00115E79" w:rsidP="004D31BD">
      <w:pPr>
        <w:jc w:val="both"/>
        <w:rPr>
          <w:rtl/>
        </w:rPr>
      </w:pPr>
      <w:r>
        <w:rPr>
          <w:rFonts w:hint="cs"/>
          <w:rtl/>
        </w:rPr>
        <w:t xml:space="preserve">روایت اول: صحیحه ابی بصیر </w:t>
      </w:r>
    </w:p>
    <w:p w14:paraId="127B7C5F" w14:textId="77777777" w:rsidR="00115E79" w:rsidRPr="00115E79" w:rsidRDefault="00115E79" w:rsidP="004D31BD">
      <w:pPr>
        <w:jc w:val="both"/>
        <w:rPr>
          <w:color w:val="000000"/>
          <w:rtl/>
        </w:rPr>
      </w:pPr>
      <w:r>
        <w:rPr>
          <w:rFonts w:hint="cs"/>
          <w:rtl/>
        </w:rPr>
        <w:t>در این روایت امام صادق علیه السلام فرموده‌اند: «</w:t>
      </w:r>
      <w:r w:rsidRPr="00115E79">
        <w:rPr>
          <w:rFonts w:hint="cs"/>
          <w:rtl/>
        </w:rPr>
        <w:t xml:space="preserve"> </w:t>
      </w:r>
      <w:r>
        <w:rPr>
          <w:rFonts w:hint="cs"/>
          <w:rtl/>
        </w:rPr>
        <w:t>قَالَ يَا أَبَا مُحَمَّدٍ وَ إِنَّ عِنْدَنَا الْجَامِعَةَ وَ مَا يُدْرِيهِمْ مَا الْجَامِعَةُ قَالَ قُلْتُ جُعِلْتُ فِدَاكَ وَ مَا الْجَامِعَةُ قَالَ صَحِيفَةٌ طُولُهَا سَبْعُونَ ذِرَاعاً بِذِرَاعِ رَسُولِ اللَّهِ ص وَ إِمْلَائِهِ‏</w:t>
      </w:r>
      <w:r w:rsidR="00A26F1A">
        <w:rPr>
          <w:rFonts w:eastAsiaTheme="majorEastAsia" w:hint="cs"/>
          <w:rtl/>
        </w:rPr>
        <w:t xml:space="preserve"> </w:t>
      </w:r>
      <w:r>
        <w:rPr>
          <w:rFonts w:hint="cs"/>
          <w:rtl/>
        </w:rPr>
        <w:t>مِنْ فَلْقِ فِيهِ وَ خَطِّ عَلِيٍّ بِيَمِينِهِ فِيهَا كُلُّ حَلَالٍ وَ حَرَامٍ وَ كُلُّ شَيْ‏ءٍ يَحْتَاجُ النَّاسُ إِلَيْهِ حَتَّى الْأَرْشُ فِي الْخَدْش‏»</w:t>
      </w:r>
      <w:r>
        <w:rPr>
          <w:rStyle w:val="FootnoteReference"/>
          <w:rtl/>
        </w:rPr>
        <w:footnoteReference w:id="1"/>
      </w:r>
    </w:p>
    <w:p w14:paraId="265F0EF2" w14:textId="77777777" w:rsidR="00C6079B" w:rsidRDefault="00C6079B" w:rsidP="004D31BD">
      <w:pPr>
        <w:jc w:val="both"/>
        <w:rPr>
          <w:rtl/>
        </w:rPr>
      </w:pPr>
      <w:r>
        <w:rPr>
          <w:rFonts w:hint="cs"/>
          <w:rtl/>
        </w:rPr>
        <w:lastRenderedPageBreak/>
        <w:t>روایت دوم: موثقه سماعه</w:t>
      </w:r>
      <w:r w:rsidR="00AA7102">
        <w:rPr>
          <w:rFonts w:hint="cs"/>
          <w:rtl/>
        </w:rPr>
        <w:t xml:space="preserve"> از ابی الحسن موسی علیه السلام: «فَقُلْتُ أَصْلَحَكَ اللَّهُ أَتَى رَسُولُ اللَّهِ ص النَّاسَ بِمَا يَكْتَفُونَ بِهِ فِي عَهْدِهِ قَالَ نَعَمْ وَ مَا يَحْتَاجُونَ إِلَيْهِ إِلَى يَوْمِ الْقِيَامَةِ فَقُلْتُ فَضَاعَ مِنْ ذَلِكَ شَيْ‏ءٌ فَقَالَ لَا هُوَ عِنْدَ أَهْلِهِ.»</w:t>
      </w:r>
      <w:r w:rsidR="00AA7102">
        <w:rPr>
          <w:rStyle w:val="FootnoteReference"/>
          <w:rtl/>
        </w:rPr>
        <w:footnoteReference w:id="2"/>
      </w:r>
    </w:p>
    <w:p w14:paraId="27CD29DD" w14:textId="77777777" w:rsidR="00AA7102" w:rsidRDefault="00C6079B" w:rsidP="004D31BD">
      <w:pPr>
        <w:jc w:val="both"/>
        <w:rPr>
          <w:color w:val="000000"/>
          <w:rtl/>
        </w:rPr>
      </w:pPr>
      <w:r>
        <w:rPr>
          <w:rFonts w:hint="cs"/>
          <w:rtl/>
        </w:rPr>
        <w:t>روایت سوم: موثقه دیگر سماعه</w:t>
      </w:r>
      <w:r w:rsidR="00AA7102">
        <w:rPr>
          <w:rFonts w:hint="cs"/>
          <w:rtl/>
        </w:rPr>
        <w:t xml:space="preserve"> از ابی الحسن موسی علیه </w:t>
      </w:r>
      <w:r w:rsidR="00AA7102" w:rsidRPr="00AA7102">
        <w:rPr>
          <w:rFonts w:hint="cs"/>
          <w:rtl/>
        </w:rPr>
        <w:t>السلام «قُلْتُ لَهُ أَ كُلُّ شَيْ‏ءٍ فِي كِتَابِ اللَّهِ وَ سُنَّةِ نَبِيِّهِ ص أَوْ تَقُولُونَ فِيهِ قَالَ بَلْ كُلُّ شَيْ‏ءٍ فِي كِتَابِ اللَّهِ وَ سُنَّةِ نَبِيِّهِ ص‏»</w:t>
      </w:r>
      <w:r w:rsidR="00AA7102">
        <w:rPr>
          <w:rStyle w:val="FootnoteReference"/>
          <w:rtl/>
        </w:rPr>
        <w:footnoteReference w:id="3"/>
      </w:r>
    </w:p>
    <w:p w14:paraId="04CBD5DC" w14:textId="77777777" w:rsidR="00C6079B" w:rsidRDefault="00C6079B" w:rsidP="004D31BD">
      <w:pPr>
        <w:jc w:val="both"/>
        <w:rPr>
          <w:rtl/>
        </w:rPr>
      </w:pPr>
      <w:r>
        <w:rPr>
          <w:rFonts w:hint="cs"/>
          <w:rtl/>
        </w:rPr>
        <w:t>روایت چهارم: صحیحه حماد</w:t>
      </w:r>
      <w:r w:rsidR="00AA7102">
        <w:rPr>
          <w:rFonts w:hint="cs"/>
          <w:rtl/>
        </w:rPr>
        <w:t xml:space="preserve"> از امام صادق علیه السلام </w:t>
      </w:r>
      <w:r w:rsidR="00AA7102" w:rsidRPr="00AA7102">
        <w:rPr>
          <w:rFonts w:hint="cs"/>
          <w:rtl/>
        </w:rPr>
        <w:t>«قَالَ سَمِعْتُهُ يَقُولُ</w:t>
      </w:r>
      <w:r w:rsidR="00AA7102">
        <w:rPr>
          <w:rFonts w:hint="cs"/>
          <w:color w:val="780000"/>
          <w:rtl/>
        </w:rPr>
        <w:t>‏</w:t>
      </w:r>
      <w:r w:rsidR="00AA7102">
        <w:rPr>
          <w:rFonts w:hint="cs"/>
          <w:rtl/>
        </w:rPr>
        <w:t xml:space="preserve"> مَا مِنْ شَيْ‏ءٍ إِلَّا وَ فِيهِ كِتَابٌ أَوْ سُنَّةٌ.»</w:t>
      </w:r>
      <w:r w:rsidR="00AA7102">
        <w:rPr>
          <w:rStyle w:val="FootnoteReference"/>
          <w:rtl/>
        </w:rPr>
        <w:footnoteReference w:id="4"/>
      </w:r>
    </w:p>
    <w:p w14:paraId="1AD812D8" w14:textId="77777777" w:rsidR="00AA7102" w:rsidRPr="00AA7102" w:rsidRDefault="00AA7102" w:rsidP="004D31BD">
      <w:pPr>
        <w:jc w:val="both"/>
        <w:rPr>
          <w:rtl/>
        </w:rPr>
      </w:pPr>
      <w:r>
        <w:rPr>
          <w:rFonts w:hint="cs"/>
          <w:rtl/>
        </w:rPr>
        <w:t>لذا در مقام با توجه به قبح عقلی تجری حرمت شرعی آن نیز اثبات می‌شود.</w:t>
      </w:r>
    </w:p>
    <w:p w14:paraId="6E57AB9A" w14:textId="77777777" w:rsidR="00AA7102" w:rsidRDefault="00AA7102" w:rsidP="004D31BD">
      <w:pPr>
        <w:jc w:val="both"/>
        <w:rPr>
          <w:rtl/>
        </w:rPr>
      </w:pPr>
      <w:r>
        <w:rPr>
          <w:rFonts w:hint="cs"/>
          <w:rtl/>
        </w:rPr>
        <w:t>ولی این بیان تمام نیست زیرا:</w:t>
      </w:r>
    </w:p>
    <w:p w14:paraId="345F298F" w14:textId="77777777" w:rsidR="00C6079B" w:rsidRDefault="00AA7102" w:rsidP="00E369F6">
      <w:pPr>
        <w:jc w:val="both"/>
        <w:rPr>
          <w:rtl/>
        </w:rPr>
      </w:pPr>
      <w:r>
        <w:rPr>
          <w:rFonts w:hint="cs"/>
          <w:rtl/>
        </w:rPr>
        <w:t>اولا: ممکن است این</w:t>
      </w:r>
      <w:r w:rsidR="00C6079B">
        <w:rPr>
          <w:rFonts w:hint="cs"/>
          <w:rtl/>
        </w:rPr>
        <w:t xml:space="preserve"> روایات ناظر باشند به ابطال یک مبن</w:t>
      </w:r>
      <w:r w:rsidR="00E369F6">
        <w:rPr>
          <w:rFonts w:hint="cs"/>
          <w:rtl/>
        </w:rPr>
        <w:t>ایی که بعضی از عامه قائل بودند و آن این که</w:t>
      </w:r>
      <w:r>
        <w:rPr>
          <w:rFonts w:hint="cs"/>
          <w:rtl/>
        </w:rPr>
        <w:t xml:space="preserve"> </w:t>
      </w:r>
      <w:r w:rsidR="00C6079B">
        <w:rPr>
          <w:rFonts w:hint="cs"/>
          <w:rtl/>
        </w:rPr>
        <w:t>خداوند جعل</w:t>
      </w:r>
      <w:r>
        <w:rPr>
          <w:rFonts w:hint="cs"/>
          <w:rtl/>
        </w:rPr>
        <w:t xml:space="preserve"> بعضی از احکام را به فقهاء تفویض</w:t>
      </w:r>
      <w:r w:rsidR="00C6079B">
        <w:rPr>
          <w:rFonts w:hint="cs"/>
          <w:rtl/>
        </w:rPr>
        <w:t xml:space="preserve"> کرده است. غزالی می‌گوید: </w:t>
      </w:r>
      <w:r w:rsidR="00C6079B" w:rsidRPr="00CC071B">
        <w:rPr>
          <w:rFonts w:hint="cs"/>
          <w:rtl/>
        </w:rPr>
        <w:t>«</w:t>
      </w:r>
      <w:r w:rsidR="005B06F7" w:rsidRPr="00CC071B">
        <w:rPr>
          <w:rFonts w:hint="cs"/>
          <w:rtl/>
        </w:rPr>
        <w:t>ل</w:t>
      </w:r>
      <w:r w:rsidR="005B06F7" w:rsidRPr="00CC071B">
        <w:rPr>
          <w:rFonts w:ascii="NoorLotus" w:hAnsi="NoorLotus"/>
          <w:sz w:val="28"/>
          <w:rtl/>
        </w:rPr>
        <w:t>یس فی الواقعة التی لا نص فیها حکم معین یطلب بالظن بل الحکم یتبع الظن</w:t>
      </w:r>
      <w:r w:rsidR="005B06F7" w:rsidRPr="00CC071B">
        <w:rPr>
          <w:rFonts w:ascii="NoorLotus" w:hAnsi="NoorLotus" w:hint="cs"/>
          <w:sz w:val="28"/>
          <w:rtl/>
        </w:rPr>
        <w:t>»</w:t>
      </w:r>
      <w:r w:rsidR="005B06F7" w:rsidRPr="00CC071B">
        <w:rPr>
          <w:rFonts w:ascii="NoorLotus" w:hAnsi="NoorLotus"/>
          <w:sz w:val="28"/>
          <w:rtl/>
        </w:rPr>
        <w:t xml:space="preserve"> شوکانی در کتاب نیل الاوطار </w:t>
      </w:r>
      <w:r w:rsidR="005B06F7" w:rsidRPr="00CC071B">
        <w:rPr>
          <w:rFonts w:ascii="NoorLotus" w:hAnsi="NoorLotus" w:hint="cs"/>
          <w:sz w:val="28"/>
          <w:rtl/>
        </w:rPr>
        <w:t>می‌گوید</w:t>
      </w:r>
      <w:r w:rsidR="005B06F7" w:rsidRPr="00CC071B">
        <w:rPr>
          <w:rFonts w:ascii="NoorLotus" w:hAnsi="NoorLotus"/>
          <w:sz w:val="28"/>
          <w:rtl/>
        </w:rPr>
        <w:t xml:space="preserve"> </w:t>
      </w:r>
      <w:r w:rsidR="005B06F7" w:rsidRPr="00CC071B">
        <w:rPr>
          <w:rFonts w:ascii="NoorLotus" w:hAnsi="NoorLotus" w:hint="cs"/>
          <w:sz w:val="28"/>
          <w:rtl/>
        </w:rPr>
        <w:t>«</w:t>
      </w:r>
      <w:r w:rsidR="005B06F7" w:rsidRPr="00CC071B">
        <w:rPr>
          <w:rFonts w:ascii="NoorLotus" w:hAnsi="NoorLotus"/>
          <w:sz w:val="28"/>
          <w:rtl/>
        </w:rPr>
        <w:t>المسائل الشرعیة التی لا نص قاطع فیه ذهب جمع الی ان کل قول من اقوال المجتهدین فیها حق و ان کلا منها مصیب</w:t>
      </w:r>
      <w:r w:rsidR="005B06F7" w:rsidRPr="00CC071B">
        <w:rPr>
          <w:rFonts w:hint="cs"/>
          <w:rtl/>
        </w:rPr>
        <w:t>».</w:t>
      </w:r>
    </w:p>
    <w:p w14:paraId="41CA1B1B" w14:textId="77777777" w:rsidR="005B06F7" w:rsidRDefault="005B06F7" w:rsidP="00485252">
      <w:pPr>
        <w:jc w:val="both"/>
        <w:rPr>
          <w:rtl/>
        </w:rPr>
      </w:pPr>
      <w:r>
        <w:rPr>
          <w:rFonts w:hint="cs"/>
          <w:rtl/>
        </w:rPr>
        <w:t>این‌</w:t>
      </w:r>
      <w:r w:rsidR="00C6079B">
        <w:rPr>
          <w:rFonts w:hint="cs"/>
          <w:rtl/>
        </w:rPr>
        <w:t>ها معتقد بودند که اگر در قرآن و سنت پیامبر صلی الله علیه و آله و سلم حکمی ذکر نشود واقعا آن حکم وجود ندارد و مجتهدین بر اساس است</w:t>
      </w:r>
      <w:r>
        <w:rPr>
          <w:rFonts w:hint="cs"/>
          <w:rtl/>
        </w:rPr>
        <w:t>حسان و قیاس حکم آن واقعه را تشخیص داده و بر اساس آن حکم جعل</w:t>
      </w:r>
      <w:r w:rsidR="00C6079B">
        <w:rPr>
          <w:rFonts w:hint="cs"/>
          <w:rtl/>
        </w:rPr>
        <w:t xml:space="preserve"> می‌کنند و این روایات دلالت دارند بر این که جعل هیچ حکمی به فقهاء واگذار نشده است لذا وقتی </w:t>
      </w:r>
      <w:r w:rsidR="00485252">
        <w:rPr>
          <w:rFonts w:hint="cs"/>
          <w:rtl/>
        </w:rPr>
        <w:t>راوی سؤ</w:t>
      </w:r>
      <w:r w:rsidR="00C6079B">
        <w:rPr>
          <w:rFonts w:hint="cs"/>
          <w:rtl/>
        </w:rPr>
        <w:t>ال می‌کند «</w:t>
      </w:r>
      <w:r w:rsidRPr="00B03C98">
        <w:rPr>
          <w:rFonts w:ascii="NoorLotus" w:hAnsi="NoorLotus"/>
          <w:sz w:val="28"/>
          <w:rtl/>
        </w:rPr>
        <w:t>أرأیت</w:t>
      </w:r>
      <w:r w:rsidR="00C6079B">
        <w:rPr>
          <w:rFonts w:hint="cs"/>
          <w:rtl/>
        </w:rPr>
        <w:t>» امام علیه السلام درجواب فرموده‌اند: «</w:t>
      </w:r>
      <w:r w:rsidRPr="00B03C98">
        <w:rPr>
          <w:rFonts w:ascii="NoorLotus" w:hAnsi="NoorLotus"/>
          <w:sz w:val="28"/>
          <w:rtl/>
        </w:rPr>
        <w:t>لو کنا نفتیکم بآراءنا لکنا من الهالکین و انما نفتیکم باصول علم نتوارثها کابر عن کابر و احادیث عن رسول الله صلی الله و آله</w:t>
      </w:r>
      <w:r w:rsidR="00C6079B">
        <w:rPr>
          <w:rFonts w:hint="cs"/>
          <w:rtl/>
        </w:rPr>
        <w:t>»</w:t>
      </w:r>
      <w:r>
        <w:rPr>
          <w:rStyle w:val="FootnoteReference"/>
          <w:rtl/>
        </w:rPr>
        <w:footnoteReference w:id="5"/>
      </w:r>
    </w:p>
    <w:p w14:paraId="017EB194" w14:textId="77777777" w:rsidR="00096214" w:rsidRPr="00B03C98" w:rsidRDefault="00C6079B" w:rsidP="00485252">
      <w:pPr>
        <w:jc w:val="both"/>
        <w:rPr>
          <w:rFonts w:ascii="NoorLotus" w:hAnsi="NoorLotus"/>
          <w:sz w:val="28"/>
          <w:rtl/>
        </w:rPr>
      </w:pPr>
      <w:r>
        <w:rPr>
          <w:rFonts w:hint="cs"/>
          <w:rtl/>
        </w:rPr>
        <w:t>بنابراین از این روایات استفاده نمی‌شود که تمام عناوین</w:t>
      </w:r>
      <w:r w:rsidR="005B06F7">
        <w:rPr>
          <w:rFonts w:hint="cs"/>
          <w:rtl/>
        </w:rPr>
        <w:t xml:space="preserve"> چه عناوین اولیه و چه عناوین ثانویه دارای حکم هستند. اصلا</w:t>
      </w:r>
      <w:r>
        <w:rPr>
          <w:rFonts w:hint="cs"/>
          <w:rtl/>
        </w:rPr>
        <w:t xml:space="preserve"> ممکن است نیاز به حکم نباشد و به‌خاطر این که نیاز به حکم نبود شارع جعل حکم نکرده است و لذا در بعضی از روایات تعبیر شده است  به «</w:t>
      </w:r>
      <w:r w:rsidR="005B06F7">
        <w:rPr>
          <w:rFonts w:ascii="NoorLotus" w:hAnsi="NoorLotus"/>
          <w:sz w:val="28"/>
          <w:rtl/>
        </w:rPr>
        <w:t>کل شیء یحتاجون الیه</w:t>
      </w:r>
      <w:r>
        <w:rPr>
          <w:rFonts w:hint="cs"/>
          <w:rtl/>
        </w:rPr>
        <w:t>»</w:t>
      </w:r>
      <w:r w:rsidR="005B06F7">
        <w:rPr>
          <w:rFonts w:hint="cs"/>
          <w:rtl/>
        </w:rPr>
        <w:t xml:space="preserve"> </w:t>
      </w:r>
      <w:r w:rsidR="00096214">
        <w:rPr>
          <w:rFonts w:hint="cs"/>
          <w:rtl/>
        </w:rPr>
        <w:t xml:space="preserve">و در مقام نیاز نیازی به جعل حرمت برای تجری نبود و </w:t>
      </w:r>
      <w:r w:rsidR="00096214" w:rsidRPr="00B03C98">
        <w:rPr>
          <w:rFonts w:ascii="NoorLotus" w:hAnsi="NoorLotus"/>
          <w:sz w:val="28"/>
          <w:rtl/>
        </w:rPr>
        <w:t>همان حکم ظاهری یا همان اعتقاد به این‌که این فعل حرام است کافی بود که مردم در تجری</w:t>
      </w:r>
      <w:r w:rsidR="00096214">
        <w:rPr>
          <w:rFonts w:ascii="NoorLotus" w:hAnsi="NoorLotus"/>
          <w:sz w:val="28"/>
          <w:rtl/>
        </w:rPr>
        <w:t xml:space="preserve"> </w:t>
      </w:r>
      <w:r w:rsidR="00096214">
        <w:rPr>
          <w:rFonts w:ascii="NoorLotus" w:hAnsi="NoorLotus"/>
          <w:sz w:val="28"/>
          <w:rtl/>
        </w:rPr>
        <w:lastRenderedPageBreak/>
        <w:t>بدانند که باید از تجری اجتناب کنند</w:t>
      </w:r>
      <w:r w:rsidR="00096214">
        <w:rPr>
          <w:rFonts w:ascii="NoorLotus" w:hAnsi="NoorLotus" w:hint="cs"/>
          <w:sz w:val="28"/>
          <w:rtl/>
        </w:rPr>
        <w:t xml:space="preserve"> </w:t>
      </w:r>
      <w:r w:rsidR="00485252">
        <w:rPr>
          <w:rFonts w:ascii="NoorLotus" w:hAnsi="NoorLotus" w:hint="cs"/>
          <w:sz w:val="28"/>
          <w:rtl/>
        </w:rPr>
        <w:t>البته مرادمان این نیست</w:t>
      </w:r>
      <w:r w:rsidR="00096214">
        <w:rPr>
          <w:rFonts w:ascii="NoorLotus" w:hAnsi="NoorLotus" w:hint="cs"/>
          <w:sz w:val="28"/>
          <w:rtl/>
        </w:rPr>
        <w:t xml:space="preserve"> که جعل حرمت برای آن لغو </w:t>
      </w:r>
      <w:r w:rsidR="00485252">
        <w:rPr>
          <w:rFonts w:ascii="NoorLotus" w:hAnsi="NoorLotus" w:hint="cs"/>
          <w:sz w:val="28"/>
          <w:rtl/>
        </w:rPr>
        <w:t>است بلکه نیازی به جعل آن نبود</w:t>
      </w:r>
      <w:r w:rsidR="00096214">
        <w:rPr>
          <w:rFonts w:ascii="NoorLotus" w:hAnsi="NoorLotus" w:hint="cs"/>
          <w:sz w:val="28"/>
          <w:rtl/>
        </w:rPr>
        <w:t>.</w:t>
      </w:r>
    </w:p>
    <w:p w14:paraId="746F3B47" w14:textId="77777777" w:rsidR="00C6079B" w:rsidRDefault="00C6079B" w:rsidP="004D31BD">
      <w:pPr>
        <w:jc w:val="both"/>
        <w:rPr>
          <w:rtl/>
        </w:rPr>
      </w:pPr>
      <w:r>
        <w:rPr>
          <w:rFonts w:hint="cs"/>
          <w:rtl/>
        </w:rPr>
        <w:t xml:space="preserve">ثانیا: در کتاب و سنت </w:t>
      </w:r>
      <w:r w:rsidR="00096214">
        <w:rPr>
          <w:rFonts w:hint="cs"/>
          <w:rtl/>
        </w:rPr>
        <w:t>بودن</w:t>
      </w:r>
      <w:r w:rsidR="00B64A3F">
        <w:rPr>
          <w:rFonts w:hint="cs"/>
          <w:rtl/>
        </w:rPr>
        <w:t xml:space="preserve"> هر چیزی،</w:t>
      </w:r>
      <w:r w:rsidR="00096214">
        <w:rPr>
          <w:rFonts w:hint="cs"/>
          <w:rtl/>
        </w:rPr>
        <w:t xml:space="preserve"> </w:t>
      </w:r>
      <w:r>
        <w:rPr>
          <w:rFonts w:hint="cs"/>
          <w:rtl/>
        </w:rPr>
        <w:t xml:space="preserve">دلیل بر این نیست که </w:t>
      </w:r>
      <w:r w:rsidR="00B64A3F">
        <w:rPr>
          <w:rFonts w:hint="cs"/>
          <w:rtl/>
        </w:rPr>
        <w:t xml:space="preserve">آن چیز </w:t>
      </w:r>
      <w:r>
        <w:rPr>
          <w:rFonts w:hint="cs"/>
          <w:rtl/>
        </w:rPr>
        <w:t>حکم شرعی دارد</w:t>
      </w:r>
      <w:r w:rsidR="00096214">
        <w:rPr>
          <w:rFonts w:hint="cs"/>
          <w:rtl/>
        </w:rPr>
        <w:t xml:space="preserve"> و حکم شرعی آن بیان شده است</w:t>
      </w:r>
      <w:r>
        <w:rPr>
          <w:rFonts w:hint="cs"/>
          <w:rtl/>
        </w:rPr>
        <w:t xml:space="preserve"> بلکه </w:t>
      </w:r>
      <w:r w:rsidR="00096214">
        <w:rPr>
          <w:rFonts w:hint="cs"/>
          <w:rtl/>
        </w:rPr>
        <w:t>ممکن است حکم عقلی آن بیان شده باشد</w:t>
      </w:r>
      <w:r>
        <w:rPr>
          <w:rFonts w:hint="cs"/>
          <w:rtl/>
        </w:rPr>
        <w:t xml:space="preserve"> مثل «اطیعوا الله» و طبعا معنای آن این است که ما حکم عقل را نفی نمی‌کنیم نه این که طبق آن حکم جعل می‌کنیم. </w:t>
      </w:r>
    </w:p>
    <w:p w14:paraId="6A41FBB1" w14:textId="77777777" w:rsidR="00096214" w:rsidRDefault="00096214" w:rsidP="004D31BD">
      <w:pPr>
        <w:jc w:val="both"/>
        <w:rPr>
          <w:rtl/>
        </w:rPr>
      </w:pPr>
      <w:r>
        <w:rPr>
          <w:rFonts w:hint="cs"/>
          <w:rtl/>
        </w:rPr>
        <w:t xml:space="preserve">البته </w:t>
      </w:r>
      <w:r w:rsidR="00C6079B">
        <w:rPr>
          <w:rFonts w:hint="cs"/>
          <w:rtl/>
        </w:rPr>
        <w:t>ممکن است از این اشکال جواب داده شود که</w:t>
      </w:r>
      <w:r>
        <w:rPr>
          <w:rFonts w:hint="cs"/>
          <w:rtl/>
        </w:rPr>
        <w:t xml:space="preserve"> این</w:t>
      </w:r>
      <w:r w:rsidR="00C6079B">
        <w:rPr>
          <w:rFonts w:hint="cs"/>
          <w:rtl/>
        </w:rPr>
        <w:t xml:space="preserve"> خلاف ظاهر است زیرا ظاهر </w:t>
      </w:r>
      <w:r>
        <w:rPr>
          <w:rFonts w:hint="cs"/>
          <w:rtl/>
        </w:rPr>
        <w:t>«</w:t>
      </w:r>
      <w:r w:rsidRPr="00B03C98">
        <w:rPr>
          <w:rFonts w:ascii="NoorLotus" w:hAnsi="NoorLotus"/>
          <w:sz w:val="28"/>
          <w:rtl/>
        </w:rPr>
        <w:t>ما من شیء الا و فیه کتاب و سنة</w:t>
      </w:r>
      <w:r>
        <w:rPr>
          <w:rFonts w:ascii="NoorLotus" w:hAnsi="NoorLotus" w:hint="cs"/>
          <w:sz w:val="28"/>
          <w:rtl/>
        </w:rPr>
        <w:t>»</w:t>
      </w:r>
      <w:r w:rsidR="00C6079B">
        <w:rPr>
          <w:rFonts w:hint="cs"/>
          <w:rtl/>
        </w:rPr>
        <w:t xml:space="preserve"> وجود حکم شرعی آن است.</w:t>
      </w:r>
    </w:p>
    <w:p w14:paraId="0061A612" w14:textId="77777777" w:rsidR="004A6827" w:rsidRDefault="004A6827" w:rsidP="004A6827">
      <w:pPr>
        <w:jc w:val="both"/>
        <w:rPr>
          <w:rtl/>
        </w:rPr>
      </w:pPr>
      <w:r>
        <w:rPr>
          <w:rFonts w:hint="cs"/>
          <w:rtl/>
        </w:rPr>
        <w:t xml:space="preserve">ثالثا: لازم نیست که تجری حکم نفسی واقعی داشته باشد بلکه می‌تواند حکم ظاهری طریقی داشته باشد یعنی حرام طریقی باشد مثل عمل به خبر ثقه که واجب طریقی است. </w:t>
      </w:r>
    </w:p>
    <w:p w14:paraId="3D2CC22D" w14:textId="77777777" w:rsidR="004A6827" w:rsidRDefault="004A6827" w:rsidP="004A6827">
      <w:pPr>
        <w:jc w:val="both"/>
        <w:rPr>
          <w:rtl/>
        </w:rPr>
      </w:pPr>
      <w:r>
        <w:rPr>
          <w:rFonts w:hint="cs"/>
          <w:rtl/>
        </w:rPr>
        <w:t>ان قلت: در قطع شارع تبعیت از آن را واجب طریقی نکرده است.</w:t>
      </w:r>
    </w:p>
    <w:p w14:paraId="792216AE" w14:textId="77777777" w:rsidR="004A6827" w:rsidRDefault="004A6827" w:rsidP="004A6827">
      <w:pPr>
        <w:jc w:val="both"/>
        <w:rPr>
          <w:rtl/>
        </w:rPr>
      </w:pPr>
      <w:r>
        <w:rPr>
          <w:rFonts w:hint="cs"/>
          <w:rtl/>
        </w:rPr>
        <w:t>قلت: جعل حکم طریقی در خصوص قطع ممکن نیست و ظاهر این ادله این است که در مواردی که جعل حکم شرعی ممکن است حکم شرعی جعل شده است.</w:t>
      </w:r>
    </w:p>
    <w:p w14:paraId="2BCD13BD" w14:textId="77777777" w:rsidR="00096214" w:rsidRDefault="00096214" w:rsidP="004D31BD">
      <w:pPr>
        <w:jc w:val="both"/>
        <w:rPr>
          <w:rtl/>
        </w:rPr>
      </w:pPr>
      <w:r>
        <w:rPr>
          <w:rFonts w:hint="cs"/>
          <w:rtl/>
        </w:rPr>
        <w:t>ممکن است برای اثبات حرمت تجری به روایت</w:t>
      </w:r>
      <w:r w:rsidR="00C6079B">
        <w:rPr>
          <w:rFonts w:hint="cs"/>
          <w:rtl/>
        </w:rPr>
        <w:t xml:space="preserve"> </w:t>
      </w:r>
      <w:r w:rsidR="00C26F89" w:rsidRPr="00096214">
        <w:rPr>
          <w:rFonts w:hint="cs"/>
          <w:rtl/>
        </w:rPr>
        <w:t>«</w:t>
      </w:r>
      <w:r w:rsidRPr="00096214">
        <w:rPr>
          <w:rFonts w:hint="cs"/>
          <w:rtl/>
        </w:rPr>
        <w:t>إِنَّمَا الْأُمُورُ ثَلَاثَةٌ أَمْرٌ بَيِّنٌ رُشْدُهُ فَيُتَّبَعُ وَ أَمْرٌ بَيِّنٌ غَيُّهُ فَيُجْتَنَبُ وَ أَمْرٌ مُشْكِلٌ يُرَدُّ عِلْمُهُ إِلَى اللَّهِ وَ إِلَى رَسُولِهِ قَالَ رَسُولُ اللَّهِ ص حَلَالٌ بَيِّنٌ وَ حَرَامٌ بَيِّنٌ وَ شُبُهَاتٌ‏ بَيْنَ ذَلِكَ</w:t>
      </w:r>
      <w:r w:rsidR="00C26F89">
        <w:rPr>
          <w:rFonts w:hint="cs"/>
          <w:rtl/>
        </w:rPr>
        <w:t>»</w:t>
      </w:r>
      <w:r>
        <w:rPr>
          <w:rStyle w:val="FootnoteReference"/>
          <w:rtl/>
        </w:rPr>
        <w:footnoteReference w:id="6"/>
      </w:r>
      <w:r w:rsidR="00C26F89">
        <w:rPr>
          <w:rFonts w:hint="cs"/>
          <w:rtl/>
        </w:rPr>
        <w:t xml:space="preserve"> </w:t>
      </w:r>
      <w:r>
        <w:rPr>
          <w:rFonts w:hint="cs"/>
          <w:rtl/>
        </w:rPr>
        <w:t>تمسک شود به این بیان که از این روایت استفاده می‌شود که هر فعلی یا حرام</w:t>
      </w:r>
      <w:r w:rsidR="001B03B2">
        <w:rPr>
          <w:rFonts w:hint="cs"/>
          <w:rtl/>
        </w:rPr>
        <w:t xml:space="preserve"> بیّن</w:t>
      </w:r>
      <w:r>
        <w:rPr>
          <w:rFonts w:hint="cs"/>
          <w:rtl/>
        </w:rPr>
        <w:t xml:space="preserve"> است یا حلال</w:t>
      </w:r>
      <w:r w:rsidR="001B03B2">
        <w:rPr>
          <w:rFonts w:hint="cs"/>
          <w:rtl/>
        </w:rPr>
        <w:t xml:space="preserve"> بیّن و یا مردد بین این دو است که آن نیز در علم خداوند متعال یا حلال است یا حرام</w:t>
      </w:r>
      <w:r>
        <w:rPr>
          <w:rFonts w:hint="cs"/>
          <w:rtl/>
        </w:rPr>
        <w:t xml:space="preserve"> و تجری نیز چنین است و با توجه به این که نمی‌تواند حلال باشد چون مخالف حکم عقل است پس حرام شرعی است.</w:t>
      </w:r>
    </w:p>
    <w:p w14:paraId="757AFD51" w14:textId="77777777" w:rsidR="00096214" w:rsidRDefault="00096214" w:rsidP="004A6827">
      <w:pPr>
        <w:jc w:val="both"/>
        <w:rPr>
          <w:rtl/>
        </w:rPr>
      </w:pPr>
      <w:r>
        <w:rPr>
          <w:rFonts w:hint="cs"/>
          <w:rtl/>
        </w:rPr>
        <w:t xml:space="preserve">این بیان نیز تمام نیست زیرا </w:t>
      </w:r>
      <w:r w:rsidR="001B03B2">
        <w:rPr>
          <w:rFonts w:hint="cs"/>
          <w:rtl/>
        </w:rPr>
        <w:t xml:space="preserve">اولا: </w:t>
      </w:r>
      <w:r>
        <w:rPr>
          <w:rFonts w:hint="cs"/>
          <w:rtl/>
        </w:rPr>
        <w:t xml:space="preserve">«شبهات بین ذلک» </w:t>
      </w:r>
      <w:r w:rsidR="001B03B2">
        <w:rPr>
          <w:rFonts w:hint="cs"/>
          <w:rtl/>
        </w:rPr>
        <w:t>نشان می‌دهد که همه وقایع ولو به عنوان شبهه حکم شرعی ندارند</w:t>
      </w:r>
      <w:r>
        <w:rPr>
          <w:rFonts w:hint="cs"/>
          <w:rtl/>
        </w:rPr>
        <w:t xml:space="preserve"> بلکه مردد بین حلال و حرام هستند که عقلا باید از آن‌ها اجتناب کرد </w:t>
      </w:r>
      <w:r w:rsidR="001B03B2">
        <w:rPr>
          <w:rFonts w:hint="cs"/>
          <w:rtl/>
        </w:rPr>
        <w:t xml:space="preserve">و الا اگر اتباع شبهه حرام نفسی بود آن نیز حرام بیّن بود و حال آن که ظاهر روایت این است که </w:t>
      </w:r>
      <w:r w:rsidR="001B03B2">
        <w:rPr>
          <w:rFonts w:ascii="NoorLotus" w:hAnsi="NoorLotus"/>
          <w:sz w:val="28"/>
          <w:rtl/>
        </w:rPr>
        <w:t>شبه</w:t>
      </w:r>
      <w:r w:rsidR="001B03B2">
        <w:rPr>
          <w:rFonts w:ascii="NoorLotus" w:hAnsi="NoorLotus" w:hint="cs"/>
          <w:sz w:val="28"/>
          <w:rtl/>
        </w:rPr>
        <w:t>ه مردد بین حلال و حرام است نه این که خودش به این عنوان حرام باشد</w:t>
      </w:r>
      <w:r>
        <w:rPr>
          <w:rFonts w:hint="cs"/>
          <w:rtl/>
        </w:rPr>
        <w:t xml:space="preserve">. </w:t>
      </w:r>
    </w:p>
    <w:p w14:paraId="0A550D75" w14:textId="77777777" w:rsidR="001B03B2" w:rsidRPr="003D0EC9" w:rsidRDefault="001B03B2" w:rsidP="004A6827">
      <w:pPr>
        <w:jc w:val="both"/>
        <w:rPr>
          <w:rFonts w:ascii="NoorLotus" w:hAnsi="NoorLotus"/>
          <w:sz w:val="28"/>
          <w:rtl/>
        </w:rPr>
      </w:pPr>
      <w:r w:rsidRPr="00DA5530">
        <w:rPr>
          <w:rFonts w:hint="cs"/>
          <w:rtl/>
        </w:rPr>
        <w:t xml:space="preserve">ثانیا: از این روایت بیش از این استفاده نمی‌شود که این فعل یک حکمی دارد و </w:t>
      </w:r>
      <w:r w:rsidR="00C26F89" w:rsidRPr="00DA5530">
        <w:rPr>
          <w:rFonts w:hint="cs"/>
          <w:rtl/>
        </w:rPr>
        <w:t xml:space="preserve">این فعل متجری به شرب الماء است و فی علم الله به این عنوان حلال است و مکلف خیال می‌کند </w:t>
      </w:r>
      <w:r w:rsidR="00C26F89" w:rsidRPr="00DA5530">
        <w:rPr>
          <w:rFonts w:hint="cs"/>
          <w:rtl/>
        </w:rPr>
        <w:lastRenderedPageBreak/>
        <w:t xml:space="preserve">حرام است و </w:t>
      </w:r>
      <w:r w:rsidRPr="00DA5530">
        <w:rPr>
          <w:rFonts w:hint="cs"/>
          <w:rtl/>
        </w:rPr>
        <w:t xml:space="preserve">و حلال بودن شرب الماء به معنای این نیست که از جهت تجری بودن نیز حلال است و ترخیص در ارتکاب نداشته باشد </w:t>
      </w:r>
      <w:r w:rsidRPr="003D0EC9">
        <w:rPr>
          <w:rFonts w:ascii="NoorLotus" w:hAnsi="NoorLotus"/>
          <w:sz w:val="28"/>
          <w:rtl/>
        </w:rPr>
        <w:t>ولی</w:t>
      </w:r>
      <w:r>
        <w:rPr>
          <w:rFonts w:ascii="NoorLotus" w:hAnsi="NoorLotus" w:hint="cs"/>
          <w:sz w:val="28"/>
          <w:rtl/>
        </w:rPr>
        <w:t xml:space="preserve"> عدم وجود</w:t>
      </w:r>
      <w:r w:rsidRPr="003D0EC9">
        <w:rPr>
          <w:rFonts w:ascii="NoorLotus" w:hAnsi="NoorLotus"/>
          <w:sz w:val="28"/>
          <w:rtl/>
        </w:rPr>
        <w:t xml:space="preserve"> ترخیص فعلی در ارتکاب </w:t>
      </w:r>
      <w:r w:rsidR="004A6827">
        <w:rPr>
          <w:rFonts w:ascii="NoorLotus" w:hAnsi="NoorLotus" w:hint="cs"/>
          <w:sz w:val="28"/>
          <w:rtl/>
        </w:rPr>
        <w:t>از</w:t>
      </w:r>
      <w:r w:rsidRPr="003D0EC9">
        <w:rPr>
          <w:rFonts w:ascii="NoorLotus" w:hAnsi="NoorLotus"/>
          <w:sz w:val="28"/>
          <w:rtl/>
        </w:rPr>
        <w:t xml:space="preserve"> حیث </w:t>
      </w:r>
      <w:r>
        <w:rPr>
          <w:rFonts w:ascii="NoorLotus" w:hAnsi="NoorLotus" w:hint="cs"/>
          <w:sz w:val="28"/>
          <w:rtl/>
        </w:rPr>
        <w:t xml:space="preserve">تجری بودن </w:t>
      </w:r>
      <w:r w:rsidRPr="003D0EC9">
        <w:rPr>
          <w:rFonts w:ascii="NoorLotus" w:hAnsi="NoorLotus"/>
          <w:sz w:val="28"/>
          <w:rtl/>
        </w:rPr>
        <w:t xml:space="preserve">به معنای </w:t>
      </w:r>
      <w:r>
        <w:rPr>
          <w:rFonts w:ascii="NoorLotus" w:hAnsi="NoorLotus" w:hint="cs"/>
          <w:sz w:val="28"/>
          <w:rtl/>
        </w:rPr>
        <w:t xml:space="preserve">وجود منع </w:t>
      </w:r>
      <w:r>
        <w:rPr>
          <w:rFonts w:ascii="NoorLotus" w:hAnsi="NoorLotus"/>
          <w:sz w:val="28"/>
          <w:rtl/>
        </w:rPr>
        <w:t xml:space="preserve">شرعی از ارتکاب تجری </w:t>
      </w:r>
      <w:r>
        <w:rPr>
          <w:rFonts w:ascii="NoorLotus" w:hAnsi="NoorLotus" w:hint="cs"/>
          <w:sz w:val="28"/>
          <w:rtl/>
        </w:rPr>
        <w:t>نیست.</w:t>
      </w:r>
    </w:p>
    <w:p w14:paraId="7BF1ECE2" w14:textId="77777777" w:rsidR="00C26F89" w:rsidRDefault="00C26F89" w:rsidP="004D31BD">
      <w:pPr>
        <w:jc w:val="both"/>
        <w:rPr>
          <w:rtl/>
        </w:rPr>
      </w:pPr>
      <w:r>
        <w:rPr>
          <w:rFonts w:hint="cs"/>
          <w:rtl/>
        </w:rPr>
        <w:t xml:space="preserve">بنابراین </w:t>
      </w:r>
      <w:r w:rsidR="001B03B2">
        <w:rPr>
          <w:rFonts w:hint="cs"/>
          <w:rtl/>
        </w:rPr>
        <w:t>نمی‌توان</w:t>
      </w:r>
      <w:r>
        <w:rPr>
          <w:rFonts w:hint="cs"/>
          <w:rtl/>
        </w:rPr>
        <w:t xml:space="preserve"> از این روایات استفاده </w:t>
      </w:r>
      <w:r w:rsidR="001B03B2">
        <w:rPr>
          <w:rFonts w:hint="cs"/>
          <w:rtl/>
        </w:rPr>
        <w:t>کرد که عنوان تجری حتما دارای حکم شرعی است.</w:t>
      </w:r>
    </w:p>
    <w:p w14:paraId="0B19A0D4" w14:textId="77777777" w:rsidR="00C26F89" w:rsidRDefault="00C26F89" w:rsidP="004D31BD">
      <w:pPr>
        <w:pStyle w:val="Heading2"/>
        <w:jc w:val="both"/>
        <w:rPr>
          <w:rtl/>
        </w:rPr>
      </w:pPr>
      <w:bookmarkStart w:id="10" w:name="_Toc135027664"/>
      <w:bookmarkStart w:id="11" w:name="_Toc135484940"/>
      <w:r>
        <w:rPr>
          <w:rFonts w:hint="cs"/>
          <w:rtl/>
        </w:rPr>
        <w:t>بررسی تفصیل میرزای شیرازی رحمه الله در قاعده‌ی ملازمه</w:t>
      </w:r>
      <w:bookmarkEnd w:id="10"/>
      <w:bookmarkEnd w:id="11"/>
    </w:p>
    <w:p w14:paraId="713B88E7" w14:textId="77777777" w:rsidR="00DA5530" w:rsidRDefault="00DA5530" w:rsidP="004D31BD">
      <w:pPr>
        <w:jc w:val="both"/>
        <w:rPr>
          <w:rtl/>
        </w:rPr>
      </w:pPr>
      <w:r>
        <w:rPr>
          <w:rFonts w:hint="cs"/>
          <w:rtl/>
        </w:rPr>
        <w:t>مرحوم میرزای شیرازی رحمه الله فرموده‌اند: قاعده ملازمه در موارد حکم عقل در سلسله علل و مبادی احکام صحیح است ولی نسبت به حکم عقل در سلسله معالیل و مرحله امتثال صحیح نیست.</w:t>
      </w:r>
    </w:p>
    <w:p w14:paraId="14000659" w14:textId="77777777" w:rsidR="00DA5530" w:rsidRDefault="00DA5530" w:rsidP="004D31BD">
      <w:pPr>
        <w:jc w:val="both"/>
        <w:rPr>
          <w:rtl/>
        </w:rPr>
      </w:pPr>
      <w:r>
        <w:rPr>
          <w:rFonts w:hint="cs"/>
          <w:rtl/>
        </w:rPr>
        <w:t>ادله‌ای برای این تفصیل بیان شده است:</w:t>
      </w:r>
    </w:p>
    <w:p w14:paraId="600044B2" w14:textId="77777777" w:rsidR="00DA5530" w:rsidRDefault="00DA5530" w:rsidP="004D31BD">
      <w:pPr>
        <w:pStyle w:val="Heading3"/>
        <w:jc w:val="both"/>
        <w:rPr>
          <w:rtl/>
        </w:rPr>
      </w:pPr>
      <w:bookmarkStart w:id="12" w:name="_Toc135027665"/>
      <w:bookmarkStart w:id="13" w:name="_Toc135484941"/>
      <w:r>
        <w:rPr>
          <w:rFonts w:hint="cs"/>
          <w:rtl/>
        </w:rPr>
        <w:t>دلیل اول: لزوم تسلسل</w:t>
      </w:r>
      <w:bookmarkEnd w:id="12"/>
      <w:bookmarkEnd w:id="13"/>
    </w:p>
    <w:p w14:paraId="05583BA2" w14:textId="77777777" w:rsidR="00DA5530" w:rsidRDefault="00C26F89" w:rsidP="004D31BD">
      <w:pPr>
        <w:jc w:val="both"/>
        <w:rPr>
          <w:rtl/>
        </w:rPr>
      </w:pPr>
      <w:r>
        <w:rPr>
          <w:rFonts w:hint="cs"/>
          <w:rtl/>
        </w:rPr>
        <w:t>ممکن است منشأ این تفصیل لزوم تسلسل باشد</w:t>
      </w:r>
      <w:r w:rsidR="00DA5530">
        <w:rPr>
          <w:rFonts w:hint="cs"/>
          <w:rtl/>
        </w:rPr>
        <w:t>.</w:t>
      </w:r>
    </w:p>
    <w:p w14:paraId="24F45699" w14:textId="77777777" w:rsidR="00C26F89" w:rsidRDefault="00C26F89" w:rsidP="007803C7">
      <w:pPr>
        <w:jc w:val="both"/>
        <w:rPr>
          <w:rtl/>
        </w:rPr>
      </w:pPr>
      <w:r>
        <w:rPr>
          <w:rFonts w:hint="cs"/>
          <w:rtl/>
        </w:rPr>
        <w:t>ولی این مختص به</w:t>
      </w:r>
      <w:r w:rsidR="00DA5530">
        <w:rPr>
          <w:rFonts w:hint="cs"/>
          <w:rtl/>
        </w:rPr>
        <w:t xml:space="preserve"> حکم عقل به</w:t>
      </w:r>
      <w:r>
        <w:rPr>
          <w:rFonts w:hint="cs"/>
          <w:rtl/>
        </w:rPr>
        <w:t xml:space="preserve"> قبح معصیت و حسن احتیاط</w:t>
      </w:r>
      <w:r w:rsidR="007803C7">
        <w:rPr>
          <w:rFonts w:hint="cs"/>
          <w:rtl/>
        </w:rPr>
        <w:t xml:space="preserve"> است</w:t>
      </w:r>
      <w:r w:rsidR="00DA5530">
        <w:rPr>
          <w:rFonts w:hint="cs"/>
          <w:rtl/>
        </w:rPr>
        <w:t xml:space="preserve"> که در این موارد تسلسل لازم می‌آید ولی در موارد دیگر مثل قبح تجری و حسن احتیاط در اطراف علم اجمالی، ملازمه بین حکم عقل و حکم شرع مستلزم تسلسل نیست.</w:t>
      </w:r>
    </w:p>
    <w:p w14:paraId="4CAAED85" w14:textId="77777777" w:rsidR="00C26F89" w:rsidRDefault="00DA5530" w:rsidP="007803C7">
      <w:pPr>
        <w:pStyle w:val="Heading3"/>
        <w:jc w:val="both"/>
      </w:pPr>
      <w:bookmarkStart w:id="14" w:name="_Toc135484942"/>
      <w:bookmarkStart w:id="15" w:name="_Toc135027666"/>
      <w:r>
        <w:rPr>
          <w:rFonts w:hint="cs"/>
          <w:rtl/>
        </w:rPr>
        <w:t>دلیل دوم: لغویت</w:t>
      </w:r>
      <w:bookmarkEnd w:id="14"/>
      <w:r>
        <w:rPr>
          <w:rFonts w:hint="cs"/>
          <w:rtl/>
        </w:rPr>
        <w:t xml:space="preserve"> </w:t>
      </w:r>
      <w:bookmarkEnd w:id="15"/>
    </w:p>
    <w:p w14:paraId="5466DB29" w14:textId="77777777" w:rsidR="00C26F89" w:rsidRDefault="00C26F89" w:rsidP="004D31BD">
      <w:pPr>
        <w:jc w:val="both"/>
        <w:rPr>
          <w:rtl/>
        </w:rPr>
      </w:pPr>
      <w:r>
        <w:rPr>
          <w:rFonts w:hint="cs"/>
          <w:rtl/>
        </w:rPr>
        <w:t>جعل حکم شرعی در مورد حکم عقل در مرحله‌ی امتثال حکم شرعی لغو است. زیرا اگر آن حکم شرعی که مکلف به آن قطع دارد ولو قطع غیرمصیب</w:t>
      </w:r>
      <w:r w:rsidR="00DA5530">
        <w:rPr>
          <w:rFonts w:hint="cs"/>
          <w:rtl/>
        </w:rPr>
        <w:t>، برای بازدارندگی مکلف</w:t>
      </w:r>
      <w:r>
        <w:rPr>
          <w:rFonts w:hint="cs"/>
          <w:rtl/>
        </w:rPr>
        <w:t xml:space="preserve"> کافی است دیگر نیاز به</w:t>
      </w:r>
      <w:r w:rsidR="00DA5530">
        <w:rPr>
          <w:rFonts w:hint="cs"/>
          <w:rtl/>
        </w:rPr>
        <w:t xml:space="preserve"> جعل</w:t>
      </w:r>
      <w:r>
        <w:rPr>
          <w:rFonts w:hint="cs"/>
          <w:rtl/>
        </w:rPr>
        <w:t xml:space="preserve"> حکم دیگر نیست و اگر کافی نیست تحریم تجری نیز مثل او خواهد بود. </w:t>
      </w:r>
    </w:p>
    <w:p w14:paraId="08F2978E" w14:textId="77777777" w:rsidR="00DA5530" w:rsidRDefault="00DA5530" w:rsidP="004D31BD">
      <w:pPr>
        <w:jc w:val="both"/>
        <w:rPr>
          <w:rtl/>
        </w:rPr>
      </w:pPr>
      <w:r>
        <w:rPr>
          <w:rFonts w:hint="cs"/>
          <w:rtl/>
        </w:rPr>
        <w:t>این دلیل نیز تمام نیست زیرا:</w:t>
      </w:r>
    </w:p>
    <w:p w14:paraId="5DACC607" w14:textId="77777777" w:rsidR="00C26F89" w:rsidRDefault="00C26F89" w:rsidP="004D31BD">
      <w:pPr>
        <w:jc w:val="both"/>
        <w:rPr>
          <w:rtl/>
        </w:rPr>
      </w:pPr>
      <w:r>
        <w:rPr>
          <w:rFonts w:hint="cs"/>
          <w:rtl/>
        </w:rPr>
        <w:t xml:space="preserve">اولا: </w:t>
      </w:r>
      <w:r w:rsidR="00DA5530">
        <w:rPr>
          <w:rFonts w:hint="cs"/>
          <w:rtl/>
        </w:rPr>
        <w:t>جعل حرمت شرعی برای تجری به</w:t>
      </w:r>
      <w:r>
        <w:rPr>
          <w:rFonts w:hint="cs"/>
          <w:rtl/>
        </w:rPr>
        <w:t xml:space="preserve"> مخالفت حجت</w:t>
      </w:r>
      <w:r w:rsidR="00DA5530">
        <w:rPr>
          <w:rFonts w:hint="cs"/>
          <w:rtl/>
        </w:rPr>
        <w:t xml:space="preserve"> </w:t>
      </w:r>
      <w:r w:rsidR="00DA5530">
        <w:rPr>
          <w:rFonts w:ascii="Times New Roman" w:hAnsi="Times New Roman" w:cs="Times New Roman" w:hint="cs"/>
          <w:rtl/>
        </w:rPr>
        <w:t>–</w:t>
      </w:r>
      <w:r w:rsidR="00DA5530">
        <w:rPr>
          <w:rFonts w:hint="cs"/>
          <w:rtl/>
        </w:rPr>
        <w:t xml:space="preserve">چه حجت شرعیه مثل اماره و اصل و چه </w:t>
      </w:r>
      <w:r>
        <w:rPr>
          <w:rFonts w:hint="cs"/>
          <w:rtl/>
        </w:rPr>
        <w:t>حجت عقلیه</w:t>
      </w:r>
      <w:r w:rsidR="007803C7">
        <w:rPr>
          <w:rFonts w:hint="cs"/>
          <w:rtl/>
        </w:rPr>
        <w:t xml:space="preserve"> اجمالیه مثل علم اجمالی-</w:t>
      </w:r>
      <w:r w:rsidR="00DA5530">
        <w:rPr>
          <w:rFonts w:hint="cs"/>
          <w:rtl/>
        </w:rPr>
        <w:t xml:space="preserve"> </w:t>
      </w:r>
      <w:r>
        <w:rPr>
          <w:rFonts w:hint="cs"/>
          <w:rtl/>
        </w:rPr>
        <w:t xml:space="preserve">چون </w:t>
      </w:r>
      <w:r w:rsidR="00DA5530">
        <w:rPr>
          <w:rFonts w:hint="cs"/>
          <w:rtl/>
        </w:rPr>
        <w:t xml:space="preserve">موجب می‌شود که مکلف </w:t>
      </w:r>
      <w:r>
        <w:rPr>
          <w:rFonts w:hint="cs"/>
          <w:rtl/>
        </w:rPr>
        <w:t xml:space="preserve">علم تفصیلی پیدا می‌کند به این که این فعل </w:t>
      </w:r>
      <w:r w:rsidR="00DA5530">
        <w:rPr>
          <w:rFonts w:hint="cs"/>
          <w:rtl/>
        </w:rPr>
        <w:t xml:space="preserve">او </w:t>
      </w:r>
      <w:r>
        <w:rPr>
          <w:rFonts w:hint="cs"/>
          <w:rtl/>
        </w:rPr>
        <w:t>حرام است بازدار</w:t>
      </w:r>
      <w:r w:rsidR="00DA5530">
        <w:rPr>
          <w:rFonts w:hint="cs"/>
          <w:rtl/>
        </w:rPr>
        <w:t>ندگی بیشتر پیدا می‌کند نسبت به</w:t>
      </w:r>
      <w:r w:rsidR="00DA5530" w:rsidRPr="00DA5530">
        <w:rPr>
          <w:rFonts w:ascii="NoorLotus" w:hAnsi="NoorLotus"/>
          <w:sz w:val="28"/>
          <w:rtl/>
        </w:rPr>
        <w:t xml:space="preserve"> </w:t>
      </w:r>
      <w:r w:rsidR="00DA5530" w:rsidRPr="003D0EC9">
        <w:rPr>
          <w:rFonts w:ascii="NoorLotus" w:hAnsi="NoorLotus"/>
          <w:sz w:val="28"/>
          <w:rtl/>
        </w:rPr>
        <w:t>حکم شرعی واقعی که معلوم بالاجمال</w:t>
      </w:r>
      <w:r w:rsidR="00DA5530">
        <w:rPr>
          <w:rFonts w:ascii="NoorLotus" w:hAnsi="NoorLotus" w:hint="cs"/>
          <w:sz w:val="28"/>
          <w:rtl/>
        </w:rPr>
        <w:t xml:space="preserve"> است</w:t>
      </w:r>
      <w:r w:rsidR="00DA5530" w:rsidRPr="003D0EC9">
        <w:rPr>
          <w:rFonts w:ascii="NoorLotus" w:hAnsi="NoorLotus"/>
          <w:sz w:val="28"/>
          <w:rtl/>
        </w:rPr>
        <w:t xml:space="preserve"> </w:t>
      </w:r>
      <w:r w:rsidR="00DA5530">
        <w:rPr>
          <w:rFonts w:ascii="NoorLotus" w:hAnsi="NoorLotus" w:hint="cs"/>
          <w:sz w:val="28"/>
          <w:rtl/>
        </w:rPr>
        <w:t>یا اماره و اصل بر آن اقامه شده است زیرا وقتی مکلف یک طرف علم اجمالی را مرتکب می‌شود احتمال می‌دهد حرام واقعی در طرف دیگر باشد و یا اماره و اصل مطابق با واقع نباشد. پس این لغویت</w:t>
      </w:r>
      <w:r w:rsidR="009571BF">
        <w:rPr>
          <w:rFonts w:ascii="NoorLotus" w:hAnsi="NoorLotus" w:hint="cs"/>
          <w:sz w:val="28"/>
          <w:rtl/>
        </w:rPr>
        <w:t xml:space="preserve"> بر فرض صحت</w:t>
      </w:r>
      <w:r w:rsidR="00DA5530">
        <w:rPr>
          <w:rFonts w:ascii="NoorLotus" w:hAnsi="NoorLotus" w:hint="cs"/>
          <w:sz w:val="28"/>
          <w:rtl/>
        </w:rPr>
        <w:t xml:space="preserve"> فقط نسبت به تجری به مخالفت قطع به تکلیف تمام است.</w:t>
      </w:r>
    </w:p>
    <w:p w14:paraId="4835D129" w14:textId="77777777" w:rsidR="00C26F89" w:rsidRDefault="00C26F89" w:rsidP="004D31BD">
      <w:pPr>
        <w:jc w:val="both"/>
        <w:rPr>
          <w:rtl/>
        </w:rPr>
      </w:pPr>
      <w:r>
        <w:rPr>
          <w:rFonts w:hint="cs"/>
          <w:rtl/>
        </w:rPr>
        <w:lastRenderedPageBreak/>
        <w:t xml:space="preserve">ثانیا: در مورد قطع نیز شارع می‌تواند بگوید </w:t>
      </w:r>
      <w:r w:rsidR="009571BF">
        <w:rPr>
          <w:rFonts w:hint="cs"/>
          <w:rtl/>
        </w:rPr>
        <w:t>«</w:t>
      </w:r>
      <w:r>
        <w:rPr>
          <w:rFonts w:hint="cs"/>
          <w:rtl/>
        </w:rPr>
        <w:t>تخلف از قطع به تکلیف نکنید مطلقا» و عملا دو حرام می‌شود یکی حرمت شرب خم</w:t>
      </w:r>
      <w:r w:rsidR="009571BF">
        <w:rPr>
          <w:rFonts w:hint="cs"/>
          <w:rtl/>
        </w:rPr>
        <w:t xml:space="preserve">ر و دیگری حرمت تخلف از قطع به تکلیف </w:t>
      </w:r>
      <w:r>
        <w:rPr>
          <w:rFonts w:hint="cs"/>
          <w:rtl/>
        </w:rPr>
        <w:t xml:space="preserve">و چون دو حرام است و دو عقاب لغو نیست. </w:t>
      </w:r>
    </w:p>
    <w:p w14:paraId="53A5EAD5" w14:textId="77777777" w:rsidR="00C26F89" w:rsidRDefault="009571BF" w:rsidP="004D31BD">
      <w:pPr>
        <w:pStyle w:val="Heading3"/>
        <w:jc w:val="both"/>
        <w:rPr>
          <w:rtl/>
        </w:rPr>
      </w:pPr>
      <w:bookmarkStart w:id="16" w:name="_Toc135027667"/>
      <w:bookmarkStart w:id="17" w:name="_Toc135484943"/>
      <w:r>
        <w:rPr>
          <w:rFonts w:hint="cs"/>
          <w:rtl/>
        </w:rPr>
        <w:t>دلیل سوم: عقلایی نبودن جعل حرمت برای تجری</w:t>
      </w:r>
      <w:bookmarkEnd w:id="16"/>
      <w:bookmarkEnd w:id="17"/>
    </w:p>
    <w:p w14:paraId="1F2EDE86" w14:textId="77777777" w:rsidR="00C26F89" w:rsidRDefault="00F8080E" w:rsidP="00F50313">
      <w:pPr>
        <w:jc w:val="both"/>
        <w:rPr>
          <w:rtl/>
        </w:rPr>
      </w:pPr>
      <w:r>
        <w:rPr>
          <w:rFonts w:hint="cs"/>
          <w:rtl/>
        </w:rPr>
        <w:t>جعل حرمت</w:t>
      </w:r>
      <w:r w:rsidR="009571BF">
        <w:rPr>
          <w:rFonts w:hint="cs"/>
          <w:rtl/>
        </w:rPr>
        <w:t xml:space="preserve"> برای تجری</w:t>
      </w:r>
      <w:r>
        <w:rPr>
          <w:rFonts w:hint="cs"/>
          <w:rtl/>
        </w:rPr>
        <w:t xml:space="preserve"> عقلا لغو نیست </w:t>
      </w:r>
      <w:r w:rsidR="00C26F89">
        <w:rPr>
          <w:rFonts w:hint="cs"/>
          <w:rtl/>
        </w:rPr>
        <w:t>ولی عقلایی نیست و جعل حرمت برای تجری نزد عقلاء مستهجن و مستنکر است زی</w:t>
      </w:r>
      <w:r w:rsidR="009571BF">
        <w:rPr>
          <w:rFonts w:hint="cs"/>
          <w:rtl/>
        </w:rPr>
        <w:t>را او خودش را متجری  نمی‌داند و همان‌طور که جعل حرمت شرعی برای عصیان نزد عقلاء مستنکر و لغو است</w:t>
      </w:r>
      <w:r w:rsidR="00C26F89">
        <w:rPr>
          <w:rFonts w:hint="cs"/>
          <w:rtl/>
        </w:rPr>
        <w:t xml:space="preserve"> </w:t>
      </w:r>
      <w:r w:rsidR="009571BF">
        <w:rPr>
          <w:rFonts w:hint="cs"/>
          <w:rtl/>
        </w:rPr>
        <w:t>جعل حرمت مولوی برای نیز نزد عقلاء لغو و مستنکر خواهد بود.</w:t>
      </w:r>
    </w:p>
    <w:p w14:paraId="641B78CB" w14:textId="77777777" w:rsidR="00C26F89" w:rsidRDefault="00C26F89" w:rsidP="00F50313">
      <w:pPr>
        <w:jc w:val="both"/>
        <w:rPr>
          <w:rtl/>
        </w:rPr>
      </w:pPr>
      <w:r>
        <w:rPr>
          <w:rFonts w:hint="cs"/>
          <w:rtl/>
        </w:rPr>
        <w:t xml:space="preserve">این مطلب در تجری به مخالفت قطع درست </w:t>
      </w:r>
      <w:r w:rsidR="009571BF">
        <w:rPr>
          <w:rFonts w:hint="cs"/>
          <w:rtl/>
        </w:rPr>
        <w:t xml:space="preserve">است و جعل حرمت مولوی برای </w:t>
      </w:r>
      <w:r w:rsidR="00F50313">
        <w:rPr>
          <w:rFonts w:hint="cs"/>
          <w:rtl/>
        </w:rPr>
        <w:t xml:space="preserve">متجری -که خودش را عاصی می‌داند- </w:t>
      </w:r>
      <w:r w:rsidR="009571BF">
        <w:rPr>
          <w:rFonts w:hint="cs"/>
          <w:rtl/>
        </w:rPr>
        <w:t>نزد عقلاء مستنکر</w:t>
      </w:r>
      <w:r>
        <w:rPr>
          <w:rFonts w:hint="cs"/>
          <w:rtl/>
        </w:rPr>
        <w:t xml:space="preserve"> است</w:t>
      </w:r>
      <w:r w:rsidR="000D7771">
        <w:rPr>
          <w:rFonts w:hint="cs"/>
          <w:rtl/>
        </w:rPr>
        <w:t xml:space="preserve"> چون </w:t>
      </w:r>
      <w:r w:rsidR="003563E3">
        <w:rPr>
          <w:rFonts w:hint="cs"/>
          <w:rtl/>
        </w:rPr>
        <w:t>اثر ندارد</w:t>
      </w:r>
      <w:r>
        <w:rPr>
          <w:rFonts w:hint="cs"/>
          <w:rtl/>
        </w:rPr>
        <w:t xml:space="preserve"> ولی در </w:t>
      </w:r>
      <w:r w:rsidR="00E507D7">
        <w:rPr>
          <w:rFonts w:hint="cs"/>
          <w:rtl/>
        </w:rPr>
        <w:t xml:space="preserve">مورد </w:t>
      </w:r>
      <w:r>
        <w:rPr>
          <w:rFonts w:hint="cs"/>
          <w:rtl/>
        </w:rPr>
        <w:t>تجری به مخالفت سایر حجج</w:t>
      </w:r>
      <w:r w:rsidR="00E507D7">
        <w:rPr>
          <w:rFonts w:hint="cs"/>
          <w:rtl/>
        </w:rPr>
        <w:t>، جعل حرمت</w:t>
      </w:r>
      <w:r>
        <w:rPr>
          <w:rFonts w:hint="cs"/>
          <w:rtl/>
        </w:rPr>
        <w:t xml:space="preserve"> لغو نیست و مستنکر نیست که شارع بگوید: «</w:t>
      </w:r>
      <w:r w:rsidR="009571BF" w:rsidRPr="003D0EC9">
        <w:rPr>
          <w:rFonts w:ascii="NoorLotus" w:hAnsi="NoorLotus"/>
          <w:sz w:val="28"/>
          <w:rtl/>
        </w:rPr>
        <w:t>کسی که استصحاب می‌‌کند که این مایع خمر است اگر آن را بخورد مرتکب حرام</w:t>
      </w:r>
      <w:r w:rsidR="009571BF">
        <w:rPr>
          <w:rFonts w:ascii="NoorLotus" w:hAnsi="NoorLotus" w:hint="cs"/>
          <w:sz w:val="28"/>
          <w:rtl/>
        </w:rPr>
        <w:t xml:space="preserve"> نفسی</w:t>
      </w:r>
      <w:r w:rsidR="009571BF" w:rsidRPr="003D0EC9">
        <w:rPr>
          <w:rFonts w:ascii="NoorLotus" w:hAnsi="NoorLotus"/>
          <w:sz w:val="28"/>
          <w:rtl/>
        </w:rPr>
        <w:t xml:space="preserve"> شده است</w:t>
      </w:r>
      <w:r>
        <w:rPr>
          <w:rFonts w:hint="cs"/>
          <w:rtl/>
        </w:rPr>
        <w:t>»</w:t>
      </w:r>
      <w:r w:rsidR="009571BF">
        <w:rPr>
          <w:rFonts w:hint="cs"/>
          <w:rtl/>
        </w:rPr>
        <w:t>.</w:t>
      </w:r>
      <w:r>
        <w:rPr>
          <w:rFonts w:hint="cs"/>
          <w:rtl/>
        </w:rPr>
        <w:t xml:space="preserve"> </w:t>
      </w:r>
      <w:r w:rsidR="009571BF">
        <w:rPr>
          <w:rFonts w:hint="cs"/>
          <w:rtl/>
        </w:rPr>
        <w:t xml:space="preserve">و لذا برای بعضی از مقدمات حرام‌  جعل حرمت نفسی شده است </w:t>
      </w:r>
      <w:r w:rsidRPr="009571BF">
        <w:rPr>
          <w:rFonts w:hint="cs"/>
          <w:rtl/>
        </w:rPr>
        <w:t>مثل «</w:t>
      </w:r>
      <w:r w:rsidR="009571BF" w:rsidRPr="009571BF">
        <w:rPr>
          <w:rFonts w:hint="cs"/>
          <w:rtl/>
        </w:rPr>
        <w:t>قَالَ ع لَعَنَ‏ اللَّهُ‏ الْخَمْرَ وَ غَارِسَهَا وَ عَاصِرَهَا وَ شَارِبَهَا وَ سَاقِيَهَا وَ بَائِعَهَا وَ مُشْتَرِيَهَا وَ آكِلَ ثَمَنِهَا وَ حَامِلَهَا وَ الْمَحْمُولَةَ إِلَيْه‏</w:t>
      </w:r>
      <w:r w:rsidRPr="009571BF">
        <w:rPr>
          <w:rFonts w:hint="cs"/>
          <w:rtl/>
        </w:rPr>
        <w:t>»</w:t>
      </w:r>
      <w:r w:rsidR="009571BF">
        <w:rPr>
          <w:rStyle w:val="FootnoteReference"/>
          <w:rtl/>
        </w:rPr>
        <w:footnoteReference w:id="7"/>
      </w:r>
      <w:r w:rsidR="009571BF">
        <w:rPr>
          <w:rFonts w:hint="cs"/>
          <w:rtl/>
        </w:rPr>
        <w:t xml:space="preserve"> یعنی نفس کاشتن درخت انگور به غرض این که با انگور آن شراب درست </w:t>
      </w:r>
      <w:r w:rsidR="000D7771">
        <w:rPr>
          <w:rFonts w:hint="cs"/>
          <w:rtl/>
        </w:rPr>
        <w:t xml:space="preserve">شود، </w:t>
      </w:r>
      <w:r w:rsidR="009571BF">
        <w:rPr>
          <w:rFonts w:hint="cs"/>
          <w:rtl/>
        </w:rPr>
        <w:t>حرام نفسی است</w:t>
      </w:r>
      <w:r w:rsidR="000D7771">
        <w:rPr>
          <w:rFonts w:hint="cs"/>
          <w:rtl/>
        </w:rPr>
        <w:t xml:space="preserve">، و این یک فرض از تجری است و وقتی </w:t>
      </w:r>
      <w:r w:rsidR="003563E3">
        <w:rPr>
          <w:rFonts w:hint="cs"/>
          <w:rtl/>
        </w:rPr>
        <w:t>شارع</w:t>
      </w:r>
      <w:r w:rsidR="000D7771">
        <w:rPr>
          <w:rFonts w:hint="cs"/>
          <w:rtl/>
        </w:rPr>
        <w:t xml:space="preserve"> این فرض از تجری را حرام کرد </w:t>
      </w:r>
      <w:r w:rsidR="003563E3">
        <w:rPr>
          <w:rFonts w:hint="cs"/>
          <w:rtl/>
        </w:rPr>
        <w:t xml:space="preserve">می‌توانست کل موارد تجری را </w:t>
      </w:r>
      <w:r w:rsidR="000D7771">
        <w:rPr>
          <w:rFonts w:hint="cs"/>
          <w:rtl/>
        </w:rPr>
        <w:t xml:space="preserve">نیز </w:t>
      </w:r>
      <w:r w:rsidR="003563E3">
        <w:rPr>
          <w:rFonts w:hint="cs"/>
          <w:rtl/>
        </w:rPr>
        <w:t>حرام کند</w:t>
      </w:r>
      <w:r w:rsidR="000D7771">
        <w:rPr>
          <w:rFonts w:hint="cs"/>
          <w:rtl/>
        </w:rPr>
        <w:t>.</w:t>
      </w:r>
      <w:r w:rsidR="003563E3">
        <w:rPr>
          <w:rFonts w:hint="cs"/>
          <w:rtl/>
        </w:rPr>
        <w:t xml:space="preserve"> </w:t>
      </w:r>
      <w:r w:rsidR="000D7771">
        <w:rPr>
          <w:rFonts w:hint="cs"/>
          <w:rtl/>
        </w:rPr>
        <w:t>البته بعد از جعل حرمت برای تجری، دیگر تجری از تجری بودن خارج می‌شود و حرام نفسی می‌شود.</w:t>
      </w:r>
    </w:p>
    <w:p w14:paraId="0CF5F3D8" w14:textId="77777777" w:rsidR="000D7771" w:rsidRDefault="000D7771" w:rsidP="00E507D7">
      <w:pPr>
        <w:jc w:val="both"/>
        <w:rPr>
          <w:rtl/>
        </w:rPr>
      </w:pPr>
      <w:r>
        <w:rPr>
          <w:rFonts w:hint="cs"/>
          <w:rtl/>
        </w:rPr>
        <w:t xml:space="preserve">ان قلت: جعل حرمت مولوی برای تجری در غیر مورد قطع و عدم جعل حرمت برای تجری در مورد قطع، مستلزم این است که تجری در قطع احسن حالا باشد و </w:t>
      </w:r>
      <w:r w:rsidR="00E507D7">
        <w:rPr>
          <w:rFonts w:hint="cs"/>
          <w:rtl/>
        </w:rPr>
        <w:t>این</w:t>
      </w:r>
      <w:r>
        <w:rPr>
          <w:rFonts w:hint="cs"/>
          <w:rtl/>
        </w:rPr>
        <w:t xml:space="preserve"> عرفا مستنکر است.</w:t>
      </w:r>
    </w:p>
    <w:p w14:paraId="52984EC1" w14:textId="77777777" w:rsidR="000D7771" w:rsidRDefault="000D7771" w:rsidP="004D31BD">
      <w:pPr>
        <w:jc w:val="both"/>
        <w:rPr>
          <w:rtl/>
        </w:rPr>
      </w:pPr>
      <w:r>
        <w:rPr>
          <w:rFonts w:hint="cs"/>
          <w:rtl/>
        </w:rPr>
        <w:t xml:space="preserve">قلت: اولا: شارع در تجری به مخالفت قطع نمی‌توانست جعل تحریم کند ولی در تجری به مخالفت سایر حجج می‌توانست جعل تحریم کند. </w:t>
      </w:r>
    </w:p>
    <w:p w14:paraId="38121F2D" w14:textId="77777777" w:rsidR="003563E3" w:rsidRDefault="000D7771" w:rsidP="004D31BD">
      <w:pPr>
        <w:jc w:val="both"/>
        <w:rPr>
          <w:rtl/>
        </w:rPr>
      </w:pPr>
      <w:r>
        <w:rPr>
          <w:rFonts w:hint="cs"/>
          <w:rtl/>
        </w:rPr>
        <w:t xml:space="preserve">ثانیا: </w:t>
      </w:r>
      <w:r w:rsidR="003563E3">
        <w:rPr>
          <w:rFonts w:hint="cs"/>
          <w:rtl/>
        </w:rPr>
        <w:t>ممکن است گفته شود در تجری به مخالفت قطع انشاء حرمت لغو است ولی روح حرمت که تعلق غرض لزومی مولی به ترک</w:t>
      </w:r>
      <w:r>
        <w:rPr>
          <w:rFonts w:hint="cs"/>
          <w:rtl/>
        </w:rPr>
        <w:t xml:space="preserve"> است، لغو نیست و لذا در منهاج الصالحین گفته شد</w:t>
      </w:r>
      <w:r w:rsidR="00362829">
        <w:rPr>
          <w:rFonts w:hint="cs"/>
          <w:rtl/>
        </w:rPr>
        <w:t>ه است</w:t>
      </w:r>
      <w:r>
        <w:rPr>
          <w:rFonts w:hint="cs"/>
          <w:rtl/>
        </w:rPr>
        <w:t>: «</w:t>
      </w:r>
      <w:r>
        <w:rPr>
          <w:rFonts w:ascii="NoorLotus" w:hAnsi="NoorLotus"/>
          <w:sz w:val="28"/>
          <w:rtl/>
        </w:rPr>
        <w:t>اگر شخصی فراموش ک</w:t>
      </w:r>
      <w:r>
        <w:rPr>
          <w:rFonts w:ascii="NoorLotus" w:hAnsi="NoorLotus" w:hint="cs"/>
          <w:sz w:val="28"/>
          <w:rtl/>
        </w:rPr>
        <w:t>ند</w:t>
      </w:r>
      <w:r w:rsidRPr="003D0EC9">
        <w:rPr>
          <w:rFonts w:ascii="NoorLotus" w:hAnsi="NoorLotus"/>
          <w:sz w:val="28"/>
          <w:rtl/>
        </w:rPr>
        <w:t xml:space="preserve"> که این آب غصبی است</w:t>
      </w:r>
      <w:r>
        <w:rPr>
          <w:rFonts w:ascii="NoorLotus" w:hAnsi="NoorLotus" w:hint="cs"/>
          <w:sz w:val="28"/>
          <w:rtl/>
        </w:rPr>
        <w:t xml:space="preserve"> و با آن وضو بگیرد، </w:t>
      </w:r>
      <w:r>
        <w:rPr>
          <w:rFonts w:ascii="NoorLotus" w:hAnsi="NoorLotus"/>
          <w:sz w:val="28"/>
          <w:rtl/>
        </w:rPr>
        <w:t>وضو</w:t>
      </w:r>
      <w:r w:rsidR="00362829">
        <w:rPr>
          <w:rFonts w:ascii="NoorLotus" w:hAnsi="NoorLotus" w:hint="cs"/>
          <w:sz w:val="28"/>
          <w:rtl/>
        </w:rPr>
        <w:t>ی</w:t>
      </w:r>
      <w:r>
        <w:rPr>
          <w:rFonts w:ascii="NoorLotus" w:hAnsi="NoorLotus" w:hint="cs"/>
          <w:sz w:val="28"/>
          <w:rtl/>
        </w:rPr>
        <w:t xml:space="preserve"> او</w:t>
      </w:r>
      <w:r w:rsidRPr="003D0EC9">
        <w:rPr>
          <w:rFonts w:ascii="NoorLotus" w:hAnsi="NoorLotus"/>
          <w:sz w:val="28"/>
          <w:rtl/>
        </w:rPr>
        <w:t xml:space="preserve"> صحیح است</w:t>
      </w:r>
      <w:r>
        <w:rPr>
          <w:rFonts w:ascii="NoorLotus" w:hAnsi="NoorLotus" w:hint="cs"/>
          <w:sz w:val="28"/>
          <w:rtl/>
        </w:rPr>
        <w:t xml:space="preserve"> «</w:t>
      </w:r>
      <w:r w:rsidRPr="003D0EC9">
        <w:rPr>
          <w:rFonts w:ascii="NoorLotus" w:hAnsi="NoorLotus"/>
          <w:sz w:val="28"/>
          <w:rtl/>
        </w:rPr>
        <w:t>الا ان یکون هو الغاصب</w:t>
      </w:r>
      <w:r>
        <w:rPr>
          <w:rFonts w:ascii="NoorLotus" w:hAnsi="NoorLotus" w:hint="cs"/>
          <w:sz w:val="28"/>
          <w:rtl/>
        </w:rPr>
        <w:t>»</w:t>
      </w:r>
      <w:r w:rsidRPr="003D0EC9">
        <w:rPr>
          <w:rFonts w:ascii="NoorLotus" w:hAnsi="NoorLotus"/>
          <w:sz w:val="28"/>
          <w:rtl/>
        </w:rPr>
        <w:t xml:space="preserve"> مگر این شخصی که با این آب وضوء می‌‌گیرد خودش قبلا این آب را غصب کرده باشد که دیگر این فعل او و لو </w:t>
      </w:r>
      <w:r>
        <w:rPr>
          <w:rFonts w:ascii="NoorLotus" w:hAnsi="NoorLotus" w:hint="cs"/>
          <w:sz w:val="28"/>
          <w:rtl/>
        </w:rPr>
        <w:t xml:space="preserve">به نظر مشهور </w:t>
      </w:r>
      <w:r w:rsidR="00362829">
        <w:rPr>
          <w:rFonts w:ascii="NoorLotus" w:hAnsi="NoorLotus"/>
          <w:sz w:val="28"/>
          <w:rtl/>
        </w:rPr>
        <w:t>حرام نیست چون غافل</w:t>
      </w:r>
      <w:r>
        <w:rPr>
          <w:rFonts w:ascii="NoorLotus" w:hAnsi="NoorLotus" w:hint="cs"/>
          <w:sz w:val="28"/>
          <w:rtl/>
        </w:rPr>
        <w:t xml:space="preserve"> و ناسی </w:t>
      </w:r>
      <w:r w:rsidRPr="003D0EC9">
        <w:rPr>
          <w:rFonts w:ascii="NoorLotus" w:hAnsi="NoorLotus"/>
          <w:sz w:val="28"/>
          <w:rtl/>
        </w:rPr>
        <w:t xml:space="preserve">است اما این فعلش مبغوض است و غرض مولی به ترک </w:t>
      </w:r>
      <w:r w:rsidRPr="003D0EC9">
        <w:rPr>
          <w:rFonts w:ascii="NoorLotus" w:hAnsi="NoorLotus"/>
          <w:sz w:val="28"/>
          <w:rtl/>
        </w:rPr>
        <w:lastRenderedPageBreak/>
        <w:t>آ</w:t>
      </w:r>
      <w:r>
        <w:rPr>
          <w:rFonts w:ascii="NoorLotus" w:hAnsi="NoorLotus"/>
          <w:sz w:val="28"/>
          <w:rtl/>
        </w:rPr>
        <w:t>ن تعلق گرفته است و این فعل مبعد</w:t>
      </w:r>
      <w:r>
        <w:rPr>
          <w:rFonts w:ascii="NoorLotus" w:hAnsi="NoorLotus" w:hint="cs"/>
          <w:sz w:val="28"/>
          <w:rtl/>
        </w:rPr>
        <w:t xml:space="preserve"> </w:t>
      </w:r>
      <w:r w:rsidRPr="003D0EC9">
        <w:rPr>
          <w:rFonts w:ascii="NoorLotus" w:hAnsi="NoorLotus"/>
          <w:sz w:val="28"/>
          <w:rtl/>
        </w:rPr>
        <w:t>از مولی</w:t>
      </w:r>
      <w:r>
        <w:rPr>
          <w:rFonts w:ascii="NoorLotus" w:hAnsi="NoorLotus" w:hint="cs"/>
          <w:sz w:val="28"/>
          <w:rtl/>
        </w:rPr>
        <w:t xml:space="preserve"> است</w:t>
      </w:r>
      <w:r w:rsidRPr="003D0EC9">
        <w:rPr>
          <w:rFonts w:ascii="NoorLotus" w:hAnsi="NoorLotus"/>
          <w:sz w:val="28"/>
          <w:rtl/>
        </w:rPr>
        <w:t xml:space="preserve"> لذ</w:t>
      </w:r>
      <w:r w:rsidR="00362829">
        <w:rPr>
          <w:rFonts w:ascii="NoorLotus" w:hAnsi="NoorLotus"/>
          <w:sz w:val="28"/>
          <w:rtl/>
        </w:rPr>
        <w:t>ا وضو این غاصب و لو در حال وضو</w:t>
      </w:r>
      <w:r w:rsidR="00362829">
        <w:rPr>
          <w:rFonts w:ascii="NoorLotus" w:hAnsi="NoorLotus" w:hint="cs"/>
          <w:sz w:val="28"/>
          <w:rtl/>
        </w:rPr>
        <w:t>،</w:t>
      </w:r>
      <w:r>
        <w:rPr>
          <w:rFonts w:ascii="NoorLotus" w:hAnsi="NoorLotus" w:hint="cs"/>
          <w:sz w:val="28"/>
          <w:rtl/>
        </w:rPr>
        <w:t xml:space="preserve"> غصبی بودن آن را</w:t>
      </w:r>
      <w:r w:rsidRPr="003D0EC9">
        <w:rPr>
          <w:rFonts w:ascii="NoorLotus" w:hAnsi="NoorLotus"/>
          <w:sz w:val="28"/>
          <w:rtl/>
        </w:rPr>
        <w:t xml:space="preserve"> فراموش کرد باطل است</w:t>
      </w:r>
      <w:r>
        <w:rPr>
          <w:rFonts w:ascii="NoorLotus" w:hAnsi="NoorLotus" w:hint="cs"/>
          <w:sz w:val="28"/>
          <w:rtl/>
        </w:rPr>
        <w:t xml:space="preserve">» </w:t>
      </w:r>
    </w:p>
    <w:p w14:paraId="2A42CBC1" w14:textId="77777777" w:rsidR="003563E3" w:rsidRDefault="002E56B7" w:rsidP="00362829">
      <w:pPr>
        <w:jc w:val="both"/>
        <w:rPr>
          <w:rtl/>
        </w:rPr>
      </w:pPr>
      <w:r>
        <w:rPr>
          <w:rFonts w:hint="cs"/>
          <w:rtl/>
        </w:rPr>
        <w:t>یا کسی که خمس مغازه خود را ندهد اما هنگام نماز فراموش کند</w:t>
      </w:r>
      <w:r w:rsidR="003563E3">
        <w:rPr>
          <w:rFonts w:hint="cs"/>
          <w:rtl/>
        </w:rPr>
        <w:t xml:space="preserve"> و در آن مغازه نماز </w:t>
      </w:r>
      <w:r>
        <w:rPr>
          <w:rFonts w:hint="cs"/>
          <w:rtl/>
        </w:rPr>
        <w:t>ب</w:t>
      </w:r>
      <w:r w:rsidR="003563E3">
        <w:rPr>
          <w:rFonts w:hint="cs"/>
          <w:rtl/>
        </w:rPr>
        <w:t>خواند، در این صورت بنا</w:t>
      </w:r>
      <w:r>
        <w:rPr>
          <w:rFonts w:hint="cs"/>
          <w:rtl/>
        </w:rPr>
        <w:t xml:space="preserve"> </w:t>
      </w:r>
      <w:r w:rsidR="003563E3">
        <w:rPr>
          <w:rFonts w:hint="cs"/>
          <w:rtl/>
        </w:rPr>
        <w:t>بر</w:t>
      </w:r>
      <w:r>
        <w:rPr>
          <w:rFonts w:hint="cs"/>
          <w:rtl/>
        </w:rPr>
        <w:t xml:space="preserve"> </w:t>
      </w:r>
      <w:r w:rsidR="003563E3">
        <w:rPr>
          <w:rFonts w:hint="cs"/>
          <w:rtl/>
        </w:rPr>
        <w:t xml:space="preserve">این نظر نماز او باطل است زیرا </w:t>
      </w:r>
      <w:r>
        <w:rPr>
          <w:rFonts w:hint="cs"/>
          <w:rtl/>
        </w:rPr>
        <w:t xml:space="preserve">این شخص ولو غصبی بودن مغازه را فراموش کرد ولی چون خودش غصب کرد و خمس آن را پرداخت نکرد روح حکم یعنی غرض لزومی مولی به ترک آن تعلق گرفته است و چون این صلات مبعد از مولی </w:t>
      </w:r>
      <w:r w:rsidR="00362829">
        <w:rPr>
          <w:rFonts w:hint="cs"/>
          <w:rtl/>
        </w:rPr>
        <w:t>است</w:t>
      </w:r>
      <w:r>
        <w:rPr>
          <w:rFonts w:hint="cs"/>
          <w:rtl/>
        </w:rPr>
        <w:t xml:space="preserve"> باطل است.</w:t>
      </w:r>
    </w:p>
    <w:p w14:paraId="5F8F6CC0" w14:textId="77777777" w:rsidR="003563E3" w:rsidRDefault="002E56B7" w:rsidP="004D31BD">
      <w:pPr>
        <w:jc w:val="both"/>
        <w:rPr>
          <w:rtl/>
        </w:rPr>
      </w:pPr>
      <w:r>
        <w:rPr>
          <w:rFonts w:hint="cs"/>
          <w:rtl/>
        </w:rPr>
        <w:t xml:space="preserve">بنابراین تجری در قطع </w:t>
      </w:r>
      <w:r w:rsidR="003563E3">
        <w:rPr>
          <w:rFonts w:hint="cs"/>
          <w:rtl/>
        </w:rPr>
        <w:t>نسبت به تجری در مخالفت با سایر حجج</w:t>
      </w:r>
      <w:r w:rsidRPr="002E56B7">
        <w:rPr>
          <w:rFonts w:hint="cs"/>
          <w:rtl/>
        </w:rPr>
        <w:t xml:space="preserve"> </w:t>
      </w:r>
      <w:r>
        <w:rPr>
          <w:rFonts w:hint="cs"/>
          <w:rtl/>
        </w:rPr>
        <w:t>احسن حالا</w:t>
      </w:r>
      <w:r w:rsidR="003563E3">
        <w:rPr>
          <w:rFonts w:hint="cs"/>
          <w:rtl/>
        </w:rPr>
        <w:t xml:space="preserve"> نیست و روح حرمت</w:t>
      </w:r>
      <w:r>
        <w:rPr>
          <w:rFonts w:hint="cs"/>
          <w:rtl/>
        </w:rPr>
        <w:t xml:space="preserve"> در آن</w:t>
      </w:r>
      <w:r w:rsidR="003563E3">
        <w:rPr>
          <w:rFonts w:hint="cs"/>
          <w:rtl/>
        </w:rPr>
        <w:t xml:space="preserve"> وجود دارد. </w:t>
      </w:r>
    </w:p>
    <w:p w14:paraId="1C4BE016" w14:textId="77777777" w:rsidR="003563E3" w:rsidRDefault="002E56B7" w:rsidP="004D31BD">
      <w:pPr>
        <w:pStyle w:val="Heading3"/>
        <w:jc w:val="both"/>
        <w:rPr>
          <w:rtl/>
        </w:rPr>
      </w:pPr>
      <w:bookmarkStart w:id="18" w:name="_Toc135027668"/>
      <w:bookmarkStart w:id="19" w:name="_Toc135484944"/>
      <w:r>
        <w:rPr>
          <w:rFonts w:hint="cs"/>
          <w:rtl/>
        </w:rPr>
        <w:t xml:space="preserve">دلیل چهارم: </w:t>
      </w:r>
      <w:r w:rsidR="003563E3">
        <w:rPr>
          <w:rFonts w:hint="cs"/>
          <w:rtl/>
        </w:rPr>
        <w:t>کلام مرحوم نایینی رحمه الله</w:t>
      </w:r>
      <w:bookmarkEnd w:id="18"/>
      <w:bookmarkEnd w:id="19"/>
    </w:p>
    <w:p w14:paraId="25E079C5" w14:textId="77777777" w:rsidR="002E56B7" w:rsidRDefault="002E56B7" w:rsidP="004D31BD">
      <w:pPr>
        <w:jc w:val="both"/>
        <w:rPr>
          <w:rtl/>
        </w:rPr>
      </w:pPr>
      <w:r>
        <w:rPr>
          <w:rFonts w:hint="cs"/>
          <w:rtl/>
        </w:rPr>
        <w:t xml:space="preserve">مرحوم نایینی رحمه الله برای اثبات عدم معقولیت تحریم مولوی تجری فرموده‌اند: </w:t>
      </w:r>
      <w:r w:rsidR="003563E3">
        <w:rPr>
          <w:rFonts w:hint="cs"/>
          <w:rtl/>
        </w:rPr>
        <w:t>خطاب «یحرم شرب الخمر»</w:t>
      </w:r>
      <w:r>
        <w:rPr>
          <w:rFonts w:hint="cs"/>
          <w:rtl/>
        </w:rPr>
        <w:t xml:space="preserve"> نمی‌تواند دلالت بر حرمت مولوی تجری کند </w:t>
      </w:r>
      <w:r w:rsidR="003563E3">
        <w:rPr>
          <w:rFonts w:hint="cs"/>
          <w:rtl/>
        </w:rPr>
        <w:t>زیرا بین تحریم شرب خمر به عنوان اولی و تحریم تجری اختلاف رتبه است</w:t>
      </w:r>
      <w:r>
        <w:rPr>
          <w:rFonts w:hint="cs"/>
          <w:rtl/>
        </w:rPr>
        <w:t xml:space="preserve"> زیرا اول باید شرب خمر به عنوان اولی حرام شود بعد مکلف قطع پیدا کند به خمر بودن این مایع و حرمت خمر و بعد از آن تخلف کند که می‌شود تجری</w:t>
      </w:r>
      <w:r w:rsidR="003563E3">
        <w:rPr>
          <w:rFonts w:hint="cs"/>
          <w:rtl/>
        </w:rPr>
        <w:t xml:space="preserve"> و </w:t>
      </w:r>
      <w:r>
        <w:rPr>
          <w:rFonts w:hint="cs"/>
          <w:rtl/>
        </w:rPr>
        <w:t>سپس تجری حرام شود پس حرمت تجری از جعل حرمت برای شرب خمر متاخر است</w:t>
      </w:r>
      <w:r w:rsidR="003563E3">
        <w:rPr>
          <w:rFonts w:hint="cs"/>
          <w:rtl/>
        </w:rPr>
        <w:t xml:space="preserve"> و هیچ خطابی انقسامات متاخر از آن خطاب را شامل نمی‌شود. زیرا خطاب نمی‌تواند متکفل انقسامات لاحقه حکم شود و آن مس</w:t>
      </w:r>
      <w:r>
        <w:rPr>
          <w:rFonts w:hint="cs"/>
          <w:rtl/>
        </w:rPr>
        <w:t>تلزم این است که «ما هو متاخر رتبتة</w:t>
      </w:r>
      <w:r w:rsidR="003563E3">
        <w:rPr>
          <w:rFonts w:hint="cs"/>
          <w:rtl/>
        </w:rPr>
        <w:t xml:space="preserve"> متقدم رتبة یا مساو رتبة</w:t>
      </w:r>
      <w:r>
        <w:rPr>
          <w:rFonts w:hint="cs"/>
          <w:rtl/>
        </w:rPr>
        <w:t>»</w:t>
      </w:r>
      <w:r w:rsidR="003563E3">
        <w:rPr>
          <w:rFonts w:hint="cs"/>
          <w:rtl/>
        </w:rPr>
        <w:t xml:space="preserve"> شود</w:t>
      </w:r>
      <w:r>
        <w:rPr>
          <w:rFonts w:hint="cs"/>
          <w:rtl/>
        </w:rPr>
        <w:t xml:space="preserve"> که این محال است.</w:t>
      </w:r>
    </w:p>
    <w:p w14:paraId="2FAC42E0" w14:textId="77777777" w:rsidR="00C152A1" w:rsidRDefault="003563E3" w:rsidP="00E63864">
      <w:pPr>
        <w:jc w:val="both"/>
        <w:rPr>
          <w:rtl/>
        </w:rPr>
      </w:pPr>
      <w:r>
        <w:rPr>
          <w:rFonts w:hint="cs"/>
          <w:rtl/>
        </w:rPr>
        <w:t xml:space="preserve">و اگر </w:t>
      </w:r>
      <w:r w:rsidR="00C152A1">
        <w:rPr>
          <w:rFonts w:hint="cs"/>
          <w:rtl/>
        </w:rPr>
        <w:t>می‌خواهید</w:t>
      </w:r>
      <w:r w:rsidR="00E63864">
        <w:rPr>
          <w:rFonts w:hint="cs"/>
          <w:rtl/>
        </w:rPr>
        <w:t xml:space="preserve"> </w:t>
      </w:r>
      <w:r w:rsidR="00C152A1">
        <w:rPr>
          <w:rFonts w:hint="cs"/>
          <w:rtl/>
        </w:rPr>
        <w:t xml:space="preserve">حرمت آن را از خطاب دیگر استفاده کنید آن خطاب اگر خصوص تجری در مقابل عصیان را می‌خواهد حرام کند مثل </w:t>
      </w:r>
      <w:r w:rsidR="00E63864">
        <w:rPr>
          <w:rFonts w:hint="cs"/>
          <w:rtl/>
        </w:rPr>
        <w:t xml:space="preserve">این می ماند که گفته است: </w:t>
      </w:r>
      <w:r w:rsidR="00C152A1">
        <w:rPr>
          <w:rFonts w:hint="cs"/>
          <w:rtl/>
        </w:rPr>
        <w:t>«</w:t>
      </w:r>
      <w:r w:rsidR="00C152A1" w:rsidRPr="003D0EC9">
        <w:rPr>
          <w:rFonts w:ascii="NoorLotus" w:hAnsi="NoorLotus"/>
          <w:sz w:val="28"/>
          <w:rtl/>
        </w:rPr>
        <w:t>التجری بمخالفة القطع غیر المصیب بالتکلیف حرام</w:t>
      </w:r>
      <w:r w:rsidR="00C152A1">
        <w:rPr>
          <w:rFonts w:hint="cs"/>
          <w:rtl/>
        </w:rPr>
        <w:t xml:space="preserve">» این نیز محال است </w:t>
      </w:r>
      <w:r>
        <w:rPr>
          <w:rFonts w:hint="cs"/>
          <w:rtl/>
        </w:rPr>
        <w:t xml:space="preserve">زیرا </w:t>
      </w:r>
      <w:r w:rsidR="00C152A1">
        <w:rPr>
          <w:rFonts w:hint="cs"/>
          <w:rtl/>
        </w:rPr>
        <w:t xml:space="preserve">خطاب تکلیف در صورتی باعثیت و زاجریت دارد که </w:t>
      </w:r>
      <w:r>
        <w:rPr>
          <w:rFonts w:hint="cs"/>
          <w:rtl/>
        </w:rPr>
        <w:t>مکلف</w:t>
      </w:r>
      <w:r w:rsidR="00C152A1">
        <w:rPr>
          <w:rFonts w:hint="cs"/>
          <w:rtl/>
        </w:rPr>
        <w:t xml:space="preserve"> ملتفت باشد که خودش داخل در موضوع آن خطاب است.</w:t>
      </w:r>
      <w:r w:rsidR="00E63864">
        <w:rPr>
          <w:rFonts w:hint="cs"/>
          <w:rtl/>
        </w:rPr>
        <w:t xml:space="preserve"> مثلا خطاب</w:t>
      </w:r>
      <w:r w:rsidR="00C152A1">
        <w:rPr>
          <w:rFonts w:hint="cs"/>
          <w:rtl/>
        </w:rPr>
        <w:t xml:space="preserve"> «المستطیع یحج» در صورتی برای من باعثیت دارد که من خودم را مستطیع بدانم. </w:t>
      </w:r>
      <w:r>
        <w:rPr>
          <w:rFonts w:hint="cs"/>
          <w:rtl/>
        </w:rPr>
        <w:t xml:space="preserve">و در مقام متجری خودش را مخاطب این خطاب نمی‌داند زیرا </w:t>
      </w:r>
      <w:r w:rsidR="00C152A1">
        <w:rPr>
          <w:rFonts w:hint="cs"/>
          <w:rtl/>
        </w:rPr>
        <w:t>هر کسی که قطع دارد می‌گوید قطع من مصیب است و من عاصی هستم نه متجری.</w:t>
      </w:r>
    </w:p>
    <w:p w14:paraId="7E8E49B6" w14:textId="77777777" w:rsidR="003563E3" w:rsidRPr="00C152A1" w:rsidRDefault="00C152A1" w:rsidP="004D31BD">
      <w:pPr>
        <w:jc w:val="both"/>
        <w:rPr>
          <w:rFonts w:ascii="NoorLotus" w:hAnsi="NoorLotus"/>
          <w:sz w:val="28"/>
          <w:rtl/>
        </w:rPr>
      </w:pPr>
      <w:r>
        <w:rPr>
          <w:rFonts w:hint="cs"/>
          <w:rtl/>
        </w:rPr>
        <w:t xml:space="preserve">و جعل حرمت برای </w:t>
      </w:r>
      <w:r w:rsidR="003563E3">
        <w:rPr>
          <w:rFonts w:hint="cs"/>
          <w:rtl/>
        </w:rPr>
        <w:t xml:space="preserve">تجری بالمعنی الاعم </w:t>
      </w:r>
      <w:r>
        <w:rPr>
          <w:rFonts w:hint="cs"/>
          <w:rtl/>
        </w:rPr>
        <w:t xml:space="preserve">به این نحو که شارع بگوید </w:t>
      </w:r>
      <w:r w:rsidR="003563E3">
        <w:rPr>
          <w:rFonts w:hint="cs"/>
          <w:rtl/>
        </w:rPr>
        <w:t>«</w:t>
      </w:r>
      <w:r w:rsidRPr="003D0EC9">
        <w:rPr>
          <w:rFonts w:ascii="NoorLotus" w:hAnsi="NoorLotus"/>
          <w:sz w:val="28"/>
          <w:rtl/>
        </w:rPr>
        <w:t>التجری بمخالفة القطع بالتکلیف حرام سواء کا</w:t>
      </w:r>
      <w:r w:rsidR="00E63864">
        <w:rPr>
          <w:rFonts w:ascii="NoorLotus" w:hAnsi="NoorLotus"/>
          <w:sz w:val="28"/>
          <w:rtl/>
        </w:rPr>
        <w:t>ن القطع بالتکیف مصیبا او مخطئا</w:t>
      </w:r>
      <w:r w:rsidR="003563E3">
        <w:rPr>
          <w:rFonts w:hint="cs"/>
          <w:rtl/>
        </w:rPr>
        <w:t>»</w:t>
      </w:r>
      <w:r w:rsidR="00D523E5">
        <w:rPr>
          <w:rFonts w:hint="cs"/>
          <w:rtl/>
        </w:rPr>
        <w:t xml:space="preserve"> </w:t>
      </w:r>
      <w:r w:rsidR="00E63864">
        <w:rPr>
          <w:rFonts w:hint="cs"/>
          <w:rtl/>
        </w:rPr>
        <w:t>-</w:t>
      </w:r>
      <w:r w:rsidR="00D523E5">
        <w:rPr>
          <w:rFonts w:hint="cs"/>
          <w:rtl/>
        </w:rPr>
        <w:t>که تعبیر دیگر آن «</w:t>
      </w:r>
      <w:r w:rsidRPr="003D0EC9">
        <w:rPr>
          <w:rFonts w:ascii="NoorLotus" w:hAnsi="NoorLotus"/>
          <w:sz w:val="28"/>
          <w:rtl/>
        </w:rPr>
        <w:t>لاتشرب مقطوع الخمریة</w:t>
      </w:r>
      <w:r w:rsidR="00D523E5">
        <w:rPr>
          <w:rFonts w:hint="cs"/>
          <w:rtl/>
        </w:rPr>
        <w:t xml:space="preserve">» </w:t>
      </w:r>
      <w:r w:rsidR="00E63864">
        <w:rPr>
          <w:rFonts w:hint="cs"/>
          <w:rtl/>
        </w:rPr>
        <w:t xml:space="preserve">است- </w:t>
      </w:r>
      <w:r w:rsidR="00D523E5">
        <w:rPr>
          <w:rFonts w:hint="cs"/>
          <w:rtl/>
        </w:rPr>
        <w:t xml:space="preserve">نیز </w:t>
      </w:r>
      <w:r>
        <w:rPr>
          <w:rFonts w:hint="cs"/>
          <w:rtl/>
        </w:rPr>
        <w:t>محال است. این</w:t>
      </w:r>
      <w:r w:rsidR="00D523E5">
        <w:rPr>
          <w:rFonts w:hint="cs"/>
          <w:rtl/>
        </w:rPr>
        <w:t xml:space="preserve"> که شارع در یک خطاب بگوید: «</w:t>
      </w:r>
      <w:r>
        <w:rPr>
          <w:rFonts w:hint="cs"/>
          <w:rtl/>
        </w:rPr>
        <w:t>لاتشرب الخمر</w:t>
      </w:r>
      <w:r w:rsidR="00D523E5">
        <w:rPr>
          <w:rFonts w:hint="cs"/>
          <w:rtl/>
        </w:rPr>
        <w:t>» و در خطاب دیگر بگوید: «</w:t>
      </w:r>
      <w:r>
        <w:rPr>
          <w:rFonts w:hint="cs"/>
          <w:rtl/>
        </w:rPr>
        <w:t>لاتشرب مقطوع الخمریة</w:t>
      </w:r>
      <w:r w:rsidR="00D523E5">
        <w:rPr>
          <w:rFonts w:hint="cs"/>
          <w:rtl/>
        </w:rPr>
        <w:t xml:space="preserve">» </w:t>
      </w:r>
      <w:r>
        <w:rPr>
          <w:rFonts w:hint="cs"/>
          <w:rtl/>
        </w:rPr>
        <w:t xml:space="preserve">محال است </w:t>
      </w:r>
      <w:r w:rsidR="00D523E5">
        <w:rPr>
          <w:rFonts w:hint="cs"/>
          <w:rtl/>
        </w:rPr>
        <w:t>زیرا نس</w:t>
      </w:r>
      <w:r>
        <w:rPr>
          <w:rFonts w:hint="cs"/>
          <w:rtl/>
        </w:rPr>
        <w:t xml:space="preserve">بت آن دو ولو عموم و خصوص من وجه است </w:t>
      </w:r>
      <w:r w:rsidR="00E63864">
        <w:rPr>
          <w:rFonts w:hint="cs"/>
          <w:rtl/>
        </w:rPr>
        <w:t xml:space="preserve">زیرا مورد افتراق از یک طرف </w:t>
      </w:r>
      <w:r>
        <w:rPr>
          <w:rFonts w:hint="cs"/>
          <w:rtl/>
        </w:rPr>
        <w:t>«</w:t>
      </w:r>
      <w:r w:rsidRPr="003D0EC9">
        <w:rPr>
          <w:rFonts w:ascii="NoorLotus" w:hAnsi="NoorLotus"/>
          <w:sz w:val="28"/>
          <w:rtl/>
        </w:rPr>
        <w:t xml:space="preserve">شرب </w:t>
      </w:r>
      <w:r w:rsidRPr="003D0EC9">
        <w:rPr>
          <w:rFonts w:ascii="NoorLotus" w:hAnsi="NoorLotus"/>
          <w:sz w:val="28"/>
          <w:rtl/>
        </w:rPr>
        <w:lastRenderedPageBreak/>
        <w:t>الخمر حرام و لو لم یکن مقطوع الخمریة</w:t>
      </w:r>
      <w:r>
        <w:rPr>
          <w:rFonts w:ascii="NoorLotus" w:hAnsi="NoorLotus" w:hint="cs"/>
          <w:sz w:val="28"/>
          <w:rtl/>
        </w:rPr>
        <w:t>» و از طرف دیگر</w:t>
      </w:r>
      <w:r w:rsidRPr="003D0EC9">
        <w:rPr>
          <w:rFonts w:ascii="NoorLotus" w:hAnsi="NoorLotus"/>
          <w:sz w:val="28"/>
          <w:rtl/>
        </w:rPr>
        <w:t xml:space="preserve"> </w:t>
      </w:r>
      <w:r>
        <w:rPr>
          <w:rFonts w:ascii="NoorLotus" w:hAnsi="NoorLotus" w:hint="cs"/>
          <w:sz w:val="28"/>
          <w:rtl/>
        </w:rPr>
        <w:t>«</w:t>
      </w:r>
      <w:r w:rsidRPr="003D0EC9">
        <w:rPr>
          <w:rFonts w:ascii="NoorLotus" w:hAnsi="NoorLotus"/>
          <w:sz w:val="28"/>
          <w:rtl/>
        </w:rPr>
        <w:t>شرب مقطوع الخمریة حرام و لو لم یکن خمرا</w:t>
      </w:r>
      <w:r>
        <w:rPr>
          <w:rFonts w:ascii="NoorLotus" w:hAnsi="NoorLotus" w:hint="cs"/>
          <w:sz w:val="28"/>
          <w:rtl/>
        </w:rPr>
        <w:t xml:space="preserve">» </w:t>
      </w:r>
      <w:r w:rsidR="00E63864">
        <w:rPr>
          <w:rFonts w:hint="cs"/>
          <w:rtl/>
        </w:rPr>
        <w:t xml:space="preserve">است </w:t>
      </w:r>
      <w:r>
        <w:rPr>
          <w:rFonts w:hint="cs"/>
          <w:rtl/>
        </w:rPr>
        <w:t xml:space="preserve">ولی با </w:t>
      </w:r>
      <w:r w:rsidR="00D523E5">
        <w:rPr>
          <w:rFonts w:hint="cs"/>
          <w:rtl/>
        </w:rPr>
        <w:t>سایر موارد که نسبت عموم و خصوص من وجه</w:t>
      </w:r>
      <w:r w:rsidR="009427CA">
        <w:rPr>
          <w:rFonts w:hint="cs"/>
          <w:rtl/>
        </w:rPr>
        <w:t xml:space="preserve"> است، </w:t>
      </w:r>
      <w:r w:rsidR="00D523E5">
        <w:rPr>
          <w:rFonts w:hint="cs"/>
          <w:rtl/>
        </w:rPr>
        <w:t xml:space="preserve">فرق دارد </w:t>
      </w:r>
      <w:r w:rsidR="009427CA">
        <w:rPr>
          <w:rFonts w:hint="cs"/>
          <w:rtl/>
        </w:rPr>
        <w:t>در موارد دیگر مثل «اکرم کل عالم» و «اکرم کل هاشمی»</w:t>
      </w:r>
      <w:r w:rsidR="00D523E5">
        <w:rPr>
          <w:rFonts w:hint="cs"/>
          <w:rtl/>
        </w:rPr>
        <w:t xml:space="preserve"> نسبت به عالم هاشمی یک وجوب موکد می‌شود و</w:t>
      </w:r>
      <w:r w:rsidR="009427CA">
        <w:rPr>
          <w:rFonts w:hint="cs"/>
          <w:rtl/>
        </w:rPr>
        <w:t>لی</w:t>
      </w:r>
      <w:r w:rsidR="00D523E5">
        <w:rPr>
          <w:rFonts w:hint="cs"/>
          <w:rtl/>
        </w:rPr>
        <w:t xml:space="preserve"> در مقام مکلف همیشه خودش را </w:t>
      </w:r>
      <w:r w:rsidR="009427CA">
        <w:rPr>
          <w:rFonts w:hint="cs"/>
          <w:rtl/>
        </w:rPr>
        <w:t>نسبت به این دو عنوان مورد اجتماع می‌داند یعنی وقتی قطع به خمر بودن این مایع دارد می‌گوید: «لاتشرب الخمر» شامل من می‌شود خطاب «لاتشرب مقطوع الخمریة» نیز شامل من می‌شود و متجری هیچ‌گاه خودش را داخل در مورد افتراق</w:t>
      </w:r>
      <w:r w:rsidR="002D5751">
        <w:rPr>
          <w:rFonts w:hint="cs"/>
          <w:rtl/>
        </w:rPr>
        <w:t>ِ</w:t>
      </w:r>
      <w:r w:rsidR="009427CA">
        <w:rPr>
          <w:rFonts w:hint="cs"/>
          <w:rtl/>
        </w:rPr>
        <w:t xml:space="preserve"> «لا تشرب مقطوع الخمریة» یعنی موردی که شیء مقطوع الخمریة است ولی خمر نیست، نمی‌داند، چنین جعلی ولو عامین من وجه است ولی چون مکلف خودش را همیشه مصداق مورد اجتماع می‌داند، لغو است و </w:t>
      </w:r>
      <w:r w:rsidR="00D523E5">
        <w:rPr>
          <w:rFonts w:hint="cs"/>
          <w:rtl/>
        </w:rPr>
        <w:t>مستلزم اجتماع مثلین است</w:t>
      </w:r>
      <w:r w:rsidR="009427CA">
        <w:rPr>
          <w:rFonts w:hint="cs"/>
          <w:rtl/>
        </w:rPr>
        <w:t xml:space="preserve"> که محال است و باید یک </w:t>
      </w:r>
      <w:r w:rsidR="00D523E5">
        <w:rPr>
          <w:rFonts w:hint="cs"/>
          <w:rtl/>
        </w:rPr>
        <w:t xml:space="preserve">حکم واحد موکد </w:t>
      </w:r>
      <w:r w:rsidR="009427CA">
        <w:rPr>
          <w:rFonts w:hint="cs"/>
          <w:rtl/>
        </w:rPr>
        <w:t>جعل شود</w:t>
      </w:r>
      <w:r w:rsidR="009427CA">
        <w:rPr>
          <w:rStyle w:val="FootnoteReference"/>
          <w:rtl/>
        </w:rPr>
        <w:footnoteReference w:id="8"/>
      </w:r>
      <w:r w:rsidR="009427CA">
        <w:rPr>
          <w:rFonts w:hint="cs"/>
          <w:rtl/>
        </w:rPr>
        <w:t>.</w:t>
      </w:r>
      <w:r w:rsidR="00D523E5">
        <w:rPr>
          <w:rFonts w:hint="cs"/>
          <w:rtl/>
        </w:rPr>
        <w:t xml:space="preserve"> </w:t>
      </w:r>
    </w:p>
    <w:p w14:paraId="33AED01E" w14:textId="77777777" w:rsidR="00D523E5" w:rsidRDefault="00D523E5" w:rsidP="004D31BD">
      <w:pPr>
        <w:pStyle w:val="Heading3"/>
        <w:jc w:val="both"/>
        <w:rPr>
          <w:rtl/>
        </w:rPr>
      </w:pPr>
      <w:bookmarkStart w:id="20" w:name="_Toc135027669"/>
      <w:bookmarkStart w:id="21" w:name="_Toc135484945"/>
      <w:r>
        <w:rPr>
          <w:rFonts w:hint="cs"/>
          <w:rtl/>
        </w:rPr>
        <w:t>بررسی کلام محقق نایینی رحمه الله</w:t>
      </w:r>
      <w:bookmarkEnd w:id="20"/>
      <w:bookmarkEnd w:id="21"/>
      <w:r>
        <w:rPr>
          <w:rFonts w:hint="cs"/>
          <w:rtl/>
        </w:rPr>
        <w:t xml:space="preserve"> </w:t>
      </w:r>
    </w:p>
    <w:p w14:paraId="5472D242" w14:textId="77777777" w:rsidR="009427CA" w:rsidRDefault="00D523E5" w:rsidP="004D31BD">
      <w:pPr>
        <w:jc w:val="both"/>
        <w:rPr>
          <w:rtl/>
        </w:rPr>
      </w:pPr>
      <w:r>
        <w:rPr>
          <w:rFonts w:hint="cs"/>
          <w:rtl/>
        </w:rPr>
        <w:t>این کلام</w:t>
      </w:r>
      <w:r w:rsidR="009427CA">
        <w:rPr>
          <w:rFonts w:hint="cs"/>
          <w:rtl/>
        </w:rPr>
        <w:t xml:space="preserve"> تمام نیست زیرا:</w:t>
      </w:r>
    </w:p>
    <w:p w14:paraId="53F91321" w14:textId="77777777" w:rsidR="00D523E5" w:rsidRPr="003563E3" w:rsidRDefault="009427CA" w:rsidP="00B446C7">
      <w:pPr>
        <w:jc w:val="both"/>
        <w:rPr>
          <w:rtl/>
        </w:rPr>
      </w:pPr>
      <w:r>
        <w:rPr>
          <w:rFonts w:hint="cs"/>
          <w:rtl/>
        </w:rPr>
        <w:t>اولا: این کلام</w:t>
      </w:r>
      <w:r w:rsidR="00D523E5">
        <w:rPr>
          <w:rFonts w:hint="cs"/>
          <w:rtl/>
        </w:rPr>
        <w:t xml:space="preserve"> مبتنی بر این </w:t>
      </w:r>
      <w:r>
        <w:rPr>
          <w:rFonts w:hint="cs"/>
          <w:rtl/>
        </w:rPr>
        <w:t xml:space="preserve">مبنا </w:t>
      </w:r>
      <w:r w:rsidR="00D523E5">
        <w:rPr>
          <w:rFonts w:hint="cs"/>
          <w:rtl/>
        </w:rPr>
        <w:t>است که خطاب واحد نمی‌تواند متکفل دو حکم طولی شود</w:t>
      </w:r>
      <w:r>
        <w:rPr>
          <w:rFonts w:hint="cs"/>
          <w:rtl/>
        </w:rPr>
        <w:t>.</w:t>
      </w:r>
      <w:r w:rsidR="00D523E5">
        <w:rPr>
          <w:rFonts w:hint="cs"/>
          <w:rtl/>
        </w:rPr>
        <w:t xml:space="preserve"> ولی این مبنا </w:t>
      </w:r>
      <w:r>
        <w:rPr>
          <w:rFonts w:hint="cs"/>
          <w:rtl/>
        </w:rPr>
        <w:t xml:space="preserve">صحیح نیست و </w:t>
      </w:r>
      <w:r w:rsidR="00D523E5">
        <w:rPr>
          <w:rFonts w:hint="cs"/>
          <w:rtl/>
        </w:rPr>
        <w:t xml:space="preserve">برهان ندارد و بعید نیست که بعضی از آیات و روایات متکفل بیان دو حکم </w:t>
      </w:r>
      <w:r w:rsidR="002D5751">
        <w:rPr>
          <w:rFonts w:hint="cs"/>
          <w:rtl/>
        </w:rPr>
        <w:t xml:space="preserve">طولی </w:t>
      </w:r>
      <w:r w:rsidR="00D523E5">
        <w:rPr>
          <w:rFonts w:hint="cs"/>
          <w:rtl/>
        </w:rPr>
        <w:t xml:space="preserve">باشند مثل </w:t>
      </w:r>
      <w:r>
        <w:rPr>
          <w:rFonts w:hint="cs"/>
          <w:rtl/>
        </w:rPr>
        <w:t xml:space="preserve">آیه </w:t>
      </w:r>
      <w:r w:rsidR="00D523E5" w:rsidRPr="009427CA">
        <w:rPr>
          <w:rFonts w:hint="cs"/>
          <w:rtl/>
        </w:rPr>
        <w:t>«</w:t>
      </w:r>
      <w:r w:rsidRPr="009427CA">
        <w:rPr>
          <w:rFonts w:hint="cs"/>
          <w:rtl/>
        </w:rPr>
        <w:t>كُلُوا وَ اشْرَبُوا حَتَّى يَتَبَيَّنَ لَكُمُ الْخَيْطُ الْأَبْيَضُ‏ مِنَ الْخَيْطِ الْأَسْوَدِ مِنَ الْفَجْر</w:t>
      </w:r>
      <w:r w:rsidR="00D523E5">
        <w:rPr>
          <w:rFonts w:hint="cs"/>
          <w:rtl/>
        </w:rPr>
        <w:t>»</w:t>
      </w:r>
      <w:r>
        <w:rPr>
          <w:rStyle w:val="FootnoteReference"/>
          <w:rtl/>
        </w:rPr>
        <w:footnoteReference w:id="9"/>
      </w:r>
      <w:r w:rsidR="00D523E5">
        <w:rPr>
          <w:rFonts w:hint="cs"/>
          <w:rtl/>
        </w:rPr>
        <w:t xml:space="preserve"> که عرف از آن دو حکم</w:t>
      </w:r>
      <w:r w:rsidR="00CC071B">
        <w:rPr>
          <w:rFonts w:hint="cs"/>
          <w:rtl/>
        </w:rPr>
        <w:t xml:space="preserve"> در طول هم</w:t>
      </w:r>
      <w:r w:rsidR="00D523E5">
        <w:rPr>
          <w:rFonts w:hint="cs"/>
          <w:rtl/>
        </w:rPr>
        <w:t xml:space="preserve"> استفاده می‌کند: یکی وجوب امساک</w:t>
      </w:r>
      <w:r w:rsidR="00CC071B">
        <w:rPr>
          <w:rFonts w:hint="cs"/>
          <w:rtl/>
        </w:rPr>
        <w:t xml:space="preserve"> در </w:t>
      </w:r>
      <w:r w:rsidR="00B446C7">
        <w:rPr>
          <w:rFonts w:hint="cs"/>
          <w:rtl/>
        </w:rPr>
        <w:t>صوم واقعا</w:t>
      </w:r>
      <w:r w:rsidR="00CC071B">
        <w:rPr>
          <w:rFonts w:hint="cs"/>
          <w:rtl/>
        </w:rPr>
        <w:t xml:space="preserve"> از زمان طلوع فجر است </w:t>
      </w:r>
      <w:r w:rsidR="00D523E5">
        <w:rPr>
          <w:rFonts w:hint="cs"/>
          <w:rtl/>
        </w:rPr>
        <w:t>و لذا اگر</w:t>
      </w:r>
      <w:r w:rsidR="00CC071B">
        <w:rPr>
          <w:rFonts w:hint="cs"/>
          <w:rtl/>
        </w:rPr>
        <w:t xml:space="preserve"> کسی بعد از طلوع فجر سحری بخورد </w:t>
      </w:r>
      <w:r w:rsidR="00D523E5">
        <w:rPr>
          <w:rFonts w:hint="cs"/>
          <w:rtl/>
        </w:rPr>
        <w:t xml:space="preserve">و بعد متوجه شود </w:t>
      </w:r>
      <w:r w:rsidR="00CC071B">
        <w:rPr>
          <w:rFonts w:hint="cs"/>
          <w:rtl/>
        </w:rPr>
        <w:t xml:space="preserve">که بعد از طلوع فجر سحری خورد، </w:t>
      </w:r>
      <w:r w:rsidR="00D523E5">
        <w:rPr>
          <w:rFonts w:hint="cs"/>
          <w:rtl/>
        </w:rPr>
        <w:t>روزه او باطل است</w:t>
      </w:r>
      <w:r w:rsidR="00CC071B">
        <w:rPr>
          <w:rFonts w:hint="cs"/>
          <w:rtl/>
        </w:rPr>
        <w:t>.</w:t>
      </w:r>
      <w:r w:rsidR="00D523E5">
        <w:rPr>
          <w:rFonts w:hint="cs"/>
          <w:rtl/>
        </w:rPr>
        <w:t xml:space="preserve"> و دیگری </w:t>
      </w:r>
      <w:r w:rsidR="00CC071B">
        <w:rPr>
          <w:rFonts w:hint="cs"/>
          <w:rtl/>
        </w:rPr>
        <w:t>حکم ظاهری جواز اکل تا زمان علم به طلوع فجر، یعنی اگر سحری بخورد و بعد علم پیدا کند به این که بعد از طلوع فجر سحری خورد معذور است و عقاب ندارد و اگر کشف خلاف نشود روزه او نیز ظاهرا</w:t>
      </w:r>
      <w:r w:rsidR="00D523E5">
        <w:rPr>
          <w:rFonts w:hint="cs"/>
          <w:rtl/>
        </w:rPr>
        <w:t xml:space="preserve"> صحیح است. </w:t>
      </w:r>
    </w:p>
    <w:sectPr w:rsidR="00D523E5" w:rsidRPr="003563E3" w:rsidSect="00F7601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245E" w14:textId="77777777" w:rsidR="00256143" w:rsidRDefault="00256143" w:rsidP="00C6079B">
      <w:pPr>
        <w:spacing w:after="0"/>
      </w:pPr>
      <w:r>
        <w:separator/>
      </w:r>
    </w:p>
  </w:endnote>
  <w:endnote w:type="continuationSeparator" w:id="0">
    <w:p w14:paraId="3E864FF0" w14:textId="77777777" w:rsidR="00256143" w:rsidRDefault="00256143" w:rsidP="00C607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0F29" w14:textId="77777777" w:rsidR="00D523E5" w:rsidRDefault="00D52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65622"/>
      <w:docPartObj>
        <w:docPartGallery w:val="Page Numbers (Bottom of Page)"/>
        <w:docPartUnique/>
      </w:docPartObj>
    </w:sdtPr>
    <w:sdtEndPr>
      <w:rPr>
        <w:noProof/>
      </w:rPr>
    </w:sdtEndPr>
    <w:sdtContent>
      <w:p w14:paraId="0EFAD31A" w14:textId="77777777" w:rsidR="00F7601D" w:rsidRDefault="005755FE">
        <w:pPr>
          <w:pStyle w:val="Footer"/>
          <w:jc w:val="center"/>
        </w:pPr>
        <w:r>
          <w:fldChar w:fldCharType="begin"/>
        </w:r>
        <w:r>
          <w:instrText xml:space="preserve"> PAGE   \* MERGEFORMAT </w:instrText>
        </w:r>
        <w:r>
          <w:fldChar w:fldCharType="separate"/>
        </w:r>
        <w:r w:rsidR="003B7113">
          <w:rPr>
            <w:noProof/>
          </w:rPr>
          <w:t>1</w:t>
        </w:r>
        <w:r>
          <w:rPr>
            <w:noProof/>
          </w:rPr>
          <w:fldChar w:fldCharType="end"/>
        </w:r>
      </w:p>
    </w:sdtContent>
  </w:sdt>
  <w:p w14:paraId="47815640" w14:textId="77777777" w:rsidR="00F7601D" w:rsidRDefault="00763795">
    <w:pPr>
      <w:pStyle w:val="Footer"/>
    </w:pPr>
  </w:p>
  <w:p w14:paraId="47D6ABDE" w14:textId="77777777" w:rsidR="00F7601D" w:rsidRDefault="007637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549C" w14:textId="77777777" w:rsidR="00D523E5" w:rsidRDefault="00D52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BB13" w14:textId="77777777" w:rsidR="00256143" w:rsidRDefault="00256143" w:rsidP="00C6079B">
      <w:pPr>
        <w:spacing w:after="0"/>
      </w:pPr>
      <w:r>
        <w:separator/>
      </w:r>
    </w:p>
  </w:footnote>
  <w:footnote w:type="continuationSeparator" w:id="0">
    <w:p w14:paraId="376BF94D" w14:textId="77777777" w:rsidR="00256143" w:rsidRDefault="00256143" w:rsidP="00C6079B">
      <w:pPr>
        <w:spacing w:after="0"/>
      </w:pPr>
      <w:r>
        <w:continuationSeparator/>
      </w:r>
    </w:p>
  </w:footnote>
  <w:footnote w:id="1">
    <w:p w14:paraId="1D72979A" w14:textId="77777777" w:rsidR="00115E79" w:rsidRDefault="00115E79">
      <w:pPr>
        <w:pStyle w:val="FootnoteText"/>
        <w:rPr>
          <w:lang w:bidi="fa-IR"/>
        </w:rPr>
      </w:pPr>
      <w:r>
        <w:rPr>
          <w:rStyle w:val="FootnoteReference"/>
        </w:rPr>
        <w:footnoteRef/>
      </w:r>
      <w:r>
        <w:rPr>
          <w:rtl/>
        </w:rPr>
        <w:t xml:space="preserve"> </w:t>
      </w:r>
      <w:r>
        <w:rPr>
          <w:rFonts w:hint="cs"/>
          <w:rtl/>
          <w:lang w:bidi="fa-IR"/>
        </w:rPr>
        <w:t>الکافی (طبع اسلامی)، کلینی، محمد بن یعقوب، ج1، ص</w:t>
      </w:r>
      <w:r w:rsidR="00A26F1A">
        <w:rPr>
          <w:rFonts w:hint="cs"/>
          <w:rtl/>
          <w:lang w:bidi="fa-IR"/>
        </w:rPr>
        <w:t>238، ح1.</w:t>
      </w:r>
    </w:p>
  </w:footnote>
  <w:footnote w:id="2">
    <w:p w14:paraId="502EB095" w14:textId="77777777" w:rsidR="00AA7102" w:rsidRDefault="00AA7102">
      <w:pPr>
        <w:pStyle w:val="FootnoteText"/>
        <w:rPr>
          <w:lang w:bidi="fa-IR"/>
        </w:rPr>
      </w:pPr>
      <w:r>
        <w:rPr>
          <w:rStyle w:val="FootnoteReference"/>
        </w:rPr>
        <w:footnoteRef/>
      </w:r>
      <w:r>
        <w:rPr>
          <w:rtl/>
        </w:rPr>
        <w:t xml:space="preserve"> </w:t>
      </w:r>
      <w:r>
        <w:rPr>
          <w:rFonts w:hint="cs"/>
          <w:rtl/>
          <w:lang w:bidi="fa-IR"/>
        </w:rPr>
        <w:t>همان، ص57، ح13.</w:t>
      </w:r>
    </w:p>
  </w:footnote>
  <w:footnote w:id="3">
    <w:p w14:paraId="2A392277" w14:textId="77777777" w:rsidR="00AA7102" w:rsidRDefault="00AA7102">
      <w:pPr>
        <w:pStyle w:val="FootnoteText"/>
        <w:rPr>
          <w:lang w:bidi="fa-IR"/>
        </w:rPr>
      </w:pPr>
      <w:r>
        <w:rPr>
          <w:rStyle w:val="FootnoteReference"/>
        </w:rPr>
        <w:footnoteRef/>
      </w:r>
      <w:r>
        <w:rPr>
          <w:rtl/>
        </w:rPr>
        <w:t xml:space="preserve"> </w:t>
      </w:r>
      <w:r>
        <w:rPr>
          <w:rFonts w:hint="cs"/>
          <w:rtl/>
          <w:lang w:bidi="fa-IR"/>
        </w:rPr>
        <w:t>همان، ص62، ح10.</w:t>
      </w:r>
    </w:p>
  </w:footnote>
  <w:footnote w:id="4">
    <w:p w14:paraId="6CEBFD01" w14:textId="77777777" w:rsidR="00AA7102" w:rsidRDefault="00AA7102">
      <w:pPr>
        <w:pStyle w:val="FootnoteText"/>
        <w:rPr>
          <w:lang w:bidi="fa-IR"/>
        </w:rPr>
      </w:pPr>
      <w:r>
        <w:rPr>
          <w:rStyle w:val="FootnoteReference"/>
        </w:rPr>
        <w:footnoteRef/>
      </w:r>
      <w:r>
        <w:rPr>
          <w:rtl/>
        </w:rPr>
        <w:t xml:space="preserve"> </w:t>
      </w:r>
      <w:r>
        <w:rPr>
          <w:rFonts w:hint="cs"/>
          <w:rtl/>
          <w:lang w:bidi="fa-IR"/>
        </w:rPr>
        <w:t>همان، ص59، ح4.</w:t>
      </w:r>
    </w:p>
  </w:footnote>
  <w:footnote w:id="5">
    <w:p w14:paraId="3455FE09" w14:textId="77777777" w:rsidR="005B06F7" w:rsidRDefault="005B06F7">
      <w:pPr>
        <w:pStyle w:val="FootnoteText"/>
        <w:rPr>
          <w:lang w:bidi="fa-IR"/>
        </w:rPr>
      </w:pPr>
      <w:r>
        <w:rPr>
          <w:rStyle w:val="FootnoteReference"/>
        </w:rPr>
        <w:footnoteRef/>
      </w:r>
      <w:r>
        <w:rPr>
          <w:rtl/>
        </w:rPr>
        <w:t xml:space="preserve"> </w:t>
      </w:r>
      <w:r>
        <w:rPr>
          <w:rFonts w:hint="cs"/>
          <w:rtl/>
        </w:rPr>
        <w:t>بصائر الدرجات، صفار، محمد بن حسن، ج1، ص299، ح3.</w:t>
      </w:r>
    </w:p>
  </w:footnote>
  <w:footnote w:id="6">
    <w:p w14:paraId="61FF5DAF" w14:textId="77777777" w:rsidR="00096214" w:rsidRDefault="00096214">
      <w:pPr>
        <w:pStyle w:val="FootnoteText"/>
        <w:rPr>
          <w:lang w:bidi="fa-IR"/>
        </w:rPr>
      </w:pPr>
      <w:r>
        <w:rPr>
          <w:rStyle w:val="FootnoteReference"/>
        </w:rPr>
        <w:footnoteRef/>
      </w:r>
      <w:r>
        <w:rPr>
          <w:rtl/>
        </w:rPr>
        <w:t xml:space="preserve"> </w:t>
      </w:r>
      <w:r>
        <w:rPr>
          <w:rFonts w:hint="cs"/>
          <w:rtl/>
          <w:lang w:bidi="fa-IR"/>
        </w:rPr>
        <w:t>الکافی (طبع اسلامی)، کلینی، محمد بن یعقوب، ج1، ص67، ح10.</w:t>
      </w:r>
    </w:p>
  </w:footnote>
  <w:footnote w:id="7">
    <w:p w14:paraId="1CB9E82E" w14:textId="77777777" w:rsidR="009571BF" w:rsidRDefault="009571BF">
      <w:pPr>
        <w:pStyle w:val="FootnoteText"/>
        <w:rPr>
          <w:lang w:bidi="fa-IR"/>
        </w:rPr>
      </w:pPr>
      <w:r>
        <w:rPr>
          <w:rStyle w:val="FootnoteReference"/>
        </w:rPr>
        <w:footnoteRef/>
      </w:r>
      <w:r>
        <w:rPr>
          <w:rtl/>
        </w:rPr>
        <w:t xml:space="preserve"> </w:t>
      </w:r>
      <w:r>
        <w:rPr>
          <w:rFonts w:hint="cs"/>
          <w:rtl/>
        </w:rPr>
        <w:t>من لایحضره الفقیه، ابن بابویه، محمد بن علی، ج4، ص8.</w:t>
      </w:r>
    </w:p>
  </w:footnote>
  <w:footnote w:id="8">
    <w:p w14:paraId="230CEBE1" w14:textId="77777777" w:rsidR="009427CA" w:rsidRDefault="009427CA">
      <w:pPr>
        <w:pStyle w:val="FootnoteText"/>
        <w:rPr>
          <w:lang w:bidi="fa-IR"/>
        </w:rPr>
      </w:pPr>
      <w:r>
        <w:rPr>
          <w:rStyle w:val="FootnoteReference"/>
        </w:rPr>
        <w:footnoteRef/>
      </w:r>
      <w:r>
        <w:rPr>
          <w:rtl/>
        </w:rPr>
        <w:t xml:space="preserve"> </w:t>
      </w:r>
      <w:r>
        <w:rPr>
          <w:rFonts w:hint="cs"/>
          <w:rtl/>
          <w:lang w:bidi="fa-IR"/>
        </w:rPr>
        <w:t>فوائد الاصول، نایینی، محمد حسین، ج3، ص46؛ اجود التقریرات، نایینی، محمد حسین، ج2، ص26.</w:t>
      </w:r>
    </w:p>
  </w:footnote>
  <w:footnote w:id="9">
    <w:p w14:paraId="41C1CEEF" w14:textId="77777777" w:rsidR="009427CA" w:rsidRDefault="009427CA">
      <w:pPr>
        <w:pStyle w:val="FootnoteText"/>
        <w:rPr>
          <w:lang w:bidi="fa-IR"/>
        </w:rPr>
      </w:pPr>
      <w:r>
        <w:rPr>
          <w:rStyle w:val="FootnoteReference"/>
        </w:rPr>
        <w:footnoteRef/>
      </w:r>
      <w:r>
        <w:rPr>
          <w:rtl/>
        </w:rPr>
        <w:t xml:space="preserve"> </w:t>
      </w:r>
      <w:r>
        <w:rPr>
          <w:rFonts w:hint="cs"/>
          <w:rtl/>
        </w:rPr>
        <w:t>البقرة:187.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D983" w14:textId="77777777" w:rsidR="00D523E5" w:rsidRDefault="00D52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1E78" w14:textId="77777777" w:rsidR="00F7601D" w:rsidRDefault="005755FE" w:rsidP="00F7601D">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p>
  <w:p w14:paraId="6C0498E3" w14:textId="77777777" w:rsidR="00F7601D" w:rsidRPr="00C40253" w:rsidRDefault="005755FE" w:rsidP="00D523E5">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Pr>
        <w:rFonts w:ascii="NoorLotus" w:hAnsi="NoorLotus" w:hint="cs"/>
        <w:sz w:val="18"/>
        <w:szCs w:val="18"/>
        <w:rtl/>
        <w:lang w:bidi="fa-IR"/>
      </w:rPr>
      <w:t>12</w:t>
    </w:r>
    <w:r w:rsidR="00D523E5">
      <w:rPr>
        <w:rFonts w:ascii="NoorLotus" w:hAnsi="NoorLotus" w:hint="cs"/>
        <w:sz w:val="18"/>
        <w:szCs w:val="18"/>
        <w:rtl/>
        <w:lang w:bidi="fa-IR"/>
      </w:rPr>
      <w:t>7</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w:t>
    </w:r>
    <w:r w:rsidR="00D523E5">
      <w:rPr>
        <w:rFonts w:ascii="NoorLotus" w:hAnsi="NoorLotus" w:hint="cs"/>
        <w:sz w:val="18"/>
        <w:szCs w:val="18"/>
        <w:rtl/>
      </w:rPr>
      <w:t>25</w:t>
    </w:r>
    <w:r>
      <w:rPr>
        <w:rFonts w:ascii="NoorLotus" w:hAnsi="NoorLotus" w:hint="cs"/>
        <w:sz w:val="18"/>
        <w:szCs w:val="18"/>
        <w:rtl/>
      </w:rPr>
      <w:t>/2</w:t>
    </w:r>
    <w:r>
      <w:rPr>
        <w:rFonts w:ascii="NoorLotus" w:hAnsi="NoorLotus"/>
        <w:sz w:val="18"/>
        <w:szCs w:val="18"/>
        <w:rtl/>
      </w:rPr>
      <w:t>/</w:t>
    </w:r>
    <w:r>
      <w:rPr>
        <w:rFonts w:ascii="NoorLotus" w:hAnsi="NoorLotus" w:hint="cs"/>
        <w:sz w:val="18"/>
        <w:szCs w:val="18"/>
        <w:rtl/>
      </w:rPr>
      <w:t>1402</w:t>
    </w:r>
    <w:r>
      <w:rPr>
        <w:rFonts w:ascii="NoorLotus" w:hAnsi="NoorLotus"/>
        <w:sz w:val="18"/>
        <w:szCs w:val="18"/>
        <w:rtl/>
      </w:rPr>
      <w:t>)</w:t>
    </w:r>
  </w:p>
  <w:p w14:paraId="076A3E9E" w14:textId="77777777" w:rsidR="00F7601D" w:rsidRPr="00DA16A6" w:rsidRDefault="00763795" w:rsidP="00F76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37A2" w14:textId="77777777" w:rsidR="00D523E5" w:rsidRDefault="00D523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79B"/>
    <w:rsid w:val="0002692C"/>
    <w:rsid w:val="00072EE2"/>
    <w:rsid w:val="00096214"/>
    <w:rsid w:val="000D7771"/>
    <w:rsid w:val="00115E79"/>
    <w:rsid w:val="001B03B2"/>
    <w:rsid w:val="00256143"/>
    <w:rsid w:val="002A38E8"/>
    <w:rsid w:val="002B4F48"/>
    <w:rsid w:val="002D5751"/>
    <w:rsid w:val="002E56B7"/>
    <w:rsid w:val="003563E3"/>
    <w:rsid w:val="00362829"/>
    <w:rsid w:val="003B1781"/>
    <w:rsid w:val="003B7113"/>
    <w:rsid w:val="00485252"/>
    <w:rsid w:val="004A6827"/>
    <w:rsid w:val="004D31BD"/>
    <w:rsid w:val="005755FE"/>
    <w:rsid w:val="005B06F7"/>
    <w:rsid w:val="0063455D"/>
    <w:rsid w:val="00763795"/>
    <w:rsid w:val="007803C7"/>
    <w:rsid w:val="008C4B96"/>
    <w:rsid w:val="009427CA"/>
    <w:rsid w:val="009571BF"/>
    <w:rsid w:val="00A26F1A"/>
    <w:rsid w:val="00A54409"/>
    <w:rsid w:val="00AA7102"/>
    <w:rsid w:val="00B446C7"/>
    <w:rsid w:val="00B64A3F"/>
    <w:rsid w:val="00C152A1"/>
    <w:rsid w:val="00C26F89"/>
    <w:rsid w:val="00C6079B"/>
    <w:rsid w:val="00CC071B"/>
    <w:rsid w:val="00D523E5"/>
    <w:rsid w:val="00DA5530"/>
    <w:rsid w:val="00E369F6"/>
    <w:rsid w:val="00E507D7"/>
    <w:rsid w:val="00E63864"/>
    <w:rsid w:val="00F50313"/>
    <w:rsid w:val="00F80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E374"/>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79B"/>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C6079B"/>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4D31BD"/>
    <w:pPr>
      <w:keepNext/>
      <w:keepLines/>
      <w:spacing w:before="200" w:after="0"/>
      <w:outlineLvl w:val="1"/>
    </w:pPr>
    <w:rPr>
      <w:rFonts w:asciiTheme="majorHAnsi" w:eastAsiaTheme="majorEastAsia" w:hAnsiTheme="majorHAnsi"/>
      <w:b/>
      <w:bCs/>
      <w:color w:val="00B0F0"/>
      <w:sz w:val="26"/>
    </w:rPr>
  </w:style>
  <w:style w:type="paragraph" w:styleId="Heading3">
    <w:name w:val="heading 3"/>
    <w:basedOn w:val="Normal"/>
    <w:next w:val="Normal"/>
    <w:link w:val="Heading3Char"/>
    <w:uiPriority w:val="9"/>
    <w:unhideWhenUsed/>
    <w:qFormat/>
    <w:rsid w:val="004D31BD"/>
    <w:pPr>
      <w:keepNext/>
      <w:keepLines/>
      <w:spacing w:before="200" w:after="0"/>
      <w:outlineLvl w:val="2"/>
    </w:pPr>
    <w:rPr>
      <w:rFonts w:asciiTheme="majorHAnsi" w:eastAsiaTheme="majorEastAsia" w:hAnsiTheme="majorHAns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79B"/>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4D31BD"/>
    <w:rPr>
      <w:rFonts w:asciiTheme="majorHAnsi" w:eastAsiaTheme="majorEastAsia" w:hAnsiTheme="majorHAnsi" w:cs="NoorLotus"/>
      <w:b/>
      <w:bCs/>
      <w:color w:val="00B0F0"/>
      <w:sz w:val="26"/>
      <w:szCs w:val="28"/>
      <w:lang w:bidi="fa-IR"/>
    </w:rPr>
  </w:style>
  <w:style w:type="character" w:customStyle="1" w:styleId="Heading3Char">
    <w:name w:val="Heading 3 Char"/>
    <w:basedOn w:val="DefaultParagraphFont"/>
    <w:link w:val="Heading3"/>
    <w:uiPriority w:val="9"/>
    <w:rsid w:val="004D31BD"/>
    <w:rPr>
      <w:rFonts w:asciiTheme="majorHAnsi" w:eastAsiaTheme="majorEastAsia" w:hAnsiTheme="majorHAnsi" w:cs="NoorLotus"/>
      <w:b/>
      <w:bCs/>
      <w:color w:val="00B0F0"/>
      <w:szCs w:val="28"/>
      <w:lang w:bidi="fa-IR"/>
    </w:rPr>
  </w:style>
  <w:style w:type="paragraph" w:styleId="FootnoteText">
    <w:name w:val="footnote text"/>
    <w:basedOn w:val="Normal"/>
    <w:link w:val="FootnoteTextChar"/>
    <w:autoRedefine/>
    <w:uiPriority w:val="99"/>
    <w:rsid w:val="00C6079B"/>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uiPriority w:val="99"/>
    <w:rsid w:val="00C6079B"/>
    <w:rPr>
      <w:rFonts w:ascii="NoorLotus" w:eastAsia="Times New Roman" w:hAnsi="NoorLotus" w:cs="NoorLotus"/>
      <w:noProof/>
      <w:sz w:val="20"/>
      <w:szCs w:val="20"/>
    </w:rPr>
  </w:style>
  <w:style w:type="character" w:styleId="FootnoteReference">
    <w:name w:val="footnote reference"/>
    <w:uiPriority w:val="99"/>
    <w:rsid w:val="00C6079B"/>
    <w:rPr>
      <w:vertAlign w:val="superscript"/>
    </w:rPr>
  </w:style>
  <w:style w:type="paragraph" w:styleId="TOCHeading">
    <w:name w:val="TOC Heading"/>
    <w:basedOn w:val="Heading1"/>
    <w:next w:val="Normal"/>
    <w:uiPriority w:val="39"/>
    <w:unhideWhenUsed/>
    <w:qFormat/>
    <w:rsid w:val="00C6079B"/>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C6079B"/>
    <w:pPr>
      <w:spacing w:after="100"/>
    </w:pPr>
  </w:style>
  <w:style w:type="paragraph" w:styleId="TOC3">
    <w:name w:val="toc 3"/>
    <w:basedOn w:val="Normal"/>
    <w:next w:val="Normal"/>
    <w:autoRedefine/>
    <w:uiPriority w:val="39"/>
    <w:unhideWhenUsed/>
    <w:rsid w:val="00C6079B"/>
    <w:pPr>
      <w:spacing w:after="100"/>
      <w:ind w:left="440"/>
    </w:pPr>
  </w:style>
  <w:style w:type="character" w:styleId="Hyperlink">
    <w:name w:val="Hyperlink"/>
    <w:basedOn w:val="DefaultParagraphFont"/>
    <w:uiPriority w:val="99"/>
    <w:unhideWhenUsed/>
    <w:rsid w:val="00C6079B"/>
    <w:rPr>
      <w:color w:val="0000FF" w:themeColor="hyperlink"/>
      <w:u w:val="single"/>
    </w:rPr>
  </w:style>
  <w:style w:type="paragraph" w:styleId="TOC2">
    <w:name w:val="toc 2"/>
    <w:basedOn w:val="Normal"/>
    <w:next w:val="Normal"/>
    <w:autoRedefine/>
    <w:uiPriority w:val="39"/>
    <w:unhideWhenUsed/>
    <w:rsid w:val="00C6079B"/>
    <w:pPr>
      <w:spacing w:after="100"/>
      <w:ind w:left="220"/>
    </w:pPr>
  </w:style>
  <w:style w:type="paragraph" w:styleId="Header">
    <w:name w:val="header"/>
    <w:basedOn w:val="Normal"/>
    <w:link w:val="HeaderChar"/>
    <w:uiPriority w:val="99"/>
    <w:unhideWhenUsed/>
    <w:rsid w:val="00C6079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C6079B"/>
  </w:style>
  <w:style w:type="paragraph" w:styleId="Footer">
    <w:name w:val="footer"/>
    <w:basedOn w:val="Normal"/>
    <w:link w:val="FooterChar"/>
    <w:uiPriority w:val="99"/>
    <w:unhideWhenUsed/>
    <w:rsid w:val="00C6079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C6079B"/>
  </w:style>
  <w:style w:type="paragraph" w:styleId="BalloonText">
    <w:name w:val="Balloon Text"/>
    <w:basedOn w:val="Normal"/>
    <w:link w:val="BalloonTextChar"/>
    <w:uiPriority w:val="99"/>
    <w:semiHidden/>
    <w:unhideWhenUsed/>
    <w:rsid w:val="00C607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9B"/>
    <w:rPr>
      <w:rFonts w:ascii="Tahoma" w:eastAsia="Calibri" w:hAnsi="Tahoma" w:cs="Tahoma"/>
      <w:sz w:val="16"/>
      <w:szCs w:val="16"/>
      <w:lang w:bidi="fa-IR"/>
    </w:rPr>
  </w:style>
  <w:style w:type="character" w:styleId="CommentReference">
    <w:name w:val="annotation reference"/>
    <w:basedOn w:val="DefaultParagraphFont"/>
    <w:uiPriority w:val="99"/>
    <w:semiHidden/>
    <w:unhideWhenUsed/>
    <w:rsid w:val="008C4B96"/>
    <w:rPr>
      <w:sz w:val="16"/>
      <w:szCs w:val="16"/>
    </w:rPr>
  </w:style>
  <w:style w:type="paragraph" w:styleId="CommentText">
    <w:name w:val="annotation text"/>
    <w:basedOn w:val="Normal"/>
    <w:link w:val="CommentTextChar"/>
    <w:uiPriority w:val="99"/>
    <w:semiHidden/>
    <w:unhideWhenUsed/>
    <w:rsid w:val="008C4B96"/>
    <w:rPr>
      <w:sz w:val="20"/>
      <w:szCs w:val="20"/>
    </w:rPr>
  </w:style>
  <w:style w:type="character" w:customStyle="1" w:styleId="CommentTextChar">
    <w:name w:val="Comment Text Char"/>
    <w:basedOn w:val="DefaultParagraphFont"/>
    <w:link w:val="CommentText"/>
    <w:uiPriority w:val="99"/>
    <w:semiHidden/>
    <w:rsid w:val="008C4B96"/>
    <w:rPr>
      <w:rFonts w:ascii="Calibri" w:eastAsia="Calibri" w:hAnsi="Calibri" w:cs="NoorLotus"/>
      <w:sz w:val="20"/>
      <w:szCs w:val="20"/>
      <w:lang w:bidi="fa-IR"/>
    </w:rPr>
  </w:style>
  <w:style w:type="paragraph" w:styleId="CommentSubject">
    <w:name w:val="annotation subject"/>
    <w:basedOn w:val="CommentText"/>
    <w:next w:val="CommentText"/>
    <w:link w:val="CommentSubjectChar"/>
    <w:uiPriority w:val="99"/>
    <w:semiHidden/>
    <w:unhideWhenUsed/>
    <w:rsid w:val="008C4B96"/>
    <w:rPr>
      <w:b/>
      <w:bCs/>
    </w:rPr>
  </w:style>
  <w:style w:type="character" w:customStyle="1" w:styleId="CommentSubjectChar">
    <w:name w:val="Comment Subject Char"/>
    <w:basedOn w:val="CommentTextChar"/>
    <w:link w:val="CommentSubject"/>
    <w:uiPriority w:val="99"/>
    <w:semiHidden/>
    <w:rsid w:val="008C4B96"/>
    <w:rPr>
      <w:rFonts w:ascii="Calibri" w:eastAsia="Calibri" w:hAnsi="Calibri" w:cs="NoorLotus"/>
      <w:b/>
      <w:bCs/>
      <w:sz w:val="20"/>
      <w:szCs w:val="20"/>
      <w:lang w:bidi="fa-IR"/>
    </w:rPr>
  </w:style>
  <w:style w:type="paragraph" w:styleId="NormalWeb">
    <w:name w:val="Normal (Web)"/>
    <w:basedOn w:val="Normal"/>
    <w:uiPriority w:val="99"/>
    <w:unhideWhenUsed/>
    <w:rsid w:val="00115E79"/>
    <w:pPr>
      <w:bidi w:val="0"/>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7982">
      <w:bodyDiv w:val="1"/>
      <w:marLeft w:val="0"/>
      <w:marRight w:val="0"/>
      <w:marTop w:val="0"/>
      <w:marBottom w:val="0"/>
      <w:divBdr>
        <w:top w:val="none" w:sz="0" w:space="0" w:color="auto"/>
        <w:left w:val="none" w:sz="0" w:space="0" w:color="auto"/>
        <w:bottom w:val="none" w:sz="0" w:space="0" w:color="auto"/>
        <w:right w:val="none" w:sz="0" w:space="0" w:color="auto"/>
      </w:divBdr>
    </w:div>
    <w:div w:id="439227937">
      <w:bodyDiv w:val="1"/>
      <w:marLeft w:val="0"/>
      <w:marRight w:val="0"/>
      <w:marTop w:val="0"/>
      <w:marBottom w:val="0"/>
      <w:divBdr>
        <w:top w:val="none" w:sz="0" w:space="0" w:color="auto"/>
        <w:left w:val="none" w:sz="0" w:space="0" w:color="auto"/>
        <w:bottom w:val="none" w:sz="0" w:space="0" w:color="auto"/>
        <w:right w:val="none" w:sz="0" w:space="0" w:color="auto"/>
      </w:divBdr>
    </w:div>
    <w:div w:id="1261403051">
      <w:bodyDiv w:val="1"/>
      <w:marLeft w:val="0"/>
      <w:marRight w:val="0"/>
      <w:marTop w:val="0"/>
      <w:marBottom w:val="0"/>
      <w:divBdr>
        <w:top w:val="none" w:sz="0" w:space="0" w:color="auto"/>
        <w:left w:val="none" w:sz="0" w:space="0" w:color="auto"/>
        <w:bottom w:val="none" w:sz="0" w:space="0" w:color="auto"/>
        <w:right w:val="none" w:sz="0" w:space="0" w:color="auto"/>
      </w:divBdr>
    </w:div>
    <w:div w:id="1517502418">
      <w:bodyDiv w:val="1"/>
      <w:marLeft w:val="0"/>
      <w:marRight w:val="0"/>
      <w:marTop w:val="0"/>
      <w:marBottom w:val="0"/>
      <w:divBdr>
        <w:top w:val="none" w:sz="0" w:space="0" w:color="auto"/>
        <w:left w:val="none" w:sz="0" w:space="0" w:color="auto"/>
        <w:bottom w:val="none" w:sz="0" w:space="0" w:color="auto"/>
        <w:right w:val="none" w:sz="0" w:space="0" w:color="auto"/>
      </w:divBdr>
    </w:div>
    <w:div w:id="1600286571">
      <w:bodyDiv w:val="1"/>
      <w:marLeft w:val="0"/>
      <w:marRight w:val="0"/>
      <w:marTop w:val="0"/>
      <w:marBottom w:val="0"/>
      <w:divBdr>
        <w:top w:val="none" w:sz="0" w:space="0" w:color="auto"/>
        <w:left w:val="none" w:sz="0" w:space="0" w:color="auto"/>
        <w:bottom w:val="none" w:sz="0" w:space="0" w:color="auto"/>
        <w:right w:val="none" w:sz="0" w:space="0" w:color="auto"/>
      </w:divBdr>
    </w:div>
    <w:div w:id="1856066966">
      <w:bodyDiv w:val="1"/>
      <w:marLeft w:val="0"/>
      <w:marRight w:val="0"/>
      <w:marTop w:val="0"/>
      <w:marBottom w:val="0"/>
      <w:divBdr>
        <w:top w:val="none" w:sz="0" w:space="0" w:color="auto"/>
        <w:left w:val="none" w:sz="0" w:space="0" w:color="auto"/>
        <w:bottom w:val="none" w:sz="0" w:space="0" w:color="auto"/>
        <w:right w:val="none" w:sz="0" w:space="0" w:color="auto"/>
      </w:divBdr>
    </w:div>
    <w:div w:id="20779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6DB6-9782-42B2-85DC-AD05ABAA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10</cp:revision>
  <cp:lastPrinted>2023-05-14T18:42:00Z</cp:lastPrinted>
  <dcterms:created xsi:type="dcterms:W3CDTF">2023-05-15T04:54:00Z</dcterms:created>
  <dcterms:modified xsi:type="dcterms:W3CDTF">2023-08-02T10:59:00Z</dcterms:modified>
</cp:coreProperties>
</file>