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CF80" w14:textId="4CAF4576" w:rsidR="00BA06AF" w:rsidRDefault="00BA06AF" w:rsidP="00E06FB0">
      <w:pPr>
        <w:pStyle w:val="TOCHeading"/>
        <w:jc w:val="both"/>
        <w:rPr>
          <w:rtl/>
        </w:rPr>
      </w:pPr>
    </w:p>
    <w:p w14:paraId="339322B0" w14:textId="77777777" w:rsidR="006C5B16" w:rsidRPr="006C5B16" w:rsidRDefault="006C5B16" w:rsidP="006C5B16">
      <w:pPr>
        <w:jc w:val="center"/>
        <w:rPr>
          <w:b/>
          <w:bCs/>
          <w:rtl/>
        </w:rPr>
      </w:pPr>
      <w:bookmarkStart w:id="0" w:name="_Toc136667233"/>
      <w:r w:rsidRPr="006C5B16">
        <w:rPr>
          <w:rFonts w:hint="cs"/>
          <w:b/>
          <w:bCs/>
          <w:rtl/>
        </w:rPr>
        <w:t>بسم الله الرحمن الرحیم</w:t>
      </w:r>
    </w:p>
    <w:p w14:paraId="2EA694D4" w14:textId="77777777" w:rsidR="000557F5" w:rsidRDefault="000557F5" w:rsidP="006C5B16">
      <w:pPr>
        <w:pStyle w:val="Heading1"/>
        <w:jc w:val="both"/>
        <w:rPr>
          <w:rtl/>
        </w:rPr>
      </w:pPr>
      <w:r>
        <w:rPr>
          <w:rFonts w:hint="cs"/>
          <w:rtl/>
        </w:rPr>
        <w:t>تتمه بحث اقسام قطع</w:t>
      </w:r>
      <w:bookmarkEnd w:id="0"/>
    </w:p>
    <w:p w14:paraId="47A84927" w14:textId="77777777" w:rsidR="00B25F97" w:rsidRPr="00B25F97" w:rsidRDefault="00B25F97" w:rsidP="006C5B16">
      <w:pPr>
        <w:pStyle w:val="Heading2"/>
        <w:jc w:val="both"/>
        <w:rPr>
          <w:rtl/>
        </w:rPr>
      </w:pPr>
      <w:bookmarkStart w:id="1" w:name="_Toc136667234"/>
      <w:r>
        <w:rPr>
          <w:rFonts w:hint="cs"/>
          <w:rtl/>
        </w:rPr>
        <w:t>تهافت در کلام مرحوم خویی رحمه الله</w:t>
      </w:r>
      <w:bookmarkEnd w:id="1"/>
    </w:p>
    <w:p w14:paraId="1E0B4997" w14:textId="77777777" w:rsidR="000557F5" w:rsidRDefault="000557F5" w:rsidP="006C5B16">
      <w:pPr>
        <w:jc w:val="both"/>
        <w:rPr>
          <w:rtl/>
        </w:rPr>
      </w:pPr>
      <w:r>
        <w:rPr>
          <w:rFonts w:hint="cs"/>
          <w:rtl/>
        </w:rPr>
        <w:t xml:space="preserve">بحث راجع به اقسام قطع بود. نظر نهایی ما این شد که قطع موضوعی دو قسم است </w:t>
      </w:r>
      <w:r w:rsidR="006C5B16">
        <w:rPr>
          <w:rFonts w:hint="cs"/>
          <w:rtl/>
        </w:rPr>
        <w:t>یا قطع،</w:t>
      </w:r>
      <w:r>
        <w:rPr>
          <w:rFonts w:hint="cs"/>
          <w:rtl/>
        </w:rPr>
        <w:t xml:space="preserve"> تمام الموضوع </w:t>
      </w:r>
      <w:r w:rsidR="006C5B16">
        <w:rPr>
          <w:rFonts w:hint="cs"/>
          <w:rtl/>
        </w:rPr>
        <w:t>است و یا</w:t>
      </w:r>
      <w:r>
        <w:rPr>
          <w:rFonts w:hint="cs"/>
          <w:rtl/>
        </w:rPr>
        <w:t xml:space="preserve"> جزء الموضوع</w:t>
      </w:r>
      <w:r w:rsidR="006C5B16">
        <w:rPr>
          <w:rFonts w:hint="cs"/>
          <w:rtl/>
        </w:rPr>
        <w:t>،</w:t>
      </w:r>
      <w:r>
        <w:rPr>
          <w:rFonts w:hint="cs"/>
          <w:rtl/>
        </w:rPr>
        <w:t xml:space="preserve"> ولی تقسیم آن به قطع موضوعی صفتی و قطع موضوعی طریقی غیر معقول است.</w:t>
      </w:r>
    </w:p>
    <w:p w14:paraId="3212F954" w14:textId="77777777" w:rsidR="000557F5" w:rsidRPr="000557F5" w:rsidRDefault="006C5B16" w:rsidP="006C5B16">
      <w:pPr>
        <w:jc w:val="both"/>
        <w:rPr>
          <w:rtl/>
        </w:rPr>
      </w:pPr>
      <w:r>
        <w:rPr>
          <w:rFonts w:hint="cs"/>
          <w:rtl/>
        </w:rPr>
        <w:t xml:space="preserve">مرحوم خویی رحمه الله </w:t>
      </w:r>
      <w:r w:rsidR="000557F5">
        <w:rPr>
          <w:rFonts w:hint="cs"/>
          <w:rtl/>
        </w:rPr>
        <w:t xml:space="preserve">کلماتی دارند که نتیجه‌ی آن‌ها نیز مختار ما است. زیرا ایشان نسبت به قطع موضوعی طریقی می‌فرمایند: قطع موضوعی طریقی فقط به نحو جزء الموضوع ممکن است و نمی‌تواند به نحو تمام الموضوع باشد زیرا اخذ قطع من حیث انه طریق در موضوع با الغاء کاشف بالعرض بودن آن </w:t>
      </w:r>
      <w:r w:rsidR="00F258E1">
        <w:rPr>
          <w:rFonts w:hint="cs"/>
          <w:rtl/>
        </w:rPr>
        <w:t>منافات دارد چون</w:t>
      </w:r>
      <w:r w:rsidR="000557F5">
        <w:rPr>
          <w:rFonts w:hint="cs"/>
          <w:rtl/>
        </w:rPr>
        <w:t xml:space="preserve"> طریق بودن یعنی کاشف بالعرض بودن</w:t>
      </w:r>
      <w:r w:rsidR="00F258E1">
        <w:rPr>
          <w:rFonts w:hint="cs"/>
          <w:rtl/>
        </w:rPr>
        <w:t xml:space="preserve"> و</w:t>
      </w:r>
      <w:r w:rsidR="000557F5">
        <w:rPr>
          <w:rFonts w:hint="cs"/>
          <w:rtl/>
        </w:rPr>
        <w:t xml:space="preserve"> کاشف بالعرض</w:t>
      </w:r>
      <w:r w:rsidR="00F258E1">
        <w:rPr>
          <w:rFonts w:hint="cs"/>
          <w:rtl/>
        </w:rPr>
        <w:t xml:space="preserve"> بودن یعنی مطابق با واقع بودن لذا نمی‌توان طریقی بودن آن را لحاظ کرد ولی واقع را لحاظ نکرد. </w:t>
      </w:r>
    </w:p>
    <w:p w14:paraId="1CF3CC55" w14:textId="77777777" w:rsidR="00551294" w:rsidRDefault="00F258E1" w:rsidP="00CF5CF3">
      <w:pPr>
        <w:jc w:val="both"/>
        <w:rPr>
          <w:rtl/>
        </w:rPr>
      </w:pPr>
      <w:r>
        <w:rPr>
          <w:rFonts w:hint="cs"/>
          <w:rtl/>
        </w:rPr>
        <w:t xml:space="preserve">البته </w:t>
      </w:r>
      <w:r w:rsidR="00551294">
        <w:rPr>
          <w:rFonts w:hint="cs"/>
          <w:rtl/>
        </w:rPr>
        <w:t>دیگران</w:t>
      </w:r>
      <w:r>
        <w:rPr>
          <w:rFonts w:hint="cs"/>
          <w:rtl/>
        </w:rPr>
        <w:t xml:space="preserve"> به این کلام ایشان</w:t>
      </w:r>
      <w:r w:rsidR="00551294">
        <w:rPr>
          <w:rFonts w:hint="cs"/>
          <w:rtl/>
        </w:rPr>
        <w:t xml:space="preserve"> اشکال کردند که مراد از قطع طریقی موضوعی قطعی</w:t>
      </w:r>
      <w:r>
        <w:rPr>
          <w:rFonts w:hint="cs"/>
          <w:rtl/>
        </w:rPr>
        <w:t xml:space="preserve"> است</w:t>
      </w:r>
      <w:r w:rsidR="00551294">
        <w:rPr>
          <w:rFonts w:hint="cs"/>
          <w:rtl/>
        </w:rPr>
        <w:t xml:space="preserve"> که </w:t>
      </w:r>
      <w:r w:rsidR="00CF5CF3">
        <w:rPr>
          <w:rFonts w:hint="cs"/>
          <w:rtl/>
        </w:rPr>
        <w:t xml:space="preserve">در آن </w:t>
      </w:r>
      <w:r w:rsidR="00551294">
        <w:rPr>
          <w:rFonts w:hint="cs"/>
          <w:rtl/>
        </w:rPr>
        <w:t xml:space="preserve">کاشف بالذات بودن </w:t>
      </w:r>
      <w:r w:rsidR="00CF5CF3">
        <w:rPr>
          <w:rFonts w:hint="cs"/>
          <w:rtl/>
        </w:rPr>
        <w:t>قطع یعنی کاشف بودنش به</w:t>
      </w:r>
      <w:r>
        <w:rPr>
          <w:rFonts w:hint="cs"/>
          <w:rtl/>
        </w:rPr>
        <w:t xml:space="preserve"> نظر قاطع</w:t>
      </w:r>
      <w:r w:rsidR="00CF5CF3">
        <w:rPr>
          <w:rFonts w:hint="cs"/>
          <w:rtl/>
        </w:rPr>
        <w:t>،</w:t>
      </w:r>
      <w:r w:rsidR="00551294">
        <w:rPr>
          <w:rFonts w:hint="cs"/>
          <w:rtl/>
        </w:rPr>
        <w:t xml:space="preserve"> لحاظ می‌شود. </w:t>
      </w:r>
    </w:p>
    <w:p w14:paraId="4FF290ED" w14:textId="77777777" w:rsidR="00F258E1" w:rsidRDefault="00F258E1" w:rsidP="001B1DF3">
      <w:pPr>
        <w:jc w:val="both"/>
        <w:rPr>
          <w:rtl/>
        </w:rPr>
      </w:pPr>
      <w:r>
        <w:rPr>
          <w:rFonts w:hint="cs"/>
          <w:rtl/>
        </w:rPr>
        <w:t>ایشان نسبت به</w:t>
      </w:r>
      <w:r w:rsidR="00551294">
        <w:rPr>
          <w:rFonts w:hint="cs"/>
          <w:rtl/>
        </w:rPr>
        <w:t xml:space="preserve"> قطع موضوعی صفتی نی</w:t>
      </w:r>
      <w:r>
        <w:rPr>
          <w:rFonts w:hint="cs"/>
          <w:rtl/>
        </w:rPr>
        <w:t>ز فرموده</w:t>
      </w:r>
      <w:r w:rsidR="001B1DF3">
        <w:rPr>
          <w:rFonts w:hint="cs"/>
          <w:rtl/>
        </w:rPr>
        <w:t xml:space="preserve">‌اند: لازمه‌ی این که قطع موضوعی، </w:t>
      </w:r>
      <w:r>
        <w:rPr>
          <w:rFonts w:hint="cs"/>
          <w:rtl/>
        </w:rPr>
        <w:t xml:space="preserve">صفت مقطوع به بالعرض باشد این است که قطع موضوعی طریقی باشد نه صفتی </w:t>
      </w:r>
      <w:r w:rsidR="00551294">
        <w:rPr>
          <w:rFonts w:hint="cs"/>
          <w:rtl/>
        </w:rPr>
        <w:t xml:space="preserve">پس </w:t>
      </w:r>
      <w:r>
        <w:rPr>
          <w:rFonts w:hint="cs"/>
          <w:rtl/>
        </w:rPr>
        <w:t xml:space="preserve">قطع موضوعی </w:t>
      </w:r>
      <w:r w:rsidR="00551294">
        <w:rPr>
          <w:rFonts w:hint="cs"/>
          <w:rtl/>
        </w:rPr>
        <w:t xml:space="preserve">صفتی آن است که کشف بالعرض بودن آن </w:t>
      </w:r>
      <w:r>
        <w:rPr>
          <w:rFonts w:hint="cs"/>
          <w:rtl/>
        </w:rPr>
        <w:t>لحاظ نشود یعنی تمام الموضوع باشد</w:t>
      </w:r>
      <w:r w:rsidR="008C7B80">
        <w:rPr>
          <w:rStyle w:val="FootnoteReference"/>
          <w:rtl/>
        </w:rPr>
        <w:footnoteReference w:id="1"/>
      </w:r>
      <w:r>
        <w:rPr>
          <w:rFonts w:hint="cs"/>
          <w:rtl/>
        </w:rPr>
        <w:t xml:space="preserve">. </w:t>
      </w:r>
    </w:p>
    <w:p w14:paraId="27AEA8D8" w14:textId="77777777" w:rsidR="00F258E1" w:rsidRDefault="00F258E1" w:rsidP="006C5B16">
      <w:pPr>
        <w:jc w:val="both"/>
        <w:rPr>
          <w:rtl/>
        </w:rPr>
      </w:pPr>
      <w:r>
        <w:rPr>
          <w:rFonts w:hint="cs"/>
          <w:rtl/>
        </w:rPr>
        <w:t xml:space="preserve">بنابراین اگر کشف بالعرض بودن و مطابقت قطع با واقع لحاظ نشود تمام الموضوع خواهد بود که مرحوم خویی رحمه الله فرموده‌اند: این قطع موضوعی صفتی است. و اگر مطابقت آن با واقع و کشف بالعرض آن لحاظ شود، مرحوم خویی رحمه الله فرموده‌اند: قطع موضوعی طریقی است که آن همیشه جزء الموضوع است. </w:t>
      </w:r>
    </w:p>
    <w:p w14:paraId="72902AA7" w14:textId="77777777" w:rsidR="00551294" w:rsidRDefault="00551294" w:rsidP="006C5B16">
      <w:pPr>
        <w:jc w:val="both"/>
        <w:rPr>
          <w:rtl/>
        </w:rPr>
      </w:pPr>
      <w:r>
        <w:rPr>
          <w:rFonts w:hint="cs"/>
          <w:rtl/>
        </w:rPr>
        <w:t>بازگشت این کلام به این است که قطع موضوعی گاهی تمام الموضوع است که آن را صفتی می‌گو</w:t>
      </w:r>
      <w:r w:rsidR="00F258E1">
        <w:rPr>
          <w:rFonts w:hint="cs"/>
          <w:rtl/>
        </w:rPr>
        <w:t xml:space="preserve">ییم و گاهی جزء الموضوع است که آن را موضوعی طریقی می‌گوییم. </w:t>
      </w:r>
    </w:p>
    <w:p w14:paraId="1FC12DC0" w14:textId="77777777" w:rsidR="00551294" w:rsidRDefault="00B521F8" w:rsidP="00B521F8">
      <w:pPr>
        <w:jc w:val="both"/>
        <w:rPr>
          <w:rtl/>
        </w:rPr>
      </w:pPr>
      <w:r>
        <w:rPr>
          <w:rFonts w:hint="cs"/>
          <w:rtl/>
        </w:rPr>
        <w:lastRenderedPageBreak/>
        <w:t>از آنجا که بعید است</w:t>
      </w:r>
      <w:r w:rsidR="00F258E1">
        <w:rPr>
          <w:rFonts w:hint="cs"/>
          <w:rtl/>
        </w:rPr>
        <w:t xml:space="preserve"> در بحث جواز اخبار به علم </w:t>
      </w:r>
      <w:r>
        <w:rPr>
          <w:rFonts w:hint="cs"/>
          <w:rtl/>
        </w:rPr>
        <w:t>مرحوم خویی بگویند: «علم جزء الموضوع است و</w:t>
      </w:r>
      <w:r w:rsidR="00F258E1">
        <w:rPr>
          <w:rFonts w:hint="cs"/>
          <w:rtl/>
        </w:rPr>
        <w:t xml:space="preserve"> در موارد قطع غیر مطابق با واقع اخبار ح</w:t>
      </w:r>
      <w:r>
        <w:rPr>
          <w:rFonts w:hint="cs"/>
          <w:rtl/>
        </w:rPr>
        <w:t>رام است منتهی مکلف معذور است»</w:t>
      </w:r>
      <w:r w:rsidR="00F258E1">
        <w:rPr>
          <w:rFonts w:hint="cs"/>
          <w:rtl/>
        </w:rPr>
        <w:t xml:space="preserve"> </w:t>
      </w:r>
      <w:r w:rsidR="00551294">
        <w:rPr>
          <w:rFonts w:hint="cs"/>
          <w:rtl/>
        </w:rPr>
        <w:t>زیرا ظاهر جواز اخبار به علم به مناسبت حکم و موضوع این است که علم تمام الموضوع است</w:t>
      </w:r>
      <w:r>
        <w:rPr>
          <w:rFonts w:hint="cs"/>
          <w:rtl/>
        </w:rPr>
        <w:t>، اما</w:t>
      </w:r>
      <w:r w:rsidR="00F258E1">
        <w:rPr>
          <w:rFonts w:hint="cs"/>
          <w:rtl/>
        </w:rPr>
        <w:t xml:space="preserve"> بنابر نظر ایشان </w:t>
      </w:r>
      <w:r>
        <w:rPr>
          <w:rFonts w:hint="cs"/>
          <w:rtl/>
        </w:rPr>
        <w:t xml:space="preserve">که </w:t>
      </w:r>
      <w:r w:rsidR="00F258E1">
        <w:rPr>
          <w:rFonts w:hint="cs"/>
          <w:rtl/>
        </w:rPr>
        <w:t xml:space="preserve">قطع موضوعی </w:t>
      </w:r>
      <w:r w:rsidR="001A26F5">
        <w:rPr>
          <w:rFonts w:hint="cs"/>
          <w:rtl/>
        </w:rPr>
        <w:t xml:space="preserve">طریقی </w:t>
      </w:r>
      <w:r w:rsidR="00F258E1">
        <w:rPr>
          <w:rFonts w:hint="cs"/>
          <w:rtl/>
        </w:rPr>
        <w:t xml:space="preserve">نمی‌تواند تمام الموضوع </w:t>
      </w:r>
      <w:r w:rsidR="001A26F5">
        <w:rPr>
          <w:rFonts w:hint="cs"/>
          <w:rtl/>
        </w:rPr>
        <w:t>باشد پس</w:t>
      </w:r>
      <w:r w:rsidR="00B25F97">
        <w:rPr>
          <w:rFonts w:hint="cs"/>
          <w:rtl/>
        </w:rPr>
        <w:t xml:space="preserve"> </w:t>
      </w:r>
      <w:r>
        <w:rPr>
          <w:rFonts w:hint="cs"/>
          <w:rtl/>
        </w:rPr>
        <w:t>علم در موضوع جواز اخبار،</w:t>
      </w:r>
      <w:r w:rsidR="00B25F97">
        <w:rPr>
          <w:rFonts w:hint="cs"/>
          <w:rtl/>
        </w:rPr>
        <w:t xml:space="preserve"> قطع موضوعی صفتی </w:t>
      </w:r>
      <w:r>
        <w:rPr>
          <w:rFonts w:hint="cs"/>
          <w:rtl/>
        </w:rPr>
        <w:t xml:space="preserve">می شود </w:t>
      </w:r>
      <w:r w:rsidR="00B25F97">
        <w:rPr>
          <w:rFonts w:hint="cs"/>
          <w:rtl/>
        </w:rPr>
        <w:t xml:space="preserve">که لازمه‌ی آن عدم قیام امارات به جای آن است در حالی که ایشان امارات </w:t>
      </w:r>
      <w:r w:rsidR="00551294">
        <w:rPr>
          <w:rFonts w:hint="cs"/>
          <w:rtl/>
        </w:rPr>
        <w:t>بلکه استصحاب و قاعده‌ی ید را قائم مقام علم در جواز اخبار می‌دانند. این‌ها یک تهافت‌هایی در کلام بزرگان است که باید به آن‌ها توجه شود.</w:t>
      </w:r>
    </w:p>
    <w:p w14:paraId="5104D393" w14:textId="77777777" w:rsidR="00551294" w:rsidRDefault="00551294" w:rsidP="006C5B16">
      <w:pPr>
        <w:pStyle w:val="Heading1"/>
        <w:jc w:val="both"/>
        <w:rPr>
          <w:rtl/>
        </w:rPr>
      </w:pPr>
      <w:r>
        <w:rPr>
          <w:rFonts w:hint="cs"/>
          <w:rtl/>
        </w:rPr>
        <w:t xml:space="preserve"> </w:t>
      </w:r>
      <w:bookmarkStart w:id="2" w:name="_Toc136667235"/>
      <w:r>
        <w:rPr>
          <w:rFonts w:hint="cs"/>
          <w:rtl/>
        </w:rPr>
        <w:t>قیام امارات مقام قطع</w:t>
      </w:r>
      <w:bookmarkEnd w:id="2"/>
    </w:p>
    <w:p w14:paraId="41358A6A" w14:textId="77777777" w:rsidR="00551294" w:rsidRDefault="00551294" w:rsidP="006477C1">
      <w:pPr>
        <w:jc w:val="both"/>
        <w:rPr>
          <w:rtl/>
        </w:rPr>
      </w:pPr>
      <w:r>
        <w:rPr>
          <w:rFonts w:hint="cs"/>
          <w:rtl/>
        </w:rPr>
        <w:t>قیام امارات مقام قطع طریقی محض به لحاظ منجز</w:t>
      </w:r>
      <w:r w:rsidR="00B25F97">
        <w:rPr>
          <w:rFonts w:hint="cs"/>
          <w:rtl/>
        </w:rPr>
        <w:t xml:space="preserve">یت و معذریت واضح است </w:t>
      </w:r>
      <w:r w:rsidR="006477C1">
        <w:rPr>
          <w:rFonts w:hint="cs"/>
          <w:rtl/>
        </w:rPr>
        <w:t>البته در</w:t>
      </w:r>
      <w:r w:rsidR="00B25F97">
        <w:rPr>
          <w:rFonts w:hint="cs"/>
          <w:rtl/>
        </w:rPr>
        <w:t xml:space="preserve"> تعبیر </w:t>
      </w:r>
      <w:r>
        <w:rPr>
          <w:rFonts w:hint="cs"/>
          <w:rtl/>
        </w:rPr>
        <w:t>«</w:t>
      </w:r>
      <w:r w:rsidR="00B25F97">
        <w:rPr>
          <w:rFonts w:hint="cs"/>
          <w:rtl/>
        </w:rPr>
        <w:t>قیام الامارات و الاصول مقام القطع الطریقی المحض</w:t>
      </w:r>
      <w:r>
        <w:rPr>
          <w:rFonts w:hint="cs"/>
          <w:rtl/>
        </w:rPr>
        <w:t>» مسامحه است زیرا منجزیت و معذریت اثر قطع نیست تا</w:t>
      </w:r>
      <w:r w:rsidR="00B25F97">
        <w:rPr>
          <w:rFonts w:hint="cs"/>
          <w:rtl/>
        </w:rPr>
        <w:t xml:space="preserve"> گفته شود اماره در این اثر</w:t>
      </w:r>
      <w:r>
        <w:rPr>
          <w:rFonts w:hint="cs"/>
          <w:rtl/>
        </w:rPr>
        <w:t xml:space="preserve"> قائم مقام قطع می‌شود بلکه اثر جامع بیان است که یک مصداق آن قطع است و مصداق دیگر آن اماره </w:t>
      </w:r>
      <w:r w:rsidR="00B25F97">
        <w:rPr>
          <w:rFonts w:hint="cs"/>
          <w:rtl/>
        </w:rPr>
        <w:t xml:space="preserve">و اصل </w:t>
      </w:r>
      <w:r>
        <w:rPr>
          <w:rFonts w:hint="cs"/>
          <w:rtl/>
        </w:rPr>
        <w:t>است مگر این که مراد این باشد که اماره حجت درجه دوم است و با وجود قطع نوبت به حجیت اماره نمی‌رسد و از این ح</w:t>
      </w:r>
      <w:r w:rsidR="00B25F97">
        <w:rPr>
          <w:rFonts w:hint="cs"/>
          <w:rtl/>
        </w:rPr>
        <w:t>ی</w:t>
      </w:r>
      <w:r>
        <w:rPr>
          <w:rFonts w:hint="cs"/>
          <w:rtl/>
        </w:rPr>
        <w:t>ث گفته شود وقتی حجت درجه اول موجود نبود نوبت به حجت درجه دوم که اماره است می‌رسد</w:t>
      </w:r>
      <w:r w:rsidR="00B25F97">
        <w:rPr>
          <w:rFonts w:hint="cs"/>
          <w:rtl/>
        </w:rPr>
        <w:t>.</w:t>
      </w:r>
    </w:p>
    <w:p w14:paraId="3E0BE072" w14:textId="77777777" w:rsidR="00551294" w:rsidRDefault="00551294" w:rsidP="006C5B16">
      <w:pPr>
        <w:pStyle w:val="Heading2"/>
        <w:jc w:val="both"/>
        <w:rPr>
          <w:rtl/>
        </w:rPr>
      </w:pPr>
      <w:bookmarkStart w:id="3" w:name="_Toc136667236"/>
      <w:r>
        <w:rPr>
          <w:rFonts w:hint="cs"/>
          <w:rtl/>
        </w:rPr>
        <w:t>قیام امارات مقام قطع طریقی موضوعی</w:t>
      </w:r>
      <w:bookmarkEnd w:id="3"/>
    </w:p>
    <w:p w14:paraId="68AE4A61" w14:textId="77777777" w:rsidR="00B25F97" w:rsidRPr="00B25F97" w:rsidRDefault="00B25F97" w:rsidP="006C5B16">
      <w:pPr>
        <w:jc w:val="both"/>
        <w:rPr>
          <w:rtl/>
        </w:rPr>
      </w:pPr>
      <w:r>
        <w:rPr>
          <w:rFonts w:hint="cs"/>
          <w:rtl/>
        </w:rPr>
        <w:t>و اما قیام امارات مقام قطع موضوعی:</w:t>
      </w:r>
    </w:p>
    <w:p w14:paraId="01686AB2" w14:textId="77777777" w:rsidR="00551294" w:rsidRDefault="00B25F97" w:rsidP="006C5B16">
      <w:pPr>
        <w:jc w:val="both"/>
        <w:rPr>
          <w:rtl/>
        </w:rPr>
      </w:pPr>
      <w:r>
        <w:rPr>
          <w:rFonts w:hint="cs"/>
          <w:rtl/>
        </w:rPr>
        <w:t>بعضی</w:t>
      </w:r>
      <w:r w:rsidR="00551294">
        <w:rPr>
          <w:rFonts w:hint="cs"/>
          <w:rtl/>
        </w:rPr>
        <w:t xml:space="preserve"> مثل محقق نایینی</w:t>
      </w:r>
      <w:r w:rsidR="008C7B80">
        <w:rPr>
          <w:rStyle w:val="FootnoteReference"/>
          <w:rtl/>
        </w:rPr>
        <w:footnoteReference w:id="2"/>
      </w:r>
      <w:r w:rsidR="00551294">
        <w:rPr>
          <w:rFonts w:hint="cs"/>
          <w:rtl/>
        </w:rPr>
        <w:t xml:space="preserve"> و عراقی</w:t>
      </w:r>
      <w:r w:rsidR="008C7B80">
        <w:rPr>
          <w:rStyle w:val="FootnoteReference"/>
          <w:rtl/>
        </w:rPr>
        <w:footnoteReference w:id="3"/>
      </w:r>
      <w:r w:rsidR="00551294">
        <w:rPr>
          <w:rFonts w:hint="cs"/>
          <w:rtl/>
        </w:rPr>
        <w:t xml:space="preserve"> و مرحوم خویی</w:t>
      </w:r>
      <w:r w:rsidR="008C7B80">
        <w:rPr>
          <w:rStyle w:val="FootnoteReference"/>
          <w:rtl/>
        </w:rPr>
        <w:footnoteReference w:id="4"/>
      </w:r>
      <w:r w:rsidR="00551294">
        <w:rPr>
          <w:rFonts w:hint="cs"/>
          <w:rtl/>
        </w:rPr>
        <w:t xml:space="preserve"> رحمه الله </w:t>
      </w:r>
      <w:r>
        <w:rPr>
          <w:rFonts w:hint="cs"/>
          <w:rtl/>
        </w:rPr>
        <w:t>قائل به قیام اماره مقام قطع موضوعی شد</w:t>
      </w:r>
      <w:r w:rsidR="006477C1">
        <w:rPr>
          <w:rFonts w:hint="cs"/>
          <w:rtl/>
        </w:rPr>
        <w:t>ه‌ا</w:t>
      </w:r>
      <w:r>
        <w:rPr>
          <w:rFonts w:hint="cs"/>
          <w:rtl/>
        </w:rPr>
        <w:t>ند. در مقابل بعضی</w:t>
      </w:r>
      <w:r w:rsidR="00551294">
        <w:rPr>
          <w:rFonts w:hint="cs"/>
          <w:rtl/>
        </w:rPr>
        <w:t xml:space="preserve"> مثل صاحب کفایه</w:t>
      </w:r>
      <w:r w:rsidR="008C7B80" w:rsidRPr="001A5FDB">
        <w:rPr>
          <w:rStyle w:val="FootnoteReference"/>
          <w:rFonts w:ascii="NoorLotus" w:eastAsia="Batang" w:hAnsi="NoorLotus"/>
          <w:sz w:val="28"/>
          <w:rtl/>
        </w:rPr>
        <w:footnoteReference w:id="5"/>
      </w:r>
      <w:r w:rsidR="00BA06AF">
        <w:rPr>
          <w:rFonts w:hint="cs"/>
          <w:rtl/>
        </w:rPr>
        <w:t xml:space="preserve"> رحمه الله و شهید صدر</w:t>
      </w:r>
      <w:r w:rsidR="008C7B80" w:rsidRPr="001A5FDB">
        <w:rPr>
          <w:rStyle w:val="FootnoteReference"/>
          <w:rFonts w:ascii="NoorLotus" w:eastAsia="Batang" w:hAnsi="NoorLotus"/>
          <w:sz w:val="28"/>
          <w:rtl/>
        </w:rPr>
        <w:footnoteReference w:id="6"/>
      </w:r>
      <w:r w:rsidR="00551294">
        <w:rPr>
          <w:rFonts w:hint="cs"/>
          <w:rtl/>
        </w:rPr>
        <w:t>رحمه الله آن را انکار کرد</w:t>
      </w:r>
      <w:r w:rsidR="006477C1">
        <w:rPr>
          <w:rFonts w:hint="cs"/>
          <w:rtl/>
        </w:rPr>
        <w:t>ه‌ا</w:t>
      </w:r>
      <w:r w:rsidR="00551294">
        <w:rPr>
          <w:rFonts w:hint="cs"/>
          <w:rtl/>
        </w:rPr>
        <w:t xml:space="preserve">ند. </w:t>
      </w:r>
    </w:p>
    <w:p w14:paraId="1DD1E105" w14:textId="77777777" w:rsidR="00A84601" w:rsidRDefault="006477C1" w:rsidP="00A84601">
      <w:pPr>
        <w:jc w:val="both"/>
        <w:rPr>
          <w:rtl/>
        </w:rPr>
      </w:pPr>
      <w:r>
        <w:rPr>
          <w:rFonts w:hint="cs"/>
          <w:rtl/>
        </w:rPr>
        <w:t>این بحث ثمرات زیادی</w:t>
      </w:r>
      <w:r w:rsidR="00551294">
        <w:rPr>
          <w:rFonts w:hint="cs"/>
          <w:rtl/>
        </w:rPr>
        <w:t>‌ دارد مثلا جواز اخبار به علم، قطع طریقی موضوعی است، و در این جا باید بحث شود که اماره جانشین علم در جواز اخبار می‌شود یا خیر؟</w:t>
      </w:r>
      <w:r w:rsidR="00A84601">
        <w:rPr>
          <w:rFonts w:hint="cs"/>
          <w:rtl/>
        </w:rPr>
        <w:t xml:space="preserve"> مرحوم خویی رحمه الله فرموده‌اند: اماره جانشین آن می‌شود و در تفسیر، تاریخ، خبر ثقه حجت است در حالی که اثر عملی تنجیزی و تعذیری ندارد بلکه ‌اثر آن همین جواز اخبار است. در </w:t>
      </w:r>
      <w:r w:rsidR="00A84601">
        <w:rPr>
          <w:rFonts w:hint="cs"/>
          <w:rtl/>
        </w:rPr>
        <w:lastRenderedPageBreak/>
        <w:t xml:space="preserve">مقابل، صاحب کفایه و شهید صدر رحمهما الله فرموده‌اند: دلیلی بر این که اماره جانشین قطع موضوعی شود، وجود ندارد. </w:t>
      </w:r>
    </w:p>
    <w:p w14:paraId="17B232B2" w14:textId="77777777" w:rsidR="00551294" w:rsidRDefault="00B25F97" w:rsidP="001D4CEA">
      <w:pPr>
        <w:jc w:val="both"/>
        <w:rPr>
          <w:rtl/>
        </w:rPr>
      </w:pPr>
      <w:r>
        <w:rPr>
          <w:rFonts w:hint="cs"/>
          <w:rtl/>
        </w:rPr>
        <w:t xml:space="preserve"> </w:t>
      </w:r>
      <w:r w:rsidR="006477C1">
        <w:rPr>
          <w:rFonts w:hint="cs"/>
          <w:rtl/>
        </w:rPr>
        <w:t>یا</w:t>
      </w:r>
      <w:r>
        <w:rPr>
          <w:rFonts w:hint="cs"/>
          <w:rtl/>
        </w:rPr>
        <w:t xml:space="preserve"> در بحث استصحاب بنا بر این که موضوع استصحاب یقین به حدوث باشد</w:t>
      </w:r>
      <w:r w:rsidR="001D4CEA">
        <w:rPr>
          <w:rFonts w:hint="cs"/>
          <w:rtl/>
        </w:rPr>
        <w:t xml:space="preserve"> -نه واقع الحدوث</w:t>
      </w:r>
      <w:r>
        <w:rPr>
          <w:rFonts w:hint="cs"/>
          <w:rtl/>
        </w:rPr>
        <w:t xml:space="preserve"> که مرحوم صاحب کفایه</w:t>
      </w:r>
      <w:r w:rsidR="00BA06AF" w:rsidRPr="001A5FDB">
        <w:rPr>
          <w:rStyle w:val="FootnoteReference"/>
          <w:rFonts w:ascii="NoorLotus" w:eastAsia="Batang" w:hAnsi="NoorLotus"/>
          <w:sz w:val="28"/>
          <w:rtl/>
        </w:rPr>
        <w:footnoteReference w:id="7"/>
      </w:r>
      <w:r>
        <w:rPr>
          <w:rFonts w:hint="cs"/>
          <w:rtl/>
        </w:rPr>
        <w:t>و شهید صدر</w:t>
      </w:r>
      <w:r w:rsidR="00BA06AF" w:rsidRPr="001A5FDB">
        <w:rPr>
          <w:rStyle w:val="FootnoteReference"/>
          <w:rFonts w:ascii="NoorLotus" w:eastAsia="Batang" w:hAnsi="NoorLotus"/>
          <w:sz w:val="28"/>
          <w:rtl/>
        </w:rPr>
        <w:footnoteReference w:id="8"/>
      </w:r>
      <w:r w:rsidR="001D4CEA">
        <w:rPr>
          <w:rFonts w:hint="cs"/>
          <w:rtl/>
        </w:rPr>
        <w:t xml:space="preserve"> رحمهما الله ادعا کردند-</w:t>
      </w:r>
      <w:r>
        <w:rPr>
          <w:rFonts w:hint="cs"/>
          <w:rtl/>
        </w:rPr>
        <w:t xml:space="preserve"> این بحث مطرح می‌شود که اماره می‌تواند قائم مقام یقین به حدوث شود و رکن استصحاب را محقق کند یا </w:t>
      </w:r>
      <w:r w:rsidR="001D4CEA">
        <w:rPr>
          <w:rFonts w:hint="cs"/>
          <w:rtl/>
        </w:rPr>
        <w:t>خیر</w:t>
      </w:r>
      <w:r>
        <w:rPr>
          <w:rFonts w:hint="cs"/>
          <w:rtl/>
        </w:rPr>
        <w:t>.</w:t>
      </w:r>
      <w:r w:rsidR="00D35FCB">
        <w:rPr>
          <w:rFonts w:hint="cs"/>
          <w:rtl/>
        </w:rPr>
        <w:t xml:space="preserve"> </w:t>
      </w:r>
      <w:r w:rsidR="00D35FCB">
        <w:rPr>
          <w:rFonts w:hint="cs"/>
          <w:sz w:val="34"/>
          <w:rtl/>
        </w:rPr>
        <w:t>برخی مانند محقق عراقی، محقق نائینی، ‌مرحوم آقای خوئی، ‌مرحوم امام و آیت الله سیستانی فرمودند اماره می تواند جانشین قطع شود و برخی هم مثل صاحب کفایه و صاحب بحوث این مطلب را ن</w:t>
      </w:r>
      <w:r w:rsidR="00D35FCB" w:rsidRPr="00D55062">
        <w:rPr>
          <w:sz w:val="34"/>
          <w:rtl/>
        </w:rPr>
        <w:t>پ</w:t>
      </w:r>
      <w:r w:rsidR="00D35FCB">
        <w:rPr>
          <w:rFonts w:hint="cs"/>
          <w:sz w:val="34"/>
          <w:rtl/>
        </w:rPr>
        <w:t>ذیرفته‌اند.</w:t>
      </w:r>
    </w:p>
    <w:p w14:paraId="2A4F8648" w14:textId="77777777" w:rsidR="00B25F97" w:rsidRDefault="00B25F97" w:rsidP="006C5B16">
      <w:pPr>
        <w:pStyle w:val="Heading2"/>
        <w:jc w:val="both"/>
        <w:rPr>
          <w:rtl/>
        </w:rPr>
      </w:pPr>
      <w:bookmarkStart w:id="4" w:name="_Toc136667237"/>
      <w:r>
        <w:rPr>
          <w:rFonts w:hint="cs"/>
          <w:rtl/>
        </w:rPr>
        <w:t>تقاریب قیام اماره مقام قطع موضوعی طریقی</w:t>
      </w:r>
      <w:bookmarkEnd w:id="4"/>
    </w:p>
    <w:p w14:paraId="47DF4F69" w14:textId="77777777" w:rsidR="00551294" w:rsidRDefault="00B25F97" w:rsidP="006C5B16">
      <w:pPr>
        <w:jc w:val="both"/>
        <w:rPr>
          <w:rtl/>
        </w:rPr>
      </w:pPr>
      <w:r>
        <w:rPr>
          <w:rFonts w:hint="cs"/>
          <w:rtl/>
        </w:rPr>
        <w:t xml:space="preserve">تقریب‌هایی برای قیام اماره مقام قطع موضوعی طریقی </w:t>
      </w:r>
      <w:r w:rsidR="00551294">
        <w:rPr>
          <w:rFonts w:hint="cs"/>
          <w:rtl/>
        </w:rPr>
        <w:t>ذکر شده است:</w:t>
      </w:r>
    </w:p>
    <w:p w14:paraId="5CF649C5" w14:textId="77777777" w:rsidR="00551294" w:rsidRDefault="00CC5AA9" w:rsidP="006C5B16">
      <w:pPr>
        <w:pStyle w:val="Heading2"/>
        <w:jc w:val="both"/>
        <w:rPr>
          <w:rtl/>
        </w:rPr>
      </w:pPr>
      <w:bookmarkStart w:id="5" w:name="_Toc136667238"/>
      <w:r>
        <w:rPr>
          <w:rFonts w:hint="cs"/>
          <w:rtl/>
        </w:rPr>
        <w:t>تقریب اول</w:t>
      </w:r>
      <w:bookmarkEnd w:id="5"/>
    </w:p>
    <w:p w14:paraId="6F78EBD2" w14:textId="77777777" w:rsidR="00551294" w:rsidRDefault="00551294" w:rsidP="006C5B16">
      <w:pPr>
        <w:jc w:val="both"/>
        <w:rPr>
          <w:rtl/>
        </w:rPr>
      </w:pPr>
      <w:r>
        <w:rPr>
          <w:rFonts w:hint="cs"/>
          <w:rtl/>
        </w:rPr>
        <w:t>ظاهر خطابی که علم در آن اخذ شده است این است که خصوص قطع وج</w:t>
      </w:r>
      <w:r w:rsidR="00CC5AA9">
        <w:rPr>
          <w:rFonts w:hint="cs"/>
          <w:rtl/>
        </w:rPr>
        <w:t>دانی مراد نیست بلکه تبین واقع</w:t>
      </w:r>
      <w:r>
        <w:rPr>
          <w:rFonts w:hint="cs"/>
          <w:rtl/>
        </w:rPr>
        <w:t xml:space="preserve"> به سبب علم و یا به سبب طریق معتبر موضوع است. </w:t>
      </w:r>
    </w:p>
    <w:p w14:paraId="0CFBCEA7" w14:textId="77777777" w:rsidR="00551294" w:rsidRDefault="00551294" w:rsidP="006C5B16">
      <w:pPr>
        <w:jc w:val="both"/>
        <w:rPr>
          <w:rtl/>
        </w:rPr>
      </w:pPr>
      <w:r>
        <w:rPr>
          <w:rFonts w:hint="cs"/>
          <w:rtl/>
        </w:rPr>
        <w:t>در این صورت دلیل اعتبار اماره ورود بر این خطاب دارد زیرا «</w:t>
      </w:r>
      <w:r w:rsidR="00CC5AA9">
        <w:rPr>
          <w:rFonts w:hint="cs"/>
          <w:rtl/>
        </w:rPr>
        <w:t>یجوز لک الاخبار بعلم</w:t>
      </w:r>
      <w:r>
        <w:rPr>
          <w:rFonts w:hint="cs"/>
          <w:rtl/>
        </w:rPr>
        <w:t xml:space="preserve">» </w:t>
      </w:r>
      <w:r w:rsidR="00CC5AA9">
        <w:rPr>
          <w:rFonts w:hint="cs"/>
          <w:rtl/>
        </w:rPr>
        <w:t xml:space="preserve">به معنای </w:t>
      </w:r>
      <w:r>
        <w:rPr>
          <w:rFonts w:hint="cs"/>
          <w:rtl/>
        </w:rPr>
        <w:t>«</w:t>
      </w:r>
      <w:r w:rsidR="00CC5AA9">
        <w:rPr>
          <w:rFonts w:hint="cs"/>
          <w:rtl/>
        </w:rPr>
        <w:t xml:space="preserve">یجوز لک الاخبار عند تبین الواقع بمبین وجدانی او عقلائی» </w:t>
      </w:r>
      <w:r>
        <w:rPr>
          <w:rFonts w:hint="cs"/>
          <w:rtl/>
        </w:rPr>
        <w:t xml:space="preserve">خواهد بود و اماره مبین عقلائیه است. </w:t>
      </w:r>
      <w:r w:rsidR="00CC5AA9">
        <w:rPr>
          <w:rFonts w:hint="cs"/>
          <w:rtl/>
        </w:rPr>
        <w:t xml:space="preserve">همان بیان </w:t>
      </w:r>
      <w:r>
        <w:rPr>
          <w:rFonts w:hint="cs"/>
          <w:rtl/>
        </w:rPr>
        <w:t>مرحوم حائری رحمه الله</w:t>
      </w:r>
      <w:r w:rsidR="00CC5AA9">
        <w:rPr>
          <w:rFonts w:hint="cs"/>
          <w:rtl/>
        </w:rPr>
        <w:t xml:space="preserve"> که فرموده‌اند: مراد از قطع موضوعی طریقی این است که جامع</w:t>
      </w:r>
      <w:r w:rsidR="005B041B">
        <w:rPr>
          <w:rFonts w:hint="cs"/>
          <w:rtl/>
        </w:rPr>
        <w:t>ِ</w:t>
      </w:r>
      <w:r w:rsidR="00CC5AA9">
        <w:rPr>
          <w:rFonts w:hint="cs"/>
          <w:rtl/>
        </w:rPr>
        <w:t xml:space="preserve"> کاشف اعم از علم وجدانی و تعبدی در موضوع اخذ شود.</w:t>
      </w:r>
    </w:p>
    <w:p w14:paraId="33339DC8" w14:textId="77777777" w:rsidR="00CC5AA9" w:rsidRDefault="00CC5AA9" w:rsidP="005B041B">
      <w:pPr>
        <w:jc w:val="both"/>
        <w:rPr>
          <w:rtl/>
        </w:rPr>
      </w:pPr>
      <w:r>
        <w:rPr>
          <w:rFonts w:hint="cs"/>
          <w:rtl/>
        </w:rPr>
        <w:t xml:space="preserve">این تقریب دو بیان دارد. </w:t>
      </w:r>
    </w:p>
    <w:p w14:paraId="5E38D593" w14:textId="77777777" w:rsidR="00551294" w:rsidRDefault="00551294" w:rsidP="006C5B16">
      <w:pPr>
        <w:pStyle w:val="Heading3"/>
        <w:jc w:val="both"/>
        <w:rPr>
          <w:rtl/>
        </w:rPr>
      </w:pPr>
      <w:bookmarkStart w:id="6" w:name="_Toc136667239"/>
      <w:r>
        <w:rPr>
          <w:rFonts w:hint="cs"/>
          <w:rtl/>
        </w:rPr>
        <w:t>بیان اول: بیان مرحوم امام رحمه الله</w:t>
      </w:r>
      <w:bookmarkEnd w:id="6"/>
    </w:p>
    <w:p w14:paraId="45665306" w14:textId="77777777" w:rsidR="00551294" w:rsidRDefault="00CC5AA9" w:rsidP="005B041B">
      <w:pPr>
        <w:jc w:val="both"/>
        <w:rPr>
          <w:rtl/>
        </w:rPr>
      </w:pPr>
      <w:r>
        <w:rPr>
          <w:rFonts w:hint="cs"/>
          <w:rtl/>
        </w:rPr>
        <w:t>مرحوم امام رحمه الله فرموده‌اند: چون</w:t>
      </w:r>
      <w:r w:rsidR="00551294">
        <w:rPr>
          <w:rFonts w:hint="cs"/>
          <w:rtl/>
        </w:rPr>
        <w:t xml:space="preserve"> عقلاء و متشرعه در مجال‌های گوناگون بر طرق معتبر اعتماد می‌کنند،</w:t>
      </w:r>
      <w:r>
        <w:rPr>
          <w:rFonts w:hint="cs"/>
          <w:rtl/>
        </w:rPr>
        <w:t xml:space="preserve"> استظهار عرف از لفظ علم در آیه «</w:t>
      </w:r>
      <w:r w:rsidR="001D09B3" w:rsidRPr="001D09B3">
        <w:rPr>
          <w:rFonts w:ascii="Traditional Arabic" w:hAnsi="Traditional Arabic" w:cs="Traditional Arabic" w:hint="cs"/>
          <w:color w:val="000000"/>
          <w:sz w:val="30"/>
          <w:szCs w:val="30"/>
          <w:rtl/>
        </w:rPr>
        <w:t xml:space="preserve"> </w:t>
      </w:r>
      <w:r w:rsidR="001D09B3">
        <w:rPr>
          <w:rFonts w:ascii="Traditional Arabic" w:hAnsi="Traditional Arabic" w:cs="Traditional Arabic" w:hint="cs"/>
          <w:color w:val="000000"/>
          <w:sz w:val="30"/>
          <w:szCs w:val="30"/>
          <w:rtl/>
        </w:rPr>
        <w:t xml:space="preserve">قُلْ إِنَّما حَرَّمَ رَبِّيَ </w:t>
      </w:r>
      <w:r w:rsidR="001D09B3">
        <w:rPr>
          <w:rFonts w:ascii="Traditional Arabic" w:hAnsi="Traditional Arabic" w:cs="Traditional Arabic"/>
          <w:color w:val="000000"/>
          <w:sz w:val="30"/>
          <w:szCs w:val="30"/>
        </w:rPr>
        <w:t>…</w:t>
      </w:r>
      <w:r w:rsidR="001D09B3">
        <w:rPr>
          <w:rFonts w:ascii="Traditional Arabic" w:hAnsi="Traditional Arabic" w:cs="Traditional Arabic" w:hint="cs"/>
          <w:color w:val="000000"/>
          <w:sz w:val="30"/>
          <w:szCs w:val="30"/>
          <w:rtl/>
        </w:rPr>
        <w:t xml:space="preserve"> وَ أَنْ‏ تَقُولُوا عَلَى اللَّهِ ما لا تَعْلَمُون‏</w:t>
      </w:r>
      <w:r>
        <w:rPr>
          <w:rFonts w:hint="cs"/>
          <w:rtl/>
        </w:rPr>
        <w:t>»</w:t>
      </w:r>
      <w:r w:rsidR="008D4D2D">
        <w:rPr>
          <w:rStyle w:val="FootnoteReference"/>
          <w:rtl/>
        </w:rPr>
        <w:footnoteReference w:id="9"/>
      </w:r>
      <w:r>
        <w:rPr>
          <w:rFonts w:hint="cs"/>
          <w:rtl/>
        </w:rPr>
        <w:t xml:space="preserve"> </w:t>
      </w:r>
      <w:r w:rsidR="001D09B3">
        <w:rPr>
          <w:rFonts w:hint="cs"/>
          <w:rtl/>
        </w:rPr>
        <w:t>و روای</w:t>
      </w:r>
      <w:r w:rsidR="00551294">
        <w:rPr>
          <w:rFonts w:hint="cs"/>
          <w:rtl/>
        </w:rPr>
        <w:t xml:space="preserve">ت </w:t>
      </w:r>
      <w:r w:rsidR="00551294" w:rsidRPr="001D09B3">
        <w:rPr>
          <w:rFonts w:hint="cs"/>
          <w:rtl/>
        </w:rPr>
        <w:t>«</w:t>
      </w:r>
      <w:r w:rsidR="001D09B3" w:rsidRPr="001D09B3">
        <w:rPr>
          <w:rFonts w:hint="cs"/>
          <w:rtl/>
        </w:rPr>
        <w:t>مَنْ أَفْتَى‏ بِغَيْرِ عِلْمٍ‏ لَعَنَتْهُ مَلَائِكَةُ السَّمَاءِ وَ مَلَائِكَةُ الْأَرْضِ</w:t>
      </w:r>
      <w:r w:rsidR="00551294">
        <w:rPr>
          <w:rFonts w:hint="cs"/>
          <w:rtl/>
        </w:rPr>
        <w:t>»</w:t>
      </w:r>
      <w:r w:rsidR="001D09B3">
        <w:rPr>
          <w:rStyle w:val="FootnoteReference"/>
          <w:rtl/>
        </w:rPr>
        <w:footnoteReference w:id="10"/>
      </w:r>
      <w:r w:rsidR="00551294">
        <w:rPr>
          <w:rFonts w:hint="cs"/>
          <w:rtl/>
        </w:rPr>
        <w:t xml:space="preserve"> </w:t>
      </w:r>
      <w:r>
        <w:rPr>
          <w:rFonts w:hint="cs"/>
          <w:rtl/>
        </w:rPr>
        <w:t xml:space="preserve">این است </w:t>
      </w:r>
      <w:r w:rsidR="00551294">
        <w:rPr>
          <w:rFonts w:hint="cs"/>
          <w:rtl/>
        </w:rPr>
        <w:t>ک</w:t>
      </w:r>
      <w:r w:rsidR="001D09B3">
        <w:rPr>
          <w:rFonts w:hint="cs"/>
          <w:rtl/>
        </w:rPr>
        <w:t xml:space="preserve">ه </w:t>
      </w:r>
      <w:r w:rsidR="005B041B">
        <w:rPr>
          <w:rFonts w:hint="cs"/>
          <w:rtl/>
        </w:rPr>
        <w:t>علم،</w:t>
      </w:r>
      <w:r w:rsidR="001D09B3">
        <w:rPr>
          <w:rFonts w:hint="cs"/>
          <w:rtl/>
        </w:rPr>
        <w:t xml:space="preserve"> مثال برای طریق معتبر است. البته </w:t>
      </w:r>
      <w:r w:rsidR="00551294">
        <w:rPr>
          <w:rFonts w:hint="cs"/>
          <w:rtl/>
        </w:rPr>
        <w:t xml:space="preserve">نه این که لفظ علم مجازا </w:t>
      </w:r>
      <w:r w:rsidR="005B041B">
        <w:rPr>
          <w:rFonts w:hint="cs"/>
          <w:rtl/>
        </w:rPr>
        <w:t xml:space="preserve">در طریق معتبر </w:t>
      </w:r>
      <w:r w:rsidR="00551294">
        <w:rPr>
          <w:rFonts w:hint="cs"/>
          <w:rtl/>
        </w:rPr>
        <w:t xml:space="preserve">استعمال شده باشد </w:t>
      </w:r>
      <w:r w:rsidR="001D09B3">
        <w:rPr>
          <w:rFonts w:hint="cs"/>
          <w:rtl/>
        </w:rPr>
        <w:t>بلکه مثال برای طریق معتبر است.</w:t>
      </w:r>
    </w:p>
    <w:p w14:paraId="018BF93B" w14:textId="77777777" w:rsidR="001D09B3" w:rsidRDefault="00551294" w:rsidP="006C5B16">
      <w:pPr>
        <w:jc w:val="both"/>
        <w:rPr>
          <w:rtl/>
        </w:rPr>
      </w:pPr>
      <w:r>
        <w:rPr>
          <w:rFonts w:hint="cs"/>
          <w:rtl/>
        </w:rPr>
        <w:lastRenderedPageBreak/>
        <w:t xml:space="preserve">البته ایشان تعبیر می‌کند به </w:t>
      </w:r>
      <w:r w:rsidR="001D09B3">
        <w:rPr>
          <w:rFonts w:hint="cs"/>
          <w:rtl/>
        </w:rPr>
        <w:t>«</w:t>
      </w:r>
      <w:r>
        <w:rPr>
          <w:rFonts w:hint="cs"/>
          <w:rtl/>
        </w:rPr>
        <w:t>حجت</w:t>
      </w:r>
      <w:r w:rsidR="001D09B3">
        <w:rPr>
          <w:rFonts w:hint="cs"/>
          <w:rtl/>
        </w:rPr>
        <w:t>»</w:t>
      </w:r>
      <w:r>
        <w:rPr>
          <w:rFonts w:hint="cs"/>
          <w:rtl/>
        </w:rPr>
        <w:t xml:space="preserve"> ولذا برخی اشکال کردند که مراد از حجت منجز و معذر است و لازمه‌ی کلام شما ورود دلیل وجوب احتیاط بر </w:t>
      </w:r>
      <w:r w:rsidR="001D09B3">
        <w:rPr>
          <w:rFonts w:hint="cs"/>
          <w:rtl/>
        </w:rPr>
        <w:t xml:space="preserve">حدیث رفع است چون </w:t>
      </w:r>
      <w:r w:rsidR="005B041B">
        <w:rPr>
          <w:rFonts w:hint="cs"/>
          <w:rtl/>
        </w:rPr>
        <w:t>«رفع ما لا یعلمون » به معنی «رفع ما لاحجة علیه» و</w:t>
      </w:r>
      <w:r w:rsidR="001D09B3">
        <w:rPr>
          <w:rFonts w:hint="cs"/>
          <w:rtl/>
        </w:rPr>
        <w:t xml:space="preserve"> «رفع ما لامنجز علیه» است. و دلیل وجوب احتیاط دلالت دارد بر منجزیت آن لذا وارد بر آن است.</w:t>
      </w:r>
    </w:p>
    <w:p w14:paraId="71E4FD0F" w14:textId="77777777" w:rsidR="00551294" w:rsidRDefault="00551294" w:rsidP="006C5B16">
      <w:pPr>
        <w:jc w:val="both"/>
        <w:rPr>
          <w:rtl/>
        </w:rPr>
      </w:pPr>
      <w:r>
        <w:rPr>
          <w:rFonts w:hint="cs"/>
          <w:rtl/>
        </w:rPr>
        <w:t>ولی این فهم از کلام ایشان تمام نیست زیرا ایشان تصریح می‌کنند که</w:t>
      </w:r>
      <w:r w:rsidR="005B041B">
        <w:rPr>
          <w:rFonts w:hint="cs"/>
          <w:rtl/>
        </w:rPr>
        <w:t xml:space="preserve"> مراد از حج</w:t>
      </w:r>
      <w:r>
        <w:rPr>
          <w:rFonts w:hint="cs"/>
          <w:rtl/>
        </w:rPr>
        <w:t>ت</w:t>
      </w:r>
      <w:r w:rsidR="005B041B">
        <w:rPr>
          <w:rFonts w:hint="cs"/>
          <w:rtl/>
        </w:rPr>
        <w:t>،</w:t>
      </w:r>
      <w:r>
        <w:rPr>
          <w:rFonts w:hint="cs"/>
          <w:rtl/>
        </w:rPr>
        <w:t xml:space="preserve"> مطلق منجز </w:t>
      </w:r>
      <w:r w:rsidR="001D09B3">
        <w:rPr>
          <w:rFonts w:hint="cs"/>
          <w:rtl/>
        </w:rPr>
        <w:t xml:space="preserve">و معذر که شامل وجوب احتیاط شود، </w:t>
      </w:r>
      <w:r>
        <w:rPr>
          <w:rFonts w:hint="cs"/>
          <w:rtl/>
        </w:rPr>
        <w:t>نیست</w:t>
      </w:r>
      <w:r w:rsidR="001D09B3">
        <w:rPr>
          <w:rFonts w:hint="cs"/>
          <w:rtl/>
        </w:rPr>
        <w:t xml:space="preserve"> و در تهذیب الاصول فرموده‌اند: </w:t>
      </w:r>
      <w:r>
        <w:rPr>
          <w:rFonts w:hint="cs"/>
          <w:rtl/>
        </w:rPr>
        <w:t>«اگر اماره بر حکمی قائم شود و فقیه براساس آن اماره حکم</w:t>
      </w:r>
      <w:r w:rsidR="00A50920">
        <w:rPr>
          <w:rFonts w:hint="cs"/>
          <w:rtl/>
        </w:rPr>
        <w:t xml:space="preserve"> به واقع</w:t>
      </w:r>
      <w:r>
        <w:rPr>
          <w:rFonts w:hint="cs"/>
          <w:rtl/>
        </w:rPr>
        <w:t xml:space="preserve"> دهد</w:t>
      </w:r>
      <w:r w:rsidR="00A50920">
        <w:rPr>
          <w:rFonts w:hint="cs"/>
          <w:rtl/>
        </w:rPr>
        <w:t xml:space="preserve"> عرفا نمی‌گویند: این شخص فتوای به غیر علم داده است. و همچنین اگر با استناد به وجوب احتیاط فتوای به وجوب احتیاط </w:t>
      </w:r>
      <w:r w:rsidR="009430E6">
        <w:rPr>
          <w:rFonts w:hint="cs"/>
          <w:rtl/>
        </w:rPr>
        <w:t xml:space="preserve">که حکم ظاهری است </w:t>
      </w:r>
      <w:r w:rsidR="00A50920">
        <w:rPr>
          <w:rFonts w:hint="cs"/>
          <w:rtl/>
        </w:rPr>
        <w:t>دهد نیز مشکلی نیست ولی اگر با استناد به وجوب احتیاط فتوای به حرمت واقعیه این فعل دهد، عرفا</w:t>
      </w:r>
      <w:r>
        <w:rPr>
          <w:rFonts w:hint="cs"/>
          <w:rtl/>
        </w:rPr>
        <w:t xml:space="preserve"> فتوا به غیر علم است.» بلکه مراد</w:t>
      </w:r>
      <w:r w:rsidR="00A50920">
        <w:rPr>
          <w:rFonts w:hint="cs"/>
          <w:rtl/>
        </w:rPr>
        <w:t xml:space="preserve"> ایشان از حجت حتی</w:t>
      </w:r>
      <w:r>
        <w:rPr>
          <w:rFonts w:hint="cs"/>
          <w:rtl/>
        </w:rPr>
        <w:t xml:space="preserve"> اصل عملی نیز نیست زیرا در رس</w:t>
      </w:r>
      <w:r w:rsidR="00A50920">
        <w:rPr>
          <w:rFonts w:hint="cs"/>
          <w:rtl/>
        </w:rPr>
        <w:t>ائل</w:t>
      </w:r>
      <w:r>
        <w:rPr>
          <w:rFonts w:hint="cs"/>
          <w:rtl/>
        </w:rPr>
        <w:t xml:space="preserve"> فرموده‌اند: «</w:t>
      </w:r>
      <w:r w:rsidR="00A50920">
        <w:rPr>
          <w:rFonts w:hint="cs"/>
          <w:rtl/>
        </w:rPr>
        <w:t>مفاد ادلة الاصول لیس الا تعیین الوظیفة عند عدم قیام الحجة لا جعل الحجة علی الواقع</w:t>
      </w:r>
      <w:r>
        <w:rPr>
          <w:rFonts w:hint="cs"/>
          <w:rtl/>
        </w:rPr>
        <w:t>»</w:t>
      </w:r>
      <w:r w:rsidR="002A0711">
        <w:rPr>
          <w:rStyle w:val="FootnoteReference"/>
          <w:rtl/>
        </w:rPr>
        <w:footnoteReference w:id="11"/>
      </w:r>
      <w:r>
        <w:rPr>
          <w:rFonts w:hint="cs"/>
          <w:rtl/>
        </w:rPr>
        <w:t xml:space="preserve"> پس مراد ایشان</w:t>
      </w:r>
      <w:r w:rsidR="00A50920">
        <w:rPr>
          <w:rFonts w:hint="cs"/>
          <w:rtl/>
        </w:rPr>
        <w:t xml:space="preserve"> از حجت</w:t>
      </w:r>
      <w:r w:rsidR="009430E6">
        <w:rPr>
          <w:rFonts w:hint="cs"/>
          <w:rtl/>
        </w:rPr>
        <w:t>،</w:t>
      </w:r>
      <w:r w:rsidR="00A50920">
        <w:rPr>
          <w:rFonts w:hint="cs"/>
          <w:rtl/>
        </w:rPr>
        <w:t xml:space="preserve"> طریق معتبر در مقابل اصل علمی است.</w:t>
      </w:r>
    </w:p>
    <w:p w14:paraId="78CD243B" w14:textId="77777777" w:rsidR="00551294" w:rsidRPr="00A50920" w:rsidRDefault="009430E6" w:rsidP="006C5B16">
      <w:pPr>
        <w:jc w:val="both"/>
        <w:rPr>
          <w:rFonts w:ascii="Traditional Arabic" w:hAnsi="Traditional Arabic" w:cs="Traditional Arabic"/>
          <w:color w:val="000000"/>
          <w:sz w:val="30"/>
          <w:szCs w:val="30"/>
          <w:rtl/>
        </w:rPr>
      </w:pPr>
      <w:r>
        <w:rPr>
          <w:rFonts w:hint="cs"/>
          <w:rtl/>
        </w:rPr>
        <w:t xml:space="preserve"> (ایشان به عنوان شاهدی بر این مطلب فرموده‌اند:)</w:t>
      </w:r>
      <w:r w:rsidR="00551294">
        <w:rPr>
          <w:rFonts w:hint="cs"/>
          <w:rtl/>
        </w:rPr>
        <w:t xml:space="preserve"> </w:t>
      </w:r>
      <w:r>
        <w:rPr>
          <w:rFonts w:hint="cs"/>
          <w:rtl/>
        </w:rPr>
        <w:t xml:space="preserve">در </w:t>
      </w:r>
      <w:r w:rsidR="00551294">
        <w:rPr>
          <w:rFonts w:hint="cs"/>
          <w:rtl/>
        </w:rPr>
        <w:t>صحیحه دوم زراره امام علیه السلام فرموده‌اند</w:t>
      </w:r>
      <w:r w:rsidR="00551294" w:rsidRPr="00A50920">
        <w:rPr>
          <w:rFonts w:hint="cs"/>
          <w:rtl/>
        </w:rPr>
        <w:t>: «</w:t>
      </w:r>
      <w:r w:rsidR="00A50920" w:rsidRPr="00A50920">
        <w:rPr>
          <w:rFonts w:hint="cs"/>
          <w:rtl/>
        </w:rPr>
        <w:t>لِأَنَّكَ‏ كُنْتَ‏ عَلَى‏ يَقِينٍ‏ مِنْ‏ طَهَارَتِكَ‏ ثُمَّ شَكَكْتَ</w:t>
      </w:r>
      <w:r w:rsidR="00551294">
        <w:rPr>
          <w:rFonts w:hint="cs"/>
          <w:rtl/>
        </w:rPr>
        <w:t>»</w:t>
      </w:r>
      <w:r w:rsidR="00A50920">
        <w:rPr>
          <w:rStyle w:val="FootnoteReference"/>
          <w:rtl/>
        </w:rPr>
        <w:footnoteReference w:id="12"/>
      </w:r>
      <w:r w:rsidR="00A50920">
        <w:rPr>
          <w:rFonts w:hint="cs"/>
          <w:rtl/>
        </w:rPr>
        <w:t xml:space="preserve"> </w:t>
      </w:r>
      <w:r w:rsidR="00551294">
        <w:rPr>
          <w:rFonts w:hint="cs"/>
          <w:rtl/>
        </w:rPr>
        <w:t xml:space="preserve">در حالی که انسان یقین </w:t>
      </w:r>
      <w:r w:rsidR="00A50920">
        <w:rPr>
          <w:rFonts w:hint="cs"/>
          <w:rtl/>
        </w:rPr>
        <w:t xml:space="preserve">وجدانی </w:t>
      </w:r>
      <w:r w:rsidR="00551294">
        <w:rPr>
          <w:rFonts w:hint="cs"/>
          <w:rtl/>
        </w:rPr>
        <w:t xml:space="preserve">به طهارت بدن و لباس ندارد خصوصا در زمان قدیم که با آب </w:t>
      </w:r>
      <w:r w:rsidR="00A50920">
        <w:rPr>
          <w:rFonts w:hint="cs"/>
          <w:rtl/>
        </w:rPr>
        <w:t>قلیل و در تشت لباس را می‌شستند، و علم وجدانی به طهارت آن نداشتند.</w:t>
      </w:r>
    </w:p>
    <w:p w14:paraId="70F3D382" w14:textId="77777777" w:rsidR="00551294" w:rsidRDefault="00551294" w:rsidP="00A70E36">
      <w:pPr>
        <w:jc w:val="both"/>
        <w:rPr>
          <w:rtl/>
        </w:rPr>
      </w:pPr>
      <w:r>
        <w:rPr>
          <w:rFonts w:hint="cs"/>
          <w:rtl/>
        </w:rPr>
        <w:t>ان قلت:</w:t>
      </w:r>
      <w:r w:rsidR="00A70E36">
        <w:rPr>
          <w:rFonts w:hint="cs"/>
          <w:rtl/>
        </w:rPr>
        <w:t xml:space="preserve"> (شاید امام علیه السلام استصحاب عدم ملاقات با نجس را جاری فرمودند</w:t>
      </w:r>
      <w:r w:rsidR="00A50920">
        <w:rPr>
          <w:rFonts w:hint="cs"/>
          <w:rtl/>
        </w:rPr>
        <w:t>.</w:t>
      </w:r>
      <w:r w:rsidR="00A70E36">
        <w:rPr>
          <w:rFonts w:hint="cs"/>
          <w:rtl/>
        </w:rPr>
        <w:t>)</w:t>
      </w:r>
      <w:r w:rsidR="00A50920">
        <w:rPr>
          <w:rFonts w:hint="cs"/>
          <w:rtl/>
        </w:rPr>
        <w:t xml:space="preserve"> </w:t>
      </w:r>
    </w:p>
    <w:p w14:paraId="5506079B" w14:textId="77777777" w:rsidR="00551294" w:rsidRPr="00A50920" w:rsidRDefault="00551294" w:rsidP="006C5B16">
      <w:pPr>
        <w:jc w:val="both"/>
        <w:rPr>
          <w:color w:val="000000"/>
          <w:rtl/>
        </w:rPr>
      </w:pPr>
      <w:r>
        <w:rPr>
          <w:rFonts w:hint="cs"/>
          <w:rtl/>
        </w:rPr>
        <w:t xml:space="preserve">قلت: ظاهر </w:t>
      </w:r>
      <w:r w:rsidRPr="00A50920">
        <w:rPr>
          <w:rFonts w:hint="cs"/>
          <w:rtl/>
        </w:rPr>
        <w:t>«</w:t>
      </w:r>
      <w:r w:rsidR="00A50920" w:rsidRPr="00A50920">
        <w:rPr>
          <w:rFonts w:hint="cs"/>
          <w:rtl/>
        </w:rPr>
        <w:t xml:space="preserve"> لِأَنَّكَ‏ كُنْتَ‏ عَلَى‏ يَقِينٍ‏ مِنْ‏ طَهَارَتِكَ‏ ثُمَّ شَكَكْتَ</w:t>
      </w:r>
      <w:r w:rsidR="00A70E36">
        <w:rPr>
          <w:rFonts w:hint="cs"/>
          <w:rtl/>
        </w:rPr>
        <w:t>» است</w:t>
      </w:r>
      <w:r>
        <w:rPr>
          <w:rFonts w:hint="cs"/>
          <w:rtl/>
        </w:rPr>
        <w:t>ص</w:t>
      </w:r>
      <w:r w:rsidR="00A70E36">
        <w:rPr>
          <w:rFonts w:hint="cs"/>
          <w:rtl/>
        </w:rPr>
        <w:t>ح</w:t>
      </w:r>
      <w:r>
        <w:rPr>
          <w:rFonts w:hint="cs"/>
          <w:rtl/>
        </w:rPr>
        <w:t>اب خود طها</w:t>
      </w:r>
      <w:r w:rsidR="00A50920">
        <w:rPr>
          <w:rFonts w:hint="cs"/>
          <w:rtl/>
        </w:rPr>
        <w:t xml:space="preserve">رت است نه موضوع آن که عدم الملاقاة مع النجس باشد. </w:t>
      </w:r>
    </w:p>
    <w:p w14:paraId="635E9601" w14:textId="77777777" w:rsidR="00551294" w:rsidRDefault="00551294" w:rsidP="006C5B16">
      <w:pPr>
        <w:jc w:val="both"/>
        <w:rPr>
          <w:rtl/>
        </w:rPr>
      </w:pPr>
      <w:r>
        <w:rPr>
          <w:rFonts w:hint="cs"/>
          <w:rtl/>
        </w:rPr>
        <w:t xml:space="preserve">ان قلت: </w:t>
      </w:r>
      <w:r w:rsidR="00A50920">
        <w:rPr>
          <w:rFonts w:hint="cs"/>
          <w:rtl/>
        </w:rPr>
        <w:t>مراد استصحاب طهارت ظاهریه است.</w:t>
      </w:r>
    </w:p>
    <w:p w14:paraId="3EAD9641" w14:textId="77777777" w:rsidR="00551294" w:rsidRDefault="00551294" w:rsidP="006C5B16">
      <w:pPr>
        <w:jc w:val="both"/>
        <w:rPr>
          <w:rtl/>
        </w:rPr>
      </w:pPr>
      <w:r>
        <w:rPr>
          <w:rFonts w:hint="cs"/>
          <w:rtl/>
        </w:rPr>
        <w:t xml:space="preserve">قلت: </w:t>
      </w:r>
      <w:r w:rsidR="00A50920">
        <w:rPr>
          <w:rFonts w:hint="cs"/>
          <w:rtl/>
        </w:rPr>
        <w:t xml:space="preserve">موضوع طهارت ظاهریه </w:t>
      </w:r>
      <w:r>
        <w:rPr>
          <w:rFonts w:hint="cs"/>
          <w:rtl/>
        </w:rPr>
        <w:t xml:space="preserve">شک است </w:t>
      </w:r>
      <w:r w:rsidR="00A50920">
        <w:rPr>
          <w:rFonts w:hint="cs"/>
          <w:rtl/>
        </w:rPr>
        <w:t xml:space="preserve">و </w:t>
      </w:r>
      <w:r w:rsidR="00A70E36">
        <w:rPr>
          <w:rFonts w:hint="cs"/>
          <w:rtl/>
        </w:rPr>
        <w:t xml:space="preserve">اکنون نیز شک باقی است و قاعده طهارت جاری می شود و </w:t>
      </w:r>
      <w:r w:rsidR="00A50920">
        <w:rPr>
          <w:rFonts w:hint="cs"/>
          <w:rtl/>
        </w:rPr>
        <w:t>نیاز به استصحاب ندارد. بلکه مراد استصحاب طهارت واقعی</w:t>
      </w:r>
      <w:r>
        <w:rPr>
          <w:rFonts w:hint="cs"/>
          <w:rtl/>
        </w:rPr>
        <w:t>ه است وقتی گفته می‌</w:t>
      </w:r>
      <w:r w:rsidR="00A50920">
        <w:rPr>
          <w:rFonts w:hint="cs"/>
          <w:rtl/>
        </w:rPr>
        <w:t>شود یقین به آن دارید یعنی حجت بر</w:t>
      </w:r>
      <w:r>
        <w:rPr>
          <w:rFonts w:hint="cs"/>
          <w:rtl/>
        </w:rPr>
        <w:t xml:space="preserve"> آن دارید</w:t>
      </w:r>
      <w:r w:rsidR="00A50920" w:rsidRPr="001A5FDB">
        <w:rPr>
          <w:rStyle w:val="FootnoteReference"/>
          <w:rFonts w:ascii="NoorLotus" w:hAnsi="NoorLotus"/>
          <w:sz w:val="28"/>
          <w:rtl/>
        </w:rPr>
        <w:footnoteReference w:id="13"/>
      </w:r>
      <w:r>
        <w:rPr>
          <w:rFonts w:hint="cs"/>
          <w:rtl/>
        </w:rPr>
        <w:t xml:space="preserve">. </w:t>
      </w:r>
    </w:p>
    <w:p w14:paraId="246A190D" w14:textId="77777777" w:rsidR="00551294" w:rsidRDefault="00551294" w:rsidP="006C5B16">
      <w:pPr>
        <w:pStyle w:val="Heading3"/>
        <w:jc w:val="both"/>
        <w:rPr>
          <w:rtl/>
        </w:rPr>
      </w:pPr>
      <w:bookmarkStart w:id="7" w:name="_Toc136667240"/>
      <w:r>
        <w:rPr>
          <w:rFonts w:hint="cs"/>
          <w:rtl/>
        </w:rPr>
        <w:lastRenderedPageBreak/>
        <w:t>بررسی بیان اول:</w:t>
      </w:r>
      <w:bookmarkEnd w:id="7"/>
    </w:p>
    <w:p w14:paraId="154FCE9C" w14:textId="77777777" w:rsidR="007D4EE4" w:rsidRDefault="00E55E50" w:rsidP="006C5B16">
      <w:pPr>
        <w:jc w:val="both"/>
        <w:rPr>
          <w:rtl/>
        </w:rPr>
      </w:pPr>
      <w:r>
        <w:rPr>
          <w:rFonts w:hint="cs"/>
          <w:rtl/>
        </w:rPr>
        <w:t>این کلام تمام نیست زیرا:</w:t>
      </w:r>
      <w:r w:rsidR="00304B5A">
        <w:rPr>
          <w:rFonts w:hint="cs"/>
          <w:rtl/>
        </w:rPr>
        <w:t xml:space="preserve"> </w:t>
      </w:r>
      <w:r>
        <w:rPr>
          <w:rFonts w:hint="cs"/>
          <w:rtl/>
        </w:rPr>
        <w:t xml:space="preserve">این که </w:t>
      </w:r>
      <w:r w:rsidR="007D4EE4">
        <w:rPr>
          <w:rFonts w:hint="cs"/>
          <w:rtl/>
        </w:rPr>
        <w:t xml:space="preserve">ایشان فرموده‌اند: </w:t>
      </w:r>
      <w:r>
        <w:rPr>
          <w:rFonts w:hint="cs"/>
          <w:rtl/>
        </w:rPr>
        <w:t>«</w:t>
      </w:r>
      <w:r w:rsidR="007C3A83">
        <w:rPr>
          <w:rFonts w:hint="cs"/>
          <w:rtl/>
        </w:rPr>
        <w:t>متعارف بین عقلاء و متش</w:t>
      </w:r>
      <w:r w:rsidR="007D4EE4">
        <w:rPr>
          <w:rFonts w:hint="cs"/>
          <w:rtl/>
        </w:rPr>
        <w:t>رعه اعتماد بر طرق معتبر است»</w:t>
      </w:r>
      <w:r>
        <w:rPr>
          <w:rFonts w:hint="cs"/>
          <w:rtl/>
        </w:rPr>
        <w:t xml:space="preserve"> درست است ولی این که</w:t>
      </w:r>
      <w:r w:rsidR="007D4EE4">
        <w:rPr>
          <w:rFonts w:hint="cs"/>
          <w:rtl/>
        </w:rPr>
        <w:t xml:space="preserve"> </w:t>
      </w:r>
      <w:r>
        <w:rPr>
          <w:rFonts w:hint="cs"/>
          <w:rtl/>
        </w:rPr>
        <w:t>آن‌ها براساس طرق معتبر فتوا به حکم واقعی می‌دادند،</w:t>
      </w:r>
      <w:r w:rsidR="007D4EE4">
        <w:rPr>
          <w:rFonts w:hint="cs"/>
          <w:rtl/>
        </w:rPr>
        <w:t xml:space="preserve"> معلوم نیست بلکه</w:t>
      </w:r>
      <w:r>
        <w:rPr>
          <w:rFonts w:hint="cs"/>
          <w:rtl/>
        </w:rPr>
        <w:t xml:space="preserve"> براساس اماره و استصحاب و اصل عملی فتوا به وظیفه‌ی </w:t>
      </w:r>
      <w:r w:rsidR="007C3A83">
        <w:rPr>
          <w:rFonts w:hint="cs"/>
          <w:rtl/>
        </w:rPr>
        <w:t xml:space="preserve">ظاهریه </w:t>
      </w:r>
      <w:r>
        <w:rPr>
          <w:rFonts w:hint="cs"/>
          <w:rtl/>
        </w:rPr>
        <w:t xml:space="preserve">فعلیه می‌دادند. </w:t>
      </w:r>
      <w:r w:rsidR="007D4EE4">
        <w:rPr>
          <w:rFonts w:hint="cs"/>
          <w:rtl/>
        </w:rPr>
        <w:t xml:space="preserve"> </w:t>
      </w:r>
    </w:p>
    <w:p w14:paraId="31B5E3B4" w14:textId="77777777" w:rsidR="007D4EE4" w:rsidRPr="00E55E50" w:rsidRDefault="007D4EE4" w:rsidP="006C5B16">
      <w:pPr>
        <w:jc w:val="both"/>
        <w:rPr>
          <w:rFonts w:ascii="Traditional Arabic" w:hAnsi="Traditional Arabic" w:cs="Traditional Arabic"/>
          <w:color w:val="242887"/>
          <w:sz w:val="30"/>
          <w:szCs w:val="30"/>
          <w:rtl/>
        </w:rPr>
      </w:pPr>
      <w:r>
        <w:rPr>
          <w:rFonts w:hint="cs"/>
          <w:rtl/>
        </w:rPr>
        <w:t>پس ای</w:t>
      </w:r>
      <w:r w:rsidR="00E55E50">
        <w:rPr>
          <w:rFonts w:hint="cs"/>
          <w:rtl/>
        </w:rPr>
        <w:t>ن که علم مثال برای مطلق کاشف</w:t>
      </w:r>
      <w:r>
        <w:rPr>
          <w:rFonts w:hint="cs"/>
          <w:rtl/>
        </w:rPr>
        <w:t xml:space="preserve"> ولو مثل استصحاب و قاعده‌ی طهارت</w:t>
      </w:r>
      <w:r w:rsidR="00E55E50">
        <w:rPr>
          <w:rFonts w:hint="cs"/>
          <w:rtl/>
        </w:rPr>
        <w:t xml:space="preserve"> باشد</w:t>
      </w:r>
      <w:r>
        <w:rPr>
          <w:rFonts w:hint="cs"/>
          <w:rtl/>
        </w:rPr>
        <w:t>، تمام نیست. در همان صحیحه دوم زراره نیز وقتی با آب قلیل لباس شسته می‌شود اعتماد بر استصحاب طهارت یا قاعده‌ی طهارت می‌شود نه این که اماره بر طهارت آن باشد</w:t>
      </w:r>
      <w:r w:rsidR="00E55E50">
        <w:rPr>
          <w:rFonts w:hint="cs"/>
          <w:rtl/>
        </w:rPr>
        <w:t xml:space="preserve"> و این که لفظ علم مثال باشد برای اصل محرز مثل استصحاب که نسبت به واقع یک نوع احرازی دارد یعنی می‌گوید آثار واقع را بار کنید، </w:t>
      </w:r>
      <w:r>
        <w:rPr>
          <w:rFonts w:hint="cs"/>
          <w:rtl/>
        </w:rPr>
        <w:t xml:space="preserve">یا </w:t>
      </w:r>
      <w:r w:rsidR="00E55E50">
        <w:rPr>
          <w:rFonts w:hint="cs"/>
          <w:rtl/>
        </w:rPr>
        <w:t xml:space="preserve">برای </w:t>
      </w:r>
      <w:r>
        <w:rPr>
          <w:rFonts w:hint="cs"/>
          <w:rtl/>
        </w:rPr>
        <w:t>اصل تنزیلی مثل قاعده‌ی طهارت</w:t>
      </w:r>
      <w:r w:rsidR="007C3A83">
        <w:rPr>
          <w:rFonts w:hint="cs"/>
          <w:rtl/>
        </w:rPr>
        <w:t xml:space="preserve"> که مشکوک را به منزله واقع تنزیل می‌کند</w:t>
      </w:r>
      <w:r w:rsidR="00E55E50">
        <w:rPr>
          <w:rFonts w:hint="cs"/>
          <w:rtl/>
        </w:rPr>
        <w:t>، مشکل است، و عرف علم</w:t>
      </w:r>
      <w:r>
        <w:rPr>
          <w:rFonts w:hint="cs"/>
          <w:rtl/>
        </w:rPr>
        <w:t xml:space="preserve"> </w:t>
      </w:r>
      <w:r w:rsidRPr="00E55E50">
        <w:rPr>
          <w:rFonts w:hint="cs"/>
          <w:rtl/>
        </w:rPr>
        <w:t>در «</w:t>
      </w:r>
      <w:r w:rsidR="00E55E50" w:rsidRPr="00E55E50">
        <w:rPr>
          <w:rFonts w:hint="cs"/>
          <w:rtl/>
        </w:rPr>
        <w:t>لَا تَقُلْ‏ مَا لَا تَعْلَم</w:t>
      </w:r>
      <w:r w:rsidR="00E55E50">
        <w:rPr>
          <w:rFonts w:ascii="Traditional Arabic" w:hAnsi="Traditional Arabic" w:cs="Traditional Arabic" w:hint="cs"/>
          <w:color w:val="D30000"/>
          <w:sz w:val="30"/>
          <w:szCs w:val="30"/>
          <w:rtl/>
        </w:rPr>
        <w:t>‏</w:t>
      </w:r>
      <w:r>
        <w:rPr>
          <w:rFonts w:hint="cs"/>
          <w:rtl/>
        </w:rPr>
        <w:t>»</w:t>
      </w:r>
      <w:r w:rsidR="00E55E50">
        <w:rPr>
          <w:rStyle w:val="FootnoteReference"/>
          <w:rtl/>
        </w:rPr>
        <w:footnoteReference w:id="14"/>
      </w:r>
      <w:r w:rsidR="00E55E50">
        <w:rPr>
          <w:rFonts w:hint="cs"/>
          <w:rtl/>
        </w:rPr>
        <w:t xml:space="preserve">  </w:t>
      </w:r>
      <w:r w:rsidR="006E1A9C">
        <w:rPr>
          <w:rFonts w:hint="cs"/>
          <w:rtl/>
        </w:rPr>
        <w:t xml:space="preserve">را </w:t>
      </w:r>
      <w:r w:rsidR="00E55E50">
        <w:rPr>
          <w:rFonts w:hint="cs"/>
          <w:rtl/>
        </w:rPr>
        <w:t xml:space="preserve">مثال برای مطلق حجت </w:t>
      </w:r>
      <w:r>
        <w:rPr>
          <w:rFonts w:hint="cs"/>
          <w:rtl/>
        </w:rPr>
        <w:t>که شامل اصل محرز مثل استصحاب یا قاعده‌ی</w:t>
      </w:r>
      <w:r w:rsidR="00E55E50">
        <w:rPr>
          <w:rFonts w:hint="cs"/>
          <w:rtl/>
        </w:rPr>
        <w:t xml:space="preserve"> ید</w:t>
      </w:r>
      <w:r>
        <w:rPr>
          <w:rFonts w:hint="cs"/>
          <w:rtl/>
        </w:rPr>
        <w:t xml:space="preserve"> یا اصل تنزیلی مثل قاعده‌ی طهارت</w:t>
      </w:r>
      <w:r w:rsidR="00E55E50">
        <w:rPr>
          <w:rFonts w:hint="cs"/>
          <w:rtl/>
        </w:rPr>
        <w:t xml:space="preserve"> شود، نمی‌داند.</w:t>
      </w:r>
    </w:p>
    <w:p w14:paraId="29ED509A" w14:textId="77777777" w:rsidR="007D4EE4" w:rsidRDefault="00222F52" w:rsidP="00222F52">
      <w:pPr>
        <w:pStyle w:val="Heading2"/>
        <w:rPr>
          <w:rtl/>
        </w:rPr>
      </w:pPr>
      <w:bookmarkStart w:id="8" w:name="_Toc136667241"/>
      <w:r>
        <w:rPr>
          <w:rFonts w:hint="cs"/>
          <w:rtl/>
        </w:rPr>
        <w:t>نظر مختار استاد با تعدیل</w:t>
      </w:r>
      <w:r w:rsidR="00304B5A">
        <w:rPr>
          <w:rFonts w:hint="cs"/>
          <w:rtl/>
        </w:rPr>
        <w:t xml:space="preserve"> بیان مرحوم امام رحمه الله </w:t>
      </w:r>
      <w:bookmarkEnd w:id="8"/>
    </w:p>
    <w:p w14:paraId="1039E01E" w14:textId="77777777" w:rsidR="007D4EE4" w:rsidRDefault="007D4EE4" w:rsidP="006C5B16">
      <w:pPr>
        <w:jc w:val="both"/>
        <w:rPr>
          <w:rtl/>
        </w:rPr>
      </w:pPr>
      <w:r>
        <w:rPr>
          <w:rFonts w:hint="cs"/>
          <w:rtl/>
        </w:rPr>
        <w:t xml:space="preserve">مرحوم خویی وشهید صدر رحمه الله فرموده‌اند: ظاهر لفظ علم همان علم وجدانی است و وجهی برای حمل آن بر مطلق طریق معتبر وجود ندارد. </w:t>
      </w:r>
    </w:p>
    <w:p w14:paraId="17578CE8" w14:textId="77777777" w:rsidR="007D4EE4" w:rsidRDefault="007D4EE4" w:rsidP="00527681">
      <w:pPr>
        <w:jc w:val="both"/>
        <w:rPr>
          <w:rtl/>
        </w:rPr>
      </w:pPr>
      <w:r>
        <w:rPr>
          <w:rFonts w:hint="cs"/>
          <w:rtl/>
        </w:rPr>
        <w:t xml:space="preserve">لکن بعید نیست که علم در کتاب و سنت ظهور در مطلق کاشف </w:t>
      </w:r>
      <w:r w:rsidR="00304B5A">
        <w:rPr>
          <w:rFonts w:hint="cs"/>
          <w:rtl/>
        </w:rPr>
        <w:t xml:space="preserve">معتبر </w:t>
      </w:r>
      <w:r>
        <w:rPr>
          <w:rFonts w:hint="cs"/>
          <w:rtl/>
        </w:rPr>
        <w:t>عقلایی از واقع</w:t>
      </w:r>
      <w:r w:rsidR="00304B5A">
        <w:rPr>
          <w:rFonts w:hint="cs"/>
          <w:rtl/>
        </w:rPr>
        <w:t>، داشته</w:t>
      </w:r>
      <w:r>
        <w:rPr>
          <w:rFonts w:hint="cs"/>
          <w:rtl/>
        </w:rPr>
        <w:t xml:space="preserve"> </w:t>
      </w:r>
      <w:r w:rsidR="006E1A49">
        <w:rPr>
          <w:rFonts w:hint="cs"/>
          <w:rtl/>
        </w:rPr>
        <w:t>باشد</w:t>
      </w:r>
      <w:r w:rsidR="00304B5A">
        <w:rPr>
          <w:rFonts w:hint="cs"/>
          <w:rtl/>
        </w:rPr>
        <w:t xml:space="preserve"> نه اصل عملی مثل استصحاب. لذا</w:t>
      </w:r>
      <w:r w:rsidR="006E1A49">
        <w:rPr>
          <w:rFonts w:hint="cs"/>
          <w:rtl/>
        </w:rPr>
        <w:t xml:space="preserve"> اگر شخص براساس اقرار </w:t>
      </w:r>
      <w:r w:rsidR="00527681">
        <w:rPr>
          <w:rFonts w:hint="cs"/>
          <w:rtl/>
        </w:rPr>
        <w:t>یا</w:t>
      </w:r>
      <w:r w:rsidR="006E1A49">
        <w:rPr>
          <w:rFonts w:hint="cs"/>
          <w:rtl/>
        </w:rPr>
        <w:t xml:space="preserve"> بینه </w:t>
      </w:r>
      <w:r w:rsidR="00527681">
        <w:rPr>
          <w:rFonts w:hint="cs"/>
          <w:rtl/>
        </w:rPr>
        <w:t>یا</w:t>
      </w:r>
      <w:r w:rsidR="006E1A49">
        <w:rPr>
          <w:rFonts w:hint="cs"/>
          <w:rtl/>
        </w:rPr>
        <w:t xml:space="preserve"> ظهور چیزی را بفه</w:t>
      </w:r>
      <w:r w:rsidR="00527681">
        <w:rPr>
          <w:rFonts w:hint="cs"/>
          <w:rtl/>
        </w:rPr>
        <w:t>مد و به آن خبر دهد -مثل این که</w:t>
      </w:r>
      <w:r w:rsidR="0049623C">
        <w:rPr>
          <w:rFonts w:hint="cs"/>
          <w:rtl/>
        </w:rPr>
        <w:t xml:space="preserve"> مولی عامی را بیان کرده است و عبد </w:t>
      </w:r>
      <w:r w:rsidR="00527681">
        <w:rPr>
          <w:rFonts w:hint="cs"/>
          <w:rtl/>
        </w:rPr>
        <w:t xml:space="preserve">با این که </w:t>
      </w:r>
      <w:r w:rsidR="0049623C">
        <w:rPr>
          <w:rFonts w:hint="cs"/>
          <w:rtl/>
        </w:rPr>
        <w:t>احتمال تخصیص آن ر</w:t>
      </w:r>
      <w:r w:rsidR="00527681">
        <w:rPr>
          <w:rFonts w:hint="cs"/>
          <w:rtl/>
        </w:rPr>
        <w:t>ا می‌دهد، بر اساس عام خبر بدهند-عرف نمی‌گوید: چرا کلامی که نمی‌دانی را بیان می‌کنی؟!</w:t>
      </w:r>
    </w:p>
    <w:p w14:paraId="14C567FE" w14:textId="77777777" w:rsidR="006E1A49" w:rsidRDefault="0049623C" w:rsidP="0049623C">
      <w:pPr>
        <w:jc w:val="both"/>
        <w:rPr>
          <w:rtl/>
        </w:rPr>
      </w:pPr>
      <w:r>
        <w:rPr>
          <w:rFonts w:hint="cs"/>
          <w:rtl/>
        </w:rPr>
        <w:t xml:space="preserve">و اگر طریقی، </w:t>
      </w:r>
      <w:r w:rsidR="006E1A49">
        <w:rPr>
          <w:rFonts w:hint="cs"/>
          <w:rtl/>
        </w:rPr>
        <w:t xml:space="preserve">طریق معتبر شرعی بود </w:t>
      </w:r>
      <w:r>
        <w:rPr>
          <w:rFonts w:hint="cs"/>
          <w:rtl/>
        </w:rPr>
        <w:t xml:space="preserve">نه طریق معتبر عقلایی </w:t>
      </w:r>
      <w:r w:rsidR="006E1A49">
        <w:rPr>
          <w:rFonts w:hint="cs"/>
          <w:rtl/>
        </w:rPr>
        <w:t>مثل خبر ثقه بنابر این که اعتب</w:t>
      </w:r>
      <w:r w:rsidR="00304B5A">
        <w:rPr>
          <w:rFonts w:hint="cs"/>
          <w:rtl/>
        </w:rPr>
        <w:t xml:space="preserve">ار آن </w:t>
      </w:r>
      <w:r>
        <w:rPr>
          <w:rFonts w:hint="cs"/>
          <w:rtl/>
        </w:rPr>
        <w:t xml:space="preserve">(تنها) </w:t>
      </w:r>
      <w:r w:rsidR="00304B5A">
        <w:rPr>
          <w:rFonts w:hint="cs"/>
          <w:rtl/>
        </w:rPr>
        <w:t>از شارع استفاده شود، از باب الحاق شارع ملحق به طریق عقلایی می‌شود. که ان‌شاء الله بعدا آن را بحث خواهیم کرد.</w:t>
      </w:r>
    </w:p>
    <w:p w14:paraId="7433283A" w14:textId="77777777" w:rsidR="006E1A49" w:rsidRDefault="00304B5A" w:rsidP="006C5B16">
      <w:pPr>
        <w:pStyle w:val="Heading3"/>
        <w:jc w:val="both"/>
        <w:rPr>
          <w:rtl/>
        </w:rPr>
      </w:pPr>
      <w:bookmarkStart w:id="9" w:name="_Toc136667242"/>
      <w:r>
        <w:rPr>
          <w:rFonts w:hint="cs"/>
          <w:rtl/>
        </w:rPr>
        <w:t>بیان دوم: بیان آیت الله سیستانی حفظه الله از تقریب اول</w:t>
      </w:r>
      <w:bookmarkEnd w:id="9"/>
    </w:p>
    <w:p w14:paraId="699B38AC" w14:textId="77777777" w:rsidR="006E1A49" w:rsidRPr="00551294" w:rsidRDefault="00304B5A" w:rsidP="00EF4738">
      <w:pPr>
        <w:jc w:val="both"/>
        <w:rPr>
          <w:rtl/>
        </w:rPr>
      </w:pPr>
      <w:r>
        <w:rPr>
          <w:rFonts w:hint="cs"/>
          <w:rtl/>
        </w:rPr>
        <w:t xml:space="preserve">آیت الله سیستانی حفظه الله فرموده‌اند: یکی از آثار منفی ورود فلسفه یونان به حوزه‌ی مسلمین تحریف مفاهیم عرفی موجود در کتاب و سنت بود. مثلا علم در کتاب و </w:t>
      </w:r>
      <w:r w:rsidR="00C755DA">
        <w:rPr>
          <w:rFonts w:hint="cs"/>
          <w:rtl/>
        </w:rPr>
        <w:t>سنت</w:t>
      </w:r>
      <w:r>
        <w:rPr>
          <w:rFonts w:hint="cs"/>
          <w:rtl/>
        </w:rPr>
        <w:t xml:space="preserve"> به معنای </w:t>
      </w:r>
      <w:r w:rsidR="00C755DA">
        <w:rPr>
          <w:rFonts w:hint="cs"/>
          <w:rtl/>
        </w:rPr>
        <w:t>وضوح</w:t>
      </w:r>
      <w:r w:rsidR="006E1A49">
        <w:rPr>
          <w:rFonts w:hint="cs"/>
          <w:rtl/>
        </w:rPr>
        <w:t xml:space="preserve"> و روشنایی است اعم </w:t>
      </w:r>
      <w:r>
        <w:rPr>
          <w:rFonts w:hint="cs"/>
          <w:rtl/>
        </w:rPr>
        <w:t>از این که نا</w:t>
      </w:r>
      <w:r w:rsidR="00C755DA">
        <w:rPr>
          <w:rFonts w:hint="cs"/>
          <w:rtl/>
        </w:rPr>
        <w:t xml:space="preserve">شی از علم وجدانی باشد یا طریق </w:t>
      </w:r>
      <w:r w:rsidR="00C755DA">
        <w:rPr>
          <w:rFonts w:hint="cs"/>
          <w:rtl/>
        </w:rPr>
        <w:lastRenderedPageBreak/>
        <w:t>عقلایی،</w:t>
      </w:r>
      <w:r>
        <w:rPr>
          <w:rFonts w:hint="cs"/>
          <w:rtl/>
        </w:rPr>
        <w:t xml:space="preserve"> «انت عالم» یعنی «انت بصیر، واضح عندک» در حالی که بعد از ورود فلسفه یونان به حوزه مسلمین </w:t>
      </w:r>
      <w:r w:rsidR="00C755DA">
        <w:rPr>
          <w:rFonts w:hint="cs"/>
          <w:rtl/>
        </w:rPr>
        <w:t>علم به معنای اعتقاد جازم</w:t>
      </w:r>
      <w:r>
        <w:rPr>
          <w:rFonts w:hint="cs"/>
          <w:rtl/>
        </w:rPr>
        <w:t xml:space="preserve"> و ظن به معنای اعتقاد راجح شد. </w:t>
      </w:r>
      <w:r w:rsidR="008D4D2D">
        <w:rPr>
          <w:rFonts w:hint="cs"/>
          <w:rtl/>
        </w:rPr>
        <w:t>در حالی که در عرف اسلام اعتقاد ناشی از مناشئ غیر عقلائیه ولو اعتقاد جازم باشد، ظن است لذا قرآن در موارد مختلف راجع به کفار و مشرکین فرموده است «</w:t>
      </w:r>
      <w:r w:rsidR="008D4D2D">
        <w:rPr>
          <w:rFonts w:ascii="Traditional Arabic" w:hAnsi="Traditional Arabic" w:cs="Traditional Arabic" w:hint="cs"/>
          <w:color w:val="000000"/>
          <w:sz w:val="30"/>
          <w:szCs w:val="30"/>
          <w:rtl/>
        </w:rPr>
        <w:t>وَ ما لَهُمْ بِذلِكَ مِنْ‏ عِلْمٍ‏ إِنْ هُمْ إِلاَّ يَظُنُّونَ</w:t>
      </w:r>
      <w:r w:rsidR="008D4D2D">
        <w:rPr>
          <w:rFonts w:hint="cs"/>
          <w:rtl/>
        </w:rPr>
        <w:t>»</w:t>
      </w:r>
      <w:r w:rsidR="008D4D2D">
        <w:rPr>
          <w:rStyle w:val="FootnoteReference"/>
          <w:rtl/>
        </w:rPr>
        <w:footnoteReference w:id="15"/>
      </w:r>
      <w:r w:rsidR="00EF4738">
        <w:rPr>
          <w:rFonts w:hint="cs"/>
          <w:rtl/>
        </w:rPr>
        <w:t xml:space="preserve"> با این که برخی از آنها </w:t>
      </w:r>
      <w:r w:rsidR="00EF4738">
        <w:rPr>
          <w:rFonts w:hint="cs"/>
          <w:sz w:val="34"/>
          <w:rtl/>
        </w:rPr>
        <w:t>چنان اعتقاد جازم دارند که اصلا شک نمی‌کنند</w:t>
      </w:r>
      <w:r w:rsidR="008D4D2D">
        <w:rPr>
          <w:rFonts w:hint="cs"/>
          <w:rtl/>
        </w:rPr>
        <w:t>.</w:t>
      </w:r>
      <w:r w:rsidR="008D4D2D" w:rsidRPr="001A5FDB">
        <w:rPr>
          <w:rStyle w:val="FootnoteReference"/>
          <w:rFonts w:ascii="NoorLotus" w:hAnsi="NoorLotus"/>
          <w:sz w:val="28"/>
          <w:rtl/>
        </w:rPr>
        <w:footnoteReference w:id="16"/>
      </w:r>
      <w:r w:rsidR="008D4D2D">
        <w:rPr>
          <w:rFonts w:hint="cs"/>
          <w:rtl/>
        </w:rPr>
        <w:t xml:space="preserve"> </w:t>
      </w:r>
    </w:p>
    <w:sectPr w:rsidR="006E1A49" w:rsidRPr="00551294" w:rsidSect="00CC5AA9">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61C2" w14:textId="77777777" w:rsidR="00182A17" w:rsidRDefault="00182A17" w:rsidP="00551294">
      <w:pPr>
        <w:spacing w:after="0"/>
      </w:pPr>
      <w:r>
        <w:separator/>
      </w:r>
    </w:p>
  </w:endnote>
  <w:endnote w:type="continuationSeparator" w:id="0">
    <w:p w14:paraId="757F9EE5" w14:textId="77777777" w:rsidR="00182A17" w:rsidRDefault="00182A17" w:rsidP="005512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970881"/>
      <w:docPartObj>
        <w:docPartGallery w:val="Page Numbers (Bottom of Page)"/>
        <w:docPartUnique/>
      </w:docPartObj>
    </w:sdtPr>
    <w:sdtEndPr>
      <w:rPr>
        <w:noProof/>
      </w:rPr>
    </w:sdtEndPr>
    <w:sdtContent>
      <w:p w14:paraId="6949DF2F" w14:textId="77777777" w:rsidR="003C5176" w:rsidRDefault="003C5176">
        <w:pPr>
          <w:pStyle w:val="Footer"/>
          <w:jc w:val="center"/>
        </w:pPr>
        <w:r>
          <w:fldChar w:fldCharType="begin"/>
        </w:r>
        <w:r>
          <w:instrText xml:space="preserve"> PAGE   \* MERGEFORMAT </w:instrText>
        </w:r>
        <w:r>
          <w:fldChar w:fldCharType="separate"/>
        </w:r>
        <w:r w:rsidR="00CA53AA">
          <w:rPr>
            <w:noProof/>
          </w:rPr>
          <w:t>6</w:t>
        </w:r>
        <w:r>
          <w:rPr>
            <w:noProof/>
          </w:rPr>
          <w:fldChar w:fldCharType="end"/>
        </w:r>
      </w:p>
    </w:sdtContent>
  </w:sdt>
  <w:p w14:paraId="52040C54" w14:textId="77777777" w:rsidR="00CC5AA9" w:rsidRDefault="00CC5A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0537" w14:textId="77777777" w:rsidR="00182A17" w:rsidRDefault="00182A17" w:rsidP="00551294">
      <w:pPr>
        <w:spacing w:after="0"/>
      </w:pPr>
      <w:r>
        <w:separator/>
      </w:r>
    </w:p>
  </w:footnote>
  <w:footnote w:type="continuationSeparator" w:id="0">
    <w:p w14:paraId="7B89F23C" w14:textId="77777777" w:rsidR="00182A17" w:rsidRDefault="00182A17" w:rsidP="00551294">
      <w:pPr>
        <w:spacing w:after="0"/>
      </w:pPr>
      <w:r>
        <w:continuationSeparator/>
      </w:r>
    </w:p>
  </w:footnote>
  <w:footnote w:id="1">
    <w:p w14:paraId="1C9ED227" w14:textId="77777777" w:rsidR="00CC5AA9" w:rsidRDefault="00CC5AA9">
      <w:pPr>
        <w:pStyle w:val="FootnoteText"/>
        <w:rPr>
          <w:rtl/>
        </w:rPr>
      </w:pPr>
      <w:r>
        <w:rPr>
          <w:rStyle w:val="FootnoteReference"/>
        </w:rPr>
        <w:footnoteRef/>
      </w:r>
      <w:r>
        <w:rPr>
          <w:rtl/>
        </w:rPr>
        <w:t xml:space="preserve"> </w:t>
      </w:r>
      <w:r>
        <w:rPr>
          <w:rFonts w:hint="cs"/>
          <w:rtl/>
        </w:rPr>
        <w:t xml:space="preserve">مصباح الاصول(طبع موسسة احیاء آثار السید الخوئی)، </w:t>
      </w:r>
      <w:r w:rsidR="00BA06AF" w:rsidRPr="00BA06AF">
        <w:rPr>
          <w:rFonts w:hint="cs"/>
          <w:rtl/>
        </w:rPr>
        <w:t>خویی، ابوالقاسم، ج1، ص</w:t>
      </w:r>
      <w:r w:rsidR="00BA06AF">
        <w:t>35-36</w:t>
      </w:r>
      <w:r w:rsidR="00BA06AF">
        <w:rPr>
          <w:rFonts w:hint="cs"/>
          <w:rtl/>
        </w:rPr>
        <w:t>.</w:t>
      </w:r>
    </w:p>
  </w:footnote>
  <w:footnote w:id="2">
    <w:p w14:paraId="13F0E4B0" w14:textId="77777777" w:rsidR="00CC5AA9" w:rsidRDefault="00CC5AA9">
      <w:pPr>
        <w:pStyle w:val="FootnoteText"/>
      </w:pPr>
      <w:r>
        <w:rPr>
          <w:rStyle w:val="FootnoteReference"/>
        </w:rPr>
        <w:footnoteRef/>
      </w:r>
      <w:r>
        <w:rPr>
          <w:rtl/>
        </w:rPr>
        <w:t xml:space="preserve"> </w:t>
      </w:r>
      <w:r w:rsidR="008D4D2D">
        <w:rPr>
          <w:rFonts w:hint="cs"/>
          <w:rtl/>
        </w:rPr>
        <w:t>فوائد الاصول، نائینی، محمد حسین، ج1، ص32.</w:t>
      </w:r>
    </w:p>
  </w:footnote>
  <w:footnote w:id="3">
    <w:p w14:paraId="1B81FAAC" w14:textId="77777777" w:rsidR="00CC5AA9" w:rsidRDefault="00CC5AA9">
      <w:pPr>
        <w:pStyle w:val="FootnoteText"/>
      </w:pPr>
      <w:r>
        <w:rPr>
          <w:rStyle w:val="FootnoteReference"/>
        </w:rPr>
        <w:footnoteRef/>
      </w:r>
      <w:r>
        <w:rPr>
          <w:rtl/>
        </w:rPr>
        <w:t xml:space="preserve"> </w:t>
      </w:r>
      <w:r w:rsidR="008D4D2D">
        <w:rPr>
          <w:rFonts w:hint="cs"/>
          <w:rtl/>
        </w:rPr>
        <w:t>نهایة الافکار، عراقی، ضیاء الدین، ج3، ص23.</w:t>
      </w:r>
    </w:p>
  </w:footnote>
  <w:footnote w:id="4">
    <w:p w14:paraId="647A5DF1" w14:textId="77777777" w:rsidR="00CC5AA9" w:rsidRDefault="00CC5AA9" w:rsidP="008C7B80">
      <w:pPr>
        <w:pStyle w:val="FootnoteText"/>
      </w:pPr>
      <w:r>
        <w:rPr>
          <w:rStyle w:val="FootnoteReference"/>
        </w:rPr>
        <w:footnoteRef/>
      </w:r>
      <w:r>
        <w:rPr>
          <w:rtl/>
        </w:rPr>
        <w:t xml:space="preserve"> </w:t>
      </w:r>
      <w:r>
        <w:rPr>
          <w:rFonts w:hint="cs"/>
          <w:rtl/>
        </w:rPr>
        <w:t xml:space="preserve">مصباح الاصول(طبع موسسة احیاء آثار السید الخوئی)، </w:t>
      </w:r>
      <w:r w:rsidR="008D4D2D" w:rsidRPr="008D4D2D">
        <w:rPr>
          <w:rFonts w:hint="cs"/>
          <w:rtl/>
        </w:rPr>
        <w:t>خویی، ابوالقاسم، ج1، ص</w:t>
      </w:r>
      <w:r w:rsidR="00BA06AF">
        <w:rPr>
          <w:rFonts w:hint="cs"/>
          <w:rtl/>
        </w:rPr>
        <w:t>42</w:t>
      </w:r>
      <w:r w:rsidR="008D4D2D">
        <w:rPr>
          <w:rFonts w:hint="cs"/>
          <w:rtl/>
        </w:rPr>
        <w:t>.</w:t>
      </w:r>
    </w:p>
  </w:footnote>
  <w:footnote w:id="5">
    <w:p w14:paraId="4572CF00" w14:textId="77777777" w:rsidR="00CC5AA9" w:rsidRPr="000D356F" w:rsidRDefault="00CC5AA9" w:rsidP="008C7B80">
      <w:pPr>
        <w:pStyle w:val="FootnoteText"/>
      </w:pPr>
      <w:r w:rsidRPr="000D356F">
        <w:rPr>
          <w:rStyle w:val="FootnoteReference"/>
          <w:rtl/>
        </w:rPr>
        <w:footnoteRef/>
      </w:r>
      <w:r w:rsidRPr="000D356F">
        <w:rPr>
          <w:rStyle w:val="FootnoteReference"/>
          <w:rtl/>
        </w:rPr>
        <w:t xml:space="preserve"> </w:t>
      </w:r>
      <w:r w:rsidR="008D4D2D">
        <w:t xml:space="preserve"> </w:t>
      </w:r>
      <w:r w:rsidRPr="000D356F">
        <w:rPr>
          <w:rtl/>
        </w:rPr>
        <w:t>كفايةالأصول</w:t>
      </w:r>
      <w:r w:rsidR="008D4D2D">
        <w:t xml:space="preserve"> </w:t>
      </w:r>
      <w:r w:rsidR="008D4D2D">
        <w:rPr>
          <w:rFonts w:hint="cs"/>
          <w:rtl/>
        </w:rPr>
        <w:t>(طبع آل البیت)، آخوند خراسانی، محمد کاظم بن حسین،</w:t>
      </w:r>
      <w:r w:rsidR="008D4D2D">
        <w:rPr>
          <w:rtl/>
        </w:rPr>
        <w:t xml:space="preserve"> ص</w:t>
      </w:r>
      <w:r w:rsidRPr="000D356F">
        <w:rPr>
          <w:rtl/>
        </w:rPr>
        <w:t>265</w:t>
      </w:r>
      <w:r w:rsidR="008D4D2D">
        <w:rPr>
          <w:rFonts w:hint="cs"/>
          <w:rtl/>
        </w:rPr>
        <w:t>.</w:t>
      </w:r>
    </w:p>
  </w:footnote>
  <w:footnote w:id="6">
    <w:p w14:paraId="607C14C8" w14:textId="77777777" w:rsidR="00CC5AA9" w:rsidRPr="000D356F" w:rsidRDefault="00CC5AA9" w:rsidP="008C7B80">
      <w:pPr>
        <w:pStyle w:val="FootnoteText"/>
        <w:rPr>
          <w:rtl/>
        </w:rPr>
      </w:pPr>
      <w:r w:rsidRPr="000D356F">
        <w:rPr>
          <w:rStyle w:val="FootnoteReference"/>
          <w:rtl/>
        </w:rPr>
        <w:footnoteRef/>
      </w:r>
      <w:r w:rsidRPr="000D356F">
        <w:rPr>
          <w:rStyle w:val="FootnoteReference"/>
          <w:rtl/>
        </w:rPr>
        <w:t xml:space="preserve"> </w:t>
      </w:r>
      <w:r w:rsidR="008D4D2D">
        <w:rPr>
          <w:rtl/>
        </w:rPr>
        <w:t>بحوث في علم الاصول ج 4ص</w:t>
      </w:r>
      <w:r w:rsidR="008D4D2D">
        <w:t>79-84</w:t>
      </w:r>
      <w:r w:rsidR="008D4D2D">
        <w:rPr>
          <w:rFonts w:hint="cs"/>
          <w:rtl/>
        </w:rPr>
        <w:t>.</w:t>
      </w:r>
    </w:p>
  </w:footnote>
  <w:footnote w:id="7">
    <w:p w14:paraId="13361812" w14:textId="77777777" w:rsidR="00BA06AF" w:rsidRPr="000D356F" w:rsidRDefault="00BA06AF" w:rsidP="00BA06AF">
      <w:pPr>
        <w:pStyle w:val="FootnoteText"/>
      </w:pPr>
      <w:r w:rsidRPr="000D356F">
        <w:rPr>
          <w:rStyle w:val="FootnoteReference"/>
          <w:rtl/>
        </w:rPr>
        <w:footnoteRef/>
      </w:r>
      <w:r w:rsidRPr="000D356F">
        <w:rPr>
          <w:rStyle w:val="FootnoteReference"/>
          <w:rtl/>
        </w:rPr>
        <w:t xml:space="preserve"> </w:t>
      </w:r>
      <w:r>
        <w:t xml:space="preserve"> </w:t>
      </w:r>
      <w:r w:rsidRPr="000D356F">
        <w:rPr>
          <w:rtl/>
        </w:rPr>
        <w:t>كفايةالأصول</w:t>
      </w:r>
      <w:r>
        <w:t xml:space="preserve"> </w:t>
      </w:r>
      <w:r>
        <w:rPr>
          <w:rFonts w:hint="cs"/>
          <w:rtl/>
        </w:rPr>
        <w:t>(طبع آل البیت)، آخوند خراسانی، محمد کاظم بن حسین،</w:t>
      </w:r>
      <w:r>
        <w:rPr>
          <w:rtl/>
        </w:rPr>
        <w:t xml:space="preserve"> ص</w:t>
      </w:r>
      <w:r>
        <w:rPr>
          <w:rFonts w:hint="cs"/>
          <w:rtl/>
        </w:rPr>
        <w:t>404-405.</w:t>
      </w:r>
    </w:p>
  </w:footnote>
  <w:footnote w:id="8">
    <w:p w14:paraId="1D463518" w14:textId="77777777" w:rsidR="00BA06AF" w:rsidRPr="000D356F" w:rsidRDefault="00BA06AF" w:rsidP="00BA06AF">
      <w:pPr>
        <w:pStyle w:val="FootnoteText"/>
        <w:rPr>
          <w:rtl/>
        </w:rPr>
      </w:pPr>
      <w:r w:rsidRPr="000D356F">
        <w:rPr>
          <w:rStyle w:val="FootnoteReference"/>
          <w:rtl/>
        </w:rPr>
        <w:footnoteRef/>
      </w:r>
      <w:r w:rsidRPr="000D356F">
        <w:rPr>
          <w:rStyle w:val="FootnoteReference"/>
          <w:rtl/>
        </w:rPr>
        <w:t xml:space="preserve"> </w:t>
      </w:r>
      <w:r>
        <w:rPr>
          <w:rtl/>
        </w:rPr>
        <w:t>بحوث في علم الاصول ج</w:t>
      </w:r>
      <w:r>
        <w:rPr>
          <w:rFonts w:hint="cs"/>
          <w:rtl/>
        </w:rPr>
        <w:t>6، ص111.</w:t>
      </w:r>
    </w:p>
  </w:footnote>
  <w:footnote w:id="9">
    <w:p w14:paraId="296FA94B" w14:textId="77777777" w:rsidR="008D4D2D" w:rsidRDefault="008D4D2D">
      <w:pPr>
        <w:pStyle w:val="FootnoteText"/>
      </w:pPr>
      <w:r>
        <w:rPr>
          <w:rStyle w:val="FootnoteReference"/>
        </w:rPr>
        <w:footnoteRef/>
      </w:r>
      <w:r>
        <w:rPr>
          <w:rtl/>
        </w:rPr>
        <w:t xml:space="preserve"> </w:t>
      </w:r>
      <w:r>
        <w:rPr>
          <w:rFonts w:hint="cs"/>
          <w:rtl/>
        </w:rPr>
        <w:t>الاعراف:33.</w:t>
      </w:r>
    </w:p>
  </w:footnote>
  <w:footnote w:id="10">
    <w:p w14:paraId="3BBE7857" w14:textId="77777777" w:rsidR="001D09B3" w:rsidRDefault="001D09B3">
      <w:pPr>
        <w:pStyle w:val="FootnoteText"/>
      </w:pPr>
      <w:r>
        <w:rPr>
          <w:rStyle w:val="FootnoteReference"/>
        </w:rPr>
        <w:footnoteRef/>
      </w:r>
      <w:r>
        <w:rPr>
          <w:rtl/>
        </w:rPr>
        <w:t xml:space="preserve"> </w:t>
      </w:r>
      <w:r>
        <w:rPr>
          <w:rFonts w:hint="cs"/>
          <w:rtl/>
        </w:rPr>
        <w:t>النوادر (للراوندی)، راوندی کاشانی، فضل الله بن علی، ص27.</w:t>
      </w:r>
    </w:p>
  </w:footnote>
  <w:footnote w:id="11">
    <w:p w14:paraId="151B7022" w14:textId="77777777" w:rsidR="002A0711" w:rsidRDefault="002A0711">
      <w:pPr>
        <w:pStyle w:val="FootnoteText"/>
        <w:rPr>
          <w:rtl/>
        </w:rPr>
      </w:pPr>
      <w:r>
        <w:rPr>
          <w:rStyle w:val="FootnoteReference"/>
        </w:rPr>
        <w:footnoteRef/>
      </w:r>
      <w:r>
        <w:rPr>
          <w:rtl/>
        </w:rPr>
        <w:t xml:space="preserve"> </w:t>
      </w:r>
      <w:r>
        <w:rPr>
          <w:rFonts w:hint="cs"/>
          <w:rtl/>
        </w:rPr>
        <w:t>الرسائل، امام خمینی، روح الله، ج1، ص243.</w:t>
      </w:r>
    </w:p>
  </w:footnote>
  <w:footnote w:id="12">
    <w:p w14:paraId="58A9899D" w14:textId="77777777" w:rsidR="00A50920" w:rsidRDefault="00A50920">
      <w:pPr>
        <w:pStyle w:val="FootnoteText"/>
      </w:pPr>
      <w:r>
        <w:rPr>
          <w:rStyle w:val="FootnoteReference"/>
        </w:rPr>
        <w:footnoteRef/>
      </w:r>
      <w:r>
        <w:rPr>
          <w:rtl/>
        </w:rPr>
        <w:t xml:space="preserve"> </w:t>
      </w:r>
      <w:r>
        <w:rPr>
          <w:rFonts w:hint="cs"/>
          <w:rtl/>
        </w:rPr>
        <w:t>تهذیب الاحکام (تحقیق خراسان)، طوسی، محمد بن الحسن، ج1، ص422.</w:t>
      </w:r>
    </w:p>
  </w:footnote>
  <w:footnote w:id="13">
    <w:p w14:paraId="7B112DE3" w14:textId="77777777" w:rsidR="00A50920" w:rsidRPr="000D356F" w:rsidRDefault="00A50920" w:rsidP="002A0711">
      <w:pPr>
        <w:pStyle w:val="FootnoteText"/>
        <w:rPr>
          <w:rtl/>
        </w:rPr>
      </w:pPr>
      <w:r w:rsidRPr="000D356F">
        <w:rPr>
          <w:rStyle w:val="FootnoteReference"/>
          <w:rtl/>
        </w:rPr>
        <w:footnoteRef/>
      </w:r>
      <w:r w:rsidRPr="000D356F">
        <w:rPr>
          <w:rStyle w:val="FootnoteReference"/>
          <w:rtl/>
        </w:rPr>
        <w:t xml:space="preserve"> </w:t>
      </w:r>
      <w:r w:rsidR="002A0711">
        <w:rPr>
          <w:rtl/>
        </w:rPr>
        <w:t>تهذيب الأصول</w:t>
      </w:r>
      <w:r w:rsidR="002A0711">
        <w:rPr>
          <w:rFonts w:hint="cs"/>
          <w:rtl/>
        </w:rPr>
        <w:t xml:space="preserve"> (طبع قدیم)، خمینی، روح الله، </w:t>
      </w:r>
      <w:r w:rsidR="002A0711">
        <w:rPr>
          <w:rtl/>
        </w:rPr>
        <w:t>ج‏2 ص</w:t>
      </w:r>
      <w:r w:rsidR="002A0711">
        <w:t>109-110</w:t>
      </w:r>
      <w:r w:rsidR="002A0711">
        <w:rPr>
          <w:rFonts w:hint="cs"/>
          <w:rtl/>
        </w:rPr>
        <w:t>.</w:t>
      </w:r>
    </w:p>
  </w:footnote>
  <w:footnote w:id="14">
    <w:p w14:paraId="5D1A6635" w14:textId="77777777" w:rsidR="00E55E50" w:rsidRDefault="00E55E50">
      <w:pPr>
        <w:pStyle w:val="FootnoteText"/>
      </w:pPr>
      <w:r>
        <w:rPr>
          <w:rStyle w:val="FootnoteReference"/>
        </w:rPr>
        <w:footnoteRef/>
      </w:r>
      <w:r>
        <w:rPr>
          <w:rtl/>
        </w:rPr>
        <w:t xml:space="preserve"> </w:t>
      </w:r>
      <w:r>
        <w:rPr>
          <w:rFonts w:hint="cs"/>
          <w:rtl/>
        </w:rPr>
        <w:t>الفقیه، این بابویه، محمد بن علی، ج2، ص626، ح3215.</w:t>
      </w:r>
    </w:p>
  </w:footnote>
  <w:footnote w:id="15">
    <w:p w14:paraId="58CFEC20" w14:textId="77777777" w:rsidR="008D4D2D" w:rsidRDefault="008D4D2D">
      <w:pPr>
        <w:pStyle w:val="FootnoteText"/>
      </w:pPr>
      <w:r>
        <w:rPr>
          <w:rStyle w:val="FootnoteReference"/>
        </w:rPr>
        <w:footnoteRef/>
      </w:r>
      <w:r>
        <w:rPr>
          <w:rtl/>
        </w:rPr>
        <w:t xml:space="preserve"> </w:t>
      </w:r>
      <w:r>
        <w:rPr>
          <w:rFonts w:hint="cs"/>
          <w:rtl/>
        </w:rPr>
        <w:t>الجاثیة: 24.</w:t>
      </w:r>
    </w:p>
  </w:footnote>
  <w:footnote w:id="16">
    <w:p w14:paraId="3BA25E8B" w14:textId="77777777" w:rsidR="008D4D2D" w:rsidRPr="000D356F" w:rsidRDefault="008D4D2D" w:rsidP="008D4D2D">
      <w:pPr>
        <w:pStyle w:val="FootnoteText"/>
        <w:rPr>
          <w:rtl/>
        </w:rPr>
      </w:pPr>
      <w:r w:rsidRPr="000D356F">
        <w:rPr>
          <w:rStyle w:val="FootnoteReference"/>
          <w:b/>
          <w:rtl/>
        </w:rPr>
        <w:footnoteRef/>
      </w:r>
      <w:r w:rsidRPr="000D356F">
        <w:rPr>
          <w:rStyle w:val="FootnoteReference"/>
          <w:b/>
          <w:rtl/>
        </w:rPr>
        <w:t xml:space="preserve"> </w:t>
      </w:r>
      <w:r w:rsidRPr="000D356F">
        <w:rPr>
          <w:rtl/>
        </w:rPr>
        <w:t xml:space="preserve"> </w:t>
      </w:r>
      <w:r w:rsidRPr="000D356F">
        <w:rPr>
          <w:rtl/>
        </w:rPr>
        <w:t>الرافد في علم الأصول</w:t>
      </w:r>
      <w:r>
        <w:rPr>
          <w:rFonts w:hint="cs"/>
          <w:rtl/>
        </w:rPr>
        <w:t>،</w:t>
      </w:r>
      <w:r w:rsidRPr="000D356F">
        <w:rPr>
          <w:rtl/>
        </w:rPr>
        <w:t xml:space="preserve"> ص61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662" w14:textId="77777777" w:rsidR="00CC5AA9" w:rsidRPr="00B52C9F" w:rsidRDefault="00CC5AA9" w:rsidP="006E1A49">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sidRPr="00B52C9F">
      <w:rPr>
        <w:rFonts w:ascii="NoorLotus" w:hAnsi="NoorLotus" w:cs="NoorLotus"/>
        <w:sz w:val="20"/>
        <w:szCs w:val="20"/>
        <w:rtl/>
        <w:lang w:bidi="fa-IR"/>
      </w:rPr>
      <w:t>13</w:t>
    </w:r>
    <w:r>
      <w:rPr>
        <w:rFonts w:ascii="NoorLotus" w:hAnsi="NoorLotus" w:cs="NoorLotus" w:hint="cs"/>
        <w:sz w:val="20"/>
        <w:szCs w:val="20"/>
        <w:rtl/>
        <w:lang w:bidi="fa-IR"/>
      </w:rPr>
      <w:t>8</w:t>
    </w:r>
    <w:r w:rsidRPr="00B52C9F">
      <w:rPr>
        <w:rFonts w:ascii="NoorLotus" w:hAnsi="NoorLotus" w:cs="NoorLotus"/>
        <w:sz w:val="20"/>
        <w:szCs w:val="20"/>
        <w:rtl/>
      </w:rPr>
      <w:t xml:space="preserve"> (تاریخ:</w:t>
    </w:r>
    <w:r>
      <w:rPr>
        <w:rFonts w:ascii="NoorLotus" w:hAnsi="NoorLotus" w:cs="NoorLotus" w:hint="cs"/>
        <w:sz w:val="20"/>
        <w:szCs w:val="20"/>
        <w:rtl/>
      </w:rPr>
      <w:t>13</w:t>
    </w:r>
    <w:r w:rsidRPr="00B52C9F">
      <w:rPr>
        <w:rFonts w:ascii="NoorLotus" w:hAnsi="NoorLotus" w:cs="NoorLotus"/>
        <w:sz w:val="20"/>
        <w:szCs w:val="20"/>
        <w:rtl/>
      </w:rPr>
      <w:t>/3/1402)</w:t>
    </w:r>
  </w:p>
  <w:p w14:paraId="309FF065" w14:textId="77777777" w:rsidR="00CC5AA9" w:rsidRPr="00DA16A6" w:rsidRDefault="00CC5AA9" w:rsidP="00CC5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294"/>
    <w:rsid w:val="000557F5"/>
    <w:rsid w:val="00182A17"/>
    <w:rsid w:val="001A26F5"/>
    <w:rsid w:val="001B1DF3"/>
    <w:rsid w:val="001D09B3"/>
    <w:rsid w:val="001D4CEA"/>
    <w:rsid w:val="00222F52"/>
    <w:rsid w:val="00285B9C"/>
    <w:rsid w:val="002A0711"/>
    <w:rsid w:val="00304B5A"/>
    <w:rsid w:val="003B1781"/>
    <w:rsid w:val="003C5176"/>
    <w:rsid w:val="0049623C"/>
    <w:rsid w:val="004B2F58"/>
    <w:rsid w:val="00527681"/>
    <w:rsid w:val="00551294"/>
    <w:rsid w:val="005B041B"/>
    <w:rsid w:val="0063455D"/>
    <w:rsid w:val="006477C1"/>
    <w:rsid w:val="006C5B16"/>
    <w:rsid w:val="006E1A49"/>
    <w:rsid w:val="006E1A9C"/>
    <w:rsid w:val="00792F6D"/>
    <w:rsid w:val="007C3A83"/>
    <w:rsid w:val="007D4EE4"/>
    <w:rsid w:val="00881968"/>
    <w:rsid w:val="008C7B80"/>
    <w:rsid w:val="008D4D2D"/>
    <w:rsid w:val="009430E6"/>
    <w:rsid w:val="009E5FB9"/>
    <w:rsid w:val="00A50920"/>
    <w:rsid w:val="00A70E36"/>
    <w:rsid w:val="00A84601"/>
    <w:rsid w:val="00B25F97"/>
    <w:rsid w:val="00B521F8"/>
    <w:rsid w:val="00B8053D"/>
    <w:rsid w:val="00BA06AF"/>
    <w:rsid w:val="00C755DA"/>
    <w:rsid w:val="00CA53AA"/>
    <w:rsid w:val="00CC5AA9"/>
    <w:rsid w:val="00CF5CF3"/>
    <w:rsid w:val="00D35FCB"/>
    <w:rsid w:val="00E06FB0"/>
    <w:rsid w:val="00E55E50"/>
    <w:rsid w:val="00EF4738"/>
    <w:rsid w:val="00F25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2E304"/>
  <w15:docId w15:val="{541A5AEE-631C-4F8A-AFF1-16833717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294"/>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85B9C"/>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unhideWhenUsed/>
    <w:qFormat/>
    <w:rsid w:val="00285B9C"/>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551294"/>
    <w:pPr>
      <w:keepNext/>
      <w:keepLines/>
      <w:spacing w:before="200" w:after="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uiPriority w:val="9"/>
    <w:unhideWhenUsed/>
    <w:qFormat/>
    <w:rsid w:val="00285B9C"/>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C"/>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sid w:val="00285B9C"/>
    <w:rPr>
      <w:rFonts w:ascii="NoorLotus" w:eastAsiaTheme="majorEastAsia" w:hAnsi="NoorLotus" w:cs="NoorLotus"/>
      <w:b/>
      <w:bCs/>
      <w:color w:val="00B0F0"/>
      <w:sz w:val="30"/>
      <w:szCs w:val="32"/>
      <w:lang w:bidi="fa-IR"/>
    </w:rPr>
  </w:style>
  <w:style w:type="character" w:customStyle="1" w:styleId="Heading4Char">
    <w:name w:val="Heading 4 Char"/>
    <w:basedOn w:val="DefaultParagraphFont"/>
    <w:link w:val="Heading4"/>
    <w:uiPriority w:val="9"/>
    <w:rsid w:val="00285B9C"/>
    <w:rPr>
      <w:rFonts w:ascii="NoorLotus" w:eastAsiaTheme="majorEastAsia" w:hAnsi="NoorLotus" w:cs="NoorLotus"/>
      <w:b/>
      <w:bCs/>
      <w:color w:val="00B0F0"/>
      <w:sz w:val="28"/>
      <w:szCs w:val="28"/>
      <w:lang w:bidi="fa-IR"/>
    </w:rPr>
  </w:style>
  <w:style w:type="character" w:customStyle="1" w:styleId="Heading3Char">
    <w:name w:val="Heading 3 Char"/>
    <w:basedOn w:val="DefaultParagraphFont"/>
    <w:link w:val="Heading3"/>
    <w:uiPriority w:val="9"/>
    <w:rsid w:val="00551294"/>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551294"/>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551294"/>
  </w:style>
  <w:style w:type="paragraph" w:styleId="Footer">
    <w:name w:val="footer"/>
    <w:basedOn w:val="Normal"/>
    <w:link w:val="FooterChar"/>
    <w:uiPriority w:val="99"/>
    <w:unhideWhenUsed/>
    <w:rsid w:val="00551294"/>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551294"/>
  </w:style>
  <w:style w:type="paragraph" w:styleId="FootnoteText">
    <w:name w:val="footnote text"/>
    <w:basedOn w:val="Normal"/>
    <w:link w:val="FootnoteTextChar"/>
    <w:unhideWhenUsed/>
    <w:rsid w:val="00551294"/>
    <w:pPr>
      <w:spacing w:after="0"/>
    </w:pPr>
    <w:rPr>
      <w:sz w:val="20"/>
      <w:szCs w:val="20"/>
    </w:rPr>
  </w:style>
  <w:style w:type="character" w:customStyle="1" w:styleId="FootnoteTextChar">
    <w:name w:val="Footnote Text Char"/>
    <w:basedOn w:val="DefaultParagraphFont"/>
    <w:link w:val="FootnoteText"/>
    <w:rsid w:val="00551294"/>
    <w:rPr>
      <w:rFonts w:ascii="Calibri" w:eastAsia="Calibri" w:hAnsi="Calibri" w:cs="NoorLotus"/>
      <w:sz w:val="20"/>
      <w:szCs w:val="20"/>
      <w:lang w:bidi="fa-IR"/>
    </w:rPr>
  </w:style>
  <w:style w:type="character" w:styleId="FootnoteReference">
    <w:name w:val="footnote reference"/>
    <w:basedOn w:val="DefaultParagraphFont"/>
    <w:unhideWhenUsed/>
    <w:rsid w:val="00551294"/>
    <w:rPr>
      <w:vertAlign w:val="superscript"/>
    </w:rPr>
  </w:style>
  <w:style w:type="paragraph" w:styleId="TOCHeading">
    <w:name w:val="TOC Heading"/>
    <w:basedOn w:val="Heading1"/>
    <w:next w:val="Normal"/>
    <w:uiPriority w:val="39"/>
    <w:unhideWhenUsed/>
    <w:qFormat/>
    <w:rsid w:val="00551294"/>
    <w:pPr>
      <w:keepNext/>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2">
    <w:name w:val="toc 2"/>
    <w:basedOn w:val="Normal"/>
    <w:next w:val="Normal"/>
    <w:autoRedefine/>
    <w:uiPriority w:val="39"/>
    <w:unhideWhenUsed/>
    <w:rsid w:val="00551294"/>
    <w:pPr>
      <w:spacing w:after="100"/>
      <w:ind w:left="220"/>
    </w:pPr>
  </w:style>
  <w:style w:type="paragraph" w:styleId="TOC3">
    <w:name w:val="toc 3"/>
    <w:basedOn w:val="Normal"/>
    <w:next w:val="Normal"/>
    <w:autoRedefine/>
    <w:uiPriority w:val="39"/>
    <w:unhideWhenUsed/>
    <w:rsid w:val="00551294"/>
    <w:pPr>
      <w:spacing w:after="100"/>
      <w:ind w:left="440"/>
    </w:pPr>
  </w:style>
  <w:style w:type="character" w:styleId="Hyperlink">
    <w:name w:val="Hyperlink"/>
    <w:basedOn w:val="DefaultParagraphFont"/>
    <w:uiPriority w:val="99"/>
    <w:unhideWhenUsed/>
    <w:rsid w:val="00551294"/>
    <w:rPr>
      <w:color w:val="0000FF" w:themeColor="hyperlink"/>
      <w:u w:val="single"/>
    </w:rPr>
  </w:style>
  <w:style w:type="paragraph" w:styleId="BalloonText">
    <w:name w:val="Balloon Text"/>
    <w:basedOn w:val="Normal"/>
    <w:link w:val="BalloonTextChar"/>
    <w:uiPriority w:val="99"/>
    <w:semiHidden/>
    <w:unhideWhenUsed/>
    <w:rsid w:val="00551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94"/>
    <w:rPr>
      <w:rFonts w:ascii="Tahoma" w:eastAsia="Calibri" w:hAnsi="Tahoma" w:cs="Tahoma"/>
      <w:sz w:val="16"/>
      <w:szCs w:val="16"/>
      <w:lang w:bidi="fa-IR"/>
    </w:rPr>
  </w:style>
  <w:style w:type="paragraph" w:styleId="NormalWeb">
    <w:name w:val="Normal (Web)"/>
    <w:basedOn w:val="Normal"/>
    <w:uiPriority w:val="99"/>
    <w:unhideWhenUsed/>
    <w:rsid w:val="001D09B3"/>
    <w:pPr>
      <w:bidi w:val="0"/>
      <w:spacing w:before="100" w:beforeAutospacing="1" w:after="100" w:afterAutospacing="1"/>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BA06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2127">
      <w:bodyDiv w:val="1"/>
      <w:marLeft w:val="0"/>
      <w:marRight w:val="0"/>
      <w:marTop w:val="0"/>
      <w:marBottom w:val="0"/>
      <w:divBdr>
        <w:top w:val="none" w:sz="0" w:space="0" w:color="auto"/>
        <w:left w:val="none" w:sz="0" w:space="0" w:color="auto"/>
        <w:bottom w:val="none" w:sz="0" w:space="0" w:color="auto"/>
        <w:right w:val="none" w:sz="0" w:space="0" w:color="auto"/>
      </w:divBdr>
    </w:div>
    <w:div w:id="430472495">
      <w:bodyDiv w:val="1"/>
      <w:marLeft w:val="0"/>
      <w:marRight w:val="0"/>
      <w:marTop w:val="0"/>
      <w:marBottom w:val="0"/>
      <w:divBdr>
        <w:top w:val="none" w:sz="0" w:space="0" w:color="auto"/>
        <w:left w:val="none" w:sz="0" w:space="0" w:color="auto"/>
        <w:bottom w:val="none" w:sz="0" w:space="0" w:color="auto"/>
        <w:right w:val="none" w:sz="0" w:space="0" w:color="auto"/>
      </w:divBdr>
    </w:div>
    <w:div w:id="818111249">
      <w:bodyDiv w:val="1"/>
      <w:marLeft w:val="0"/>
      <w:marRight w:val="0"/>
      <w:marTop w:val="0"/>
      <w:marBottom w:val="0"/>
      <w:divBdr>
        <w:top w:val="none" w:sz="0" w:space="0" w:color="auto"/>
        <w:left w:val="none" w:sz="0" w:space="0" w:color="auto"/>
        <w:bottom w:val="none" w:sz="0" w:space="0" w:color="auto"/>
        <w:right w:val="none" w:sz="0" w:space="0" w:color="auto"/>
      </w:divBdr>
    </w:div>
    <w:div w:id="1157914225">
      <w:bodyDiv w:val="1"/>
      <w:marLeft w:val="0"/>
      <w:marRight w:val="0"/>
      <w:marTop w:val="0"/>
      <w:marBottom w:val="0"/>
      <w:divBdr>
        <w:top w:val="none" w:sz="0" w:space="0" w:color="auto"/>
        <w:left w:val="none" w:sz="0" w:space="0" w:color="auto"/>
        <w:bottom w:val="none" w:sz="0" w:space="0" w:color="auto"/>
        <w:right w:val="none" w:sz="0" w:space="0" w:color="auto"/>
      </w:divBdr>
    </w:div>
    <w:div w:id="1163276250">
      <w:bodyDiv w:val="1"/>
      <w:marLeft w:val="0"/>
      <w:marRight w:val="0"/>
      <w:marTop w:val="0"/>
      <w:marBottom w:val="0"/>
      <w:divBdr>
        <w:top w:val="none" w:sz="0" w:space="0" w:color="auto"/>
        <w:left w:val="none" w:sz="0" w:space="0" w:color="auto"/>
        <w:bottom w:val="none" w:sz="0" w:space="0" w:color="auto"/>
        <w:right w:val="none" w:sz="0" w:space="0" w:color="auto"/>
      </w:divBdr>
    </w:div>
    <w:div w:id="15768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6D2D-FF6B-4619-A141-07156EC8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11</cp:revision>
  <cp:lastPrinted>2023-06-04T07:26:00Z</cp:lastPrinted>
  <dcterms:created xsi:type="dcterms:W3CDTF">2023-06-03T04:55:00Z</dcterms:created>
  <dcterms:modified xsi:type="dcterms:W3CDTF">2023-08-02T11:03:00Z</dcterms:modified>
</cp:coreProperties>
</file>