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8A69" w14:textId="77777777" w:rsidR="00AB6ED6" w:rsidRDefault="00AB6ED6" w:rsidP="00AB6ED6">
      <w:r>
        <w:rPr>
          <w:rtl/>
        </w:rPr>
        <w:t>بسمه تعالی</w:t>
      </w:r>
    </w:p>
    <w:p w14:paraId="07E28230" w14:textId="77777777" w:rsidR="00AB6ED6" w:rsidRDefault="00AB6ED6" w:rsidP="008F7A91">
      <w:r>
        <w:rPr>
          <w:color w:val="FF0000"/>
          <w:rtl/>
        </w:rPr>
        <w:t xml:space="preserve">موضوع: </w:t>
      </w:r>
      <w:r w:rsidR="008F7A91" w:rsidRPr="008F7A91">
        <w:rPr>
          <w:rFonts w:hint="cs"/>
          <w:rtl/>
        </w:rPr>
        <w:t>قیام</w:t>
      </w:r>
      <w:r w:rsidR="008F7A91" w:rsidRPr="008F7A91">
        <w:rPr>
          <w:rtl/>
        </w:rPr>
        <w:t xml:space="preserve"> </w:t>
      </w:r>
      <w:r w:rsidR="008F7A91" w:rsidRPr="008F7A91">
        <w:rPr>
          <w:rFonts w:hint="cs"/>
          <w:rtl/>
        </w:rPr>
        <w:t>امارات</w:t>
      </w:r>
      <w:r w:rsidR="008F7A91" w:rsidRPr="008F7A91">
        <w:rPr>
          <w:rtl/>
        </w:rPr>
        <w:t xml:space="preserve"> </w:t>
      </w:r>
      <w:r w:rsidR="008F7A91" w:rsidRPr="008F7A91">
        <w:rPr>
          <w:rFonts w:hint="cs"/>
          <w:rtl/>
        </w:rPr>
        <w:t>و</w:t>
      </w:r>
      <w:r w:rsidR="008F7A91" w:rsidRPr="008F7A91">
        <w:rPr>
          <w:rtl/>
        </w:rPr>
        <w:t xml:space="preserve"> </w:t>
      </w:r>
      <w:r w:rsidR="008F7A91" w:rsidRPr="008F7A91">
        <w:rPr>
          <w:rFonts w:hint="cs"/>
          <w:rtl/>
        </w:rPr>
        <w:t>اصول</w:t>
      </w:r>
      <w:r w:rsidR="008F7A91" w:rsidRPr="008F7A91">
        <w:rPr>
          <w:rtl/>
        </w:rPr>
        <w:t xml:space="preserve"> </w:t>
      </w:r>
      <w:r w:rsidR="008F7A91" w:rsidRPr="008F7A91">
        <w:rPr>
          <w:rFonts w:hint="cs"/>
          <w:rtl/>
        </w:rPr>
        <w:t>مقام</w:t>
      </w:r>
      <w:r w:rsidR="008F7A91" w:rsidRPr="008F7A91">
        <w:rPr>
          <w:rtl/>
        </w:rPr>
        <w:t xml:space="preserve"> </w:t>
      </w:r>
      <w:r w:rsidR="008F7A91" w:rsidRPr="008F7A91">
        <w:rPr>
          <w:rFonts w:hint="cs"/>
          <w:rtl/>
        </w:rPr>
        <w:t>قطع</w:t>
      </w:r>
      <w:r w:rsidR="008F7A91" w:rsidRPr="008F7A91">
        <w:rPr>
          <w:rtl/>
        </w:rPr>
        <w:t xml:space="preserve"> </w:t>
      </w:r>
      <w:r>
        <w:rPr>
          <w:rtl/>
        </w:rPr>
        <w:t>/ مباحث قطع</w:t>
      </w:r>
    </w:p>
    <w:p w14:paraId="2EAC4D41" w14:textId="77777777" w:rsidR="00C427A4" w:rsidRDefault="00C427A4" w:rsidP="000C5AA2">
      <w:pPr>
        <w:pStyle w:val="Heading1"/>
        <w:jc w:val="both"/>
        <w:rPr>
          <w:rtl/>
        </w:rPr>
      </w:pPr>
      <w:bookmarkStart w:id="0" w:name="_Toc136979451"/>
      <w:bookmarkStart w:id="1" w:name="_Toc137466066"/>
    </w:p>
    <w:p w14:paraId="51AC7B1F" w14:textId="1924AA77" w:rsidR="005778A8" w:rsidRDefault="005778A8" w:rsidP="000C5AA2">
      <w:pPr>
        <w:pStyle w:val="Heading1"/>
        <w:jc w:val="both"/>
        <w:rPr>
          <w:rtl/>
        </w:rPr>
      </w:pPr>
      <w:r>
        <w:rPr>
          <w:rFonts w:hint="cs"/>
          <w:rtl/>
        </w:rPr>
        <w:t>قیام امارات و اصول مقام قطع</w:t>
      </w:r>
      <w:bookmarkEnd w:id="0"/>
      <w:bookmarkEnd w:id="1"/>
      <w:r>
        <w:rPr>
          <w:rFonts w:hint="cs"/>
          <w:rtl/>
        </w:rPr>
        <w:t xml:space="preserve"> </w:t>
      </w:r>
    </w:p>
    <w:p w14:paraId="60FC330B" w14:textId="77777777" w:rsidR="005778A8" w:rsidRDefault="005778A8" w:rsidP="000C5AA2">
      <w:pPr>
        <w:pStyle w:val="Heading2"/>
        <w:jc w:val="both"/>
        <w:rPr>
          <w:rtl/>
        </w:rPr>
      </w:pPr>
      <w:bookmarkStart w:id="2" w:name="_Toc136979452"/>
      <w:bookmarkStart w:id="3" w:name="_Toc137466067"/>
      <w:r>
        <w:rPr>
          <w:rFonts w:hint="cs"/>
          <w:rtl/>
        </w:rPr>
        <w:t>مقام دوم: قیام امارات مقام قطع موضوعی</w:t>
      </w:r>
      <w:bookmarkEnd w:id="2"/>
      <w:r w:rsidR="000C5AA2">
        <w:rPr>
          <w:rFonts w:hint="cs"/>
          <w:rtl/>
        </w:rPr>
        <w:t xml:space="preserve"> طریقی</w:t>
      </w:r>
      <w:bookmarkEnd w:id="3"/>
    </w:p>
    <w:p w14:paraId="463F2495" w14:textId="77777777" w:rsidR="00B034EA" w:rsidRDefault="005778A8" w:rsidP="000C5AA2">
      <w:pPr>
        <w:jc w:val="both"/>
        <w:rPr>
          <w:rtl/>
        </w:rPr>
      </w:pPr>
      <w:r>
        <w:rPr>
          <w:rFonts w:hint="cs"/>
          <w:rtl/>
        </w:rPr>
        <w:t xml:space="preserve">بحث در </w:t>
      </w:r>
      <w:r w:rsidR="00925DD6">
        <w:rPr>
          <w:rFonts w:hint="cs"/>
          <w:rtl/>
        </w:rPr>
        <w:t>تقریب‌های قول به</w:t>
      </w:r>
      <w:r>
        <w:rPr>
          <w:rFonts w:hint="cs"/>
          <w:rtl/>
        </w:rPr>
        <w:t xml:space="preserve"> قیام امارات مق</w:t>
      </w:r>
      <w:r w:rsidR="00694846">
        <w:rPr>
          <w:rFonts w:hint="cs"/>
          <w:rtl/>
        </w:rPr>
        <w:t>ام قطع</w:t>
      </w:r>
      <w:r w:rsidR="000C5AA2" w:rsidRPr="000C5AA2">
        <w:rPr>
          <w:rFonts w:hint="cs"/>
          <w:rtl/>
        </w:rPr>
        <w:t xml:space="preserve"> </w:t>
      </w:r>
      <w:r w:rsidR="000C5AA2">
        <w:rPr>
          <w:rFonts w:hint="cs"/>
          <w:rtl/>
        </w:rPr>
        <w:t>موضوعی</w:t>
      </w:r>
      <w:r w:rsidR="00694846">
        <w:rPr>
          <w:rFonts w:hint="cs"/>
          <w:rtl/>
        </w:rPr>
        <w:t xml:space="preserve"> طریقی </w:t>
      </w:r>
      <w:r>
        <w:rPr>
          <w:rFonts w:hint="cs"/>
          <w:rtl/>
        </w:rPr>
        <w:t xml:space="preserve">بود. </w:t>
      </w:r>
    </w:p>
    <w:p w14:paraId="7F6B3E11" w14:textId="77777777" w:rsidR="00925DD6" w:rsidRDefault="00925DD6" w:rsidP="000C5AA2">
      <w:pPr>
        <w:pStyle w:val="Heading3"/>
        <w:jc w:val="both"/>
        <w:rPr>
          <w:rtl/>
        </w:rPr>
      </w:pPr>
      <w:bookmarkStart w:id="4" w:name="_Toc136979453"/>
      <w:bookmarkStart w:id="5" w:name="_Toc137466068"/>
      <w:r>
        <w:rPr>
          <w:rFonts w:hint="cs"/>
          <w:rtl/>
        </w:rPr>
        <w:t>تقریب اول</w:t>
      </w:r>
      <w:r w:rsidR="005778A8">
        <w:rPr>
          <w:rFonts w:hint="cs"/>
          <w:rtl/>
        </w:rPr>
        <w:t>: ظهور علم در طریق معتبر</w:t>
      </w:r>
      <w:bookmarkEnd w:id="4"/>
      <w:bookmarkEnd w:id="5"/>
    </w:p>
    <w:p w14:paraId="50391F7D" w14:textId="77777777" w:rsidR="00925DD6" w:rsidRDefault="00925DD6" w:rsidP="000C5AA2">
      <w:pPr>
        <w:jc w:val="both"/>
        <w:rPr>
          <w:rtl/>
        </w:rPr>
      </w:pPr>
      <w:r>
        <w:rPr>
          <w:rFonts w:hint="cs"/>
          <w:rtl/>
        </w:rPr>
        <w:t>علم در کتاب و سنت ظاهر در طریق معتبر است لذا دلیل اعتبار اماره ورود پیدا می‌کند بر خطابی که علم یا یقین در موضوع آن اخذ شده است.</w:t>
      </w:r>
    </w:p>
    <w:p w14:paraId="3A79EE6E" w14:textId="77777777" w:rsidR="00925DD6" w:rsidRDefault="00925DD6" w:rsidP="000C5AA2">
      <w:pPr>
        <w:jc w:val="both"/>
        <w:rPr>
          <w:rtl/>
        </w:rPr>
      </w:pPr>
      <w:r>
        <w:rPr>
          <w:rFonts w:hint="cs"/>
          <w:rtl/>
        </w:rPr>
        <w:t>دو بیان برای این تقریب بیان شده است:</w:t>
      </w:r>
    </w:p>
    <w:p w14:paraId="72BCBAA3" w14:textId="77777777" w:rsidR="00925DD6" w:rsidRDefault="00925DD6" w:rsidP="000C5AA2">
      <w:pPr>
        <w:pStyle w:val="Heading3"/>
        <w:jc w:val="both"/>
        <w:rPr>
          <w:rtl/>
        </w:rPr>
      </w:pPr>
      <w:bookmarkStart w:id="6" w:name="_Toc136979454"/>
      <w:bookmarkStart w:id="7" w:name="_Toc137466069"/>
      <w:r>
        <w:rPr>
          <w:rFonts w:hint="cs"/>
          <w:rtl/>
        </w:rPr>
        <w:t>بیان اول</w:t>
      </w:r>
      <w:r w:rsidR="005778A8">
        <w:rPr>
          <w:rFonts w:hint="cs"/>
          <w:rtl/>
        </w:rPr>
        <w:t>: کلام مرحوم امام رحمه الله</w:t>
      </w:r>
      <w:bookmarkEnd w:id="6"/>
      <w:bookmarkEnd w:id="7"/>
    </w:p>
    <w:p w14:paraId="4D5106C2" w14:textId="77777777" w:rsidR="00925DD6" w:rsidRDefault="00925DD6" w:rsidP="000C5AA2">
      <w:pPr>
        <w:jc w:val="both"/>
        <w:rPr>
          <w:rtl/>
        </w:rPr>
      </w:pPr>
      <w:r>
        <w:rPr>
          <w:rFonts w:hint="cs"/>
          <w:rtl/>
        </w:rPr>
        <w:t xml:space="preserve">مرحوم امام رحمه الله فرموده‌اند: علم عرفا مثال برای طریق معتبر است. </w:t>
      </w:r>
    </w:p>
    <w:p w14:paraId="387D30F2" w14:textId="77777777" w:rsidR="005778A8" w:rsidRPr="00F4580D" w:rsidRDefault="005778A8" w:rsidP="000C5AA2">
      <w:pPr>
        <w:jc w:val="both"/>
        <w:rPr>
          <w:rFonts w:ascii="NoorLotus" w:hAnsi="NoorLotus"/>
          <w:rtl/>
        </w:rPr>
      </w:pPr>
      <w:r w:rsidRPr="00F4580D">
        <w:rPr>
          <w:rFonts w:ascii="NoorLotus" w:hAnsi="NoorLotus"/>
          <w:rtl/>
        </w:rPr>
        <w:t xml:space="preserve">ایشان برای اثبات این مطلب استشهادهایی را بیان کردند، </w:t>
      </w:r>
      <w:r w:rsidR="00F6021C" w:rsidRPr="00F4580D">
        <w:rPr>
          <w:rFonts w:ascii="NoorLotus" w:hAnsi="NoorLotus"/>
          <w:rtl/>
        </w:rPr>
        <w:t>مثل</w:t>
      </w:r>
      <w:r w:rsidRPr="00F4580D">
        <w:rPr>
          <w:rFonts w:ascii="NoorLotus" w:hAnsi="NoorLotus"/>
          <w:rtl/>
        </w:rPr>
        <w:t xml:space="preserve"> صحیحه دوم زراره است «لِأَنَّكَ‏ كُنْتَ‏ عَلَى‏ يَقِينٍ‏ مِنْ‏ طَهَارَتِكَ‏ ثُمَّ شَكَكْتَ»</w:t>
      </w:r>
      <w:r w:rsidRPr="00F4580D">
        <w:rPr>
          <w:rStyle w:val="FootnoteReference"/>
          <w:rFonts w:ascii="NoorLotus" w:hAnsi="NoorLotus"/>
          <w:rtl/>
        </w:rPr>
        <w:footnoteReference w:id="1"/>
      </w:r>
      <w:r w:rsidRPr="00F4580D">
        <w:rPr>
          <w:rFonts w:ascii="NoorLotus" w:hAnsi="NoorLotus"/>
          <w:rtl/>
        </w:rPr>
        <w:t xml:space="preserve"> به این بیان که عادتا انسان علم وجدانی به طهارت واقعیه پیدا </w:t>
      </w:r>
      <w:r w:rsidR="000C5AA2" w:rsidRPr="00F4580D">
        <w:rPr>
          <w:rFonts w:ascii="NoorLotus" w:hAnsi="NoorLotus"/>
          <w:rtl/>
        </w:rPr>
        <w:t>نمی‌</w:t>
      </w:r>
      <w:r w:rsidRPr="00F4580D">
        <w:rPr>
          <w:rFonts w:ascii="NoorLotus" w:hAnsi="NoorLotus"/>
          <w:rtl/>
        </w:rPr>
        <w:t xml:space="preserve">کند خصوصا در زمان قدیم که </w:t>
      </w:r>
      <w:r w:rsidR="00F6021C" w:rsidRPr="00F4580D">
        <w:rPr>
          <w:rFonts w:ascii="NoorLotus" w:hAnsi="NoorLotus"/>
          <w:rtl/>
        </w:rPr>
        <w:t>با آب قلیل لباس‌ها را می‌شستند. و همچنین صحیحه اول زراره «</w:t>
      </w:r>
      <w:r w:rsidR="00F6021C" w:rsidRPr="00F4580D">
        <w:rPr>
          <w:rFonts w:ascii="NoorLotus" w:hAnsi="NoorLotus"/>
          <w:sz w:val="30"/>
          <w:szCs w:val="30"/>
          <w:rtl/>
        </w:rPr>
        <w:t>فَإِنَّهُ عَلَى‏ يَقِينٍ‏ مِنْ‏ وُضُوئِه‏</w:t>
      </w:r>
      <w:r w:rsidR="00F6021C" w:rsidRPr="00F4580D">
        <w:rPr>
          <w:rFonts w:ascii="NoorLotus" w:hAnsi="NoorLotus"/>
          <w:rtl/>
        </w:rPr>
        <w:t>»</w:t>
      </w:r>
      <w:r w:rsidR="00F6021C" w:rsidRPr="00F4580D">
        <w:rPr>
          <w:rStyle w:val="FootnoteReference"/>
          <w:rFonts w:ascii="NoorLotus" w:hAnsi="NoorLotus"/>
          <w:rtl/>
        </w:rPr>
        <w:footnoteReference w:id="2"/>
      </w:r>
      <w:r w:rsidR="00F6021C" w:rsidRPr="00F4580D">
        <w:rPr>
          <w:rFonts w:ascii="NoorLotus" w:hAnsi="NoorLotus"/>
          <w:rtl/>
        </w:rPr>
        <w:t xml:space="preserve"> زیرا انسان یقیقن وجدانی به طهارت از حدث ندارد و معمولا در زمان قدیم با آب قلیل وضو می‌گرفتند و </w:t>
      </w:r>
      <w:r w:rsidR="000C5AA2" w:rsidRPr="00F4580D">
        <w:rPr>
          <w:rFonts w:ascii="NoorLotus" w:hAnsi="NoorLotus"/>
          <w:rtl/>
        </w:rPr>
        <w:t>احتمال نجاست</w:t>
      </w:r>
      <w:r w:rsidR="00F6021C" w:rsidRPr="00F4580D">
        <w:rPr>
          <w:rFonts w:ascii="NoorLotus" w:hAnsi="NoorLotus"/>
          <w:rtl/>
        </w:rPr>
        <w:t xml:space="preserve"> بدن یا آب </w:t>
      </w:r>
      <w:r w:rsidR="000C5AA2" w:rsidRPr="00F4580D">
        <w:rPr>
          <w:rFonts w:ascii="NoorLotus" w:hAnsi="NoorLotus"/>
          <w:rtl/>
        </w:rPr>
        <w:t>وجود داشت</w:t>
      </w:r>
      <w:r w:rsidR="00F6021C" w:rsidRPr="00F4580D">
        <w:rPr>
          <w:rFonts w:ascii="NoorLotus" w:hAnsi="NoorLotus"/>
          <w:rtl/>
        </w:rPr>
        <w:t>. پس معلوم می‌شود مراد از علم خصوص علم وجدانی نیست</w:t>
      </w:r>
      <w:r w:rsidR="00836AFC" w:rsidRPr="00F4580D">
        <w:rPr>
          <w:rStyle w:val="FootnoteReference"/>
          <w:rFonts w:ascii="NoorLotus" w:hAnsi="NoorLotus"/>
          <w:sz w:val="28"/>
          <w:rtl/>
        </w:rPr>
        <w:footnoteReference w:id="3"/>
      </w:r>
      <w:r w:rsidR="00F6021C" w:rsidRPr="00F4580D">
        <w:rPr>
          <w:rFonts w:ascii="NoorLotus" w:hAnsi="NoorLotus"/>
          <w:rtl/>
        </w:rPr>
        <w:t xml:space="preserve">. </w:t>
      </w:r>
    </w:p>
    <w:p w14:paraId="35CB800B" w14:textId="77777777" w:rsidR="00925DD6" w:rsidRDefault="00F6021C" w:rsidP="00EB4641">
      <w:pPr>
        <w:jc w:val="both"/>
        <w:rPr>
          <w:rtl/>
        </w:rPr>
      </w:pPr>
      <w:r>
        <w:rPr>
          <w:rFonts w:hint="cs"/>
          <w:rtl/>
        </w:rPr>
        <w:t>ما اصل این ادعا</w:t>
      </w:r>
      <w:r w:rsidR="00117793">
        <w:rPr>
          <w:rFonts w:hint="cs"/>
          <w:rtl/>
        </w:rPr>
        <w:t xml:space="preserve"> </w:t>
      </w:r>
      <w:r w:rsidR="000C5AA2">
        <w:rPr>
          <w:rFonts w:hint="cs"/>
          <w:rtl/>
        </w:rPr>
        <w:t xml:space="preserve">را </w:t>
      </w:r>
      <w:r w:rsidR="00117793">
        <w:rPr>
          <w:rFonts w:hint="cs"/>
          <w:rtl/>
        </w:rPr>
        <w:t>عرفی می‌دانیم</w:t>
      </w:r>
      <w:r w:rsidR="00925DD6">
        <w:rPr>
          <w:rFonts w:hint="cs"/>
          <w:rtl/>
        </w:rPr>
        <w:t xml:space="preserve"> ولی بعضی از استشهاد‌های ایشان </w:t>
      </w:r>
      <w:r w:rsidR="000C5AA2">
        <w:rPr>
          <w:rFonts w:hint="cs"/>
          <w:rtl/>
        </w:rPr>
        <w:t xml:space="preserve">به نظر ما </w:t>
      </w:r>
      <w:r w:rsidR="00925DD6">
        <w:rPr>
          <w:rFonts w:hint="cs"/>
          <w:rtl/>
        </w:rPr>
        <w:t>تما</w:t>
      </w:r>
      <w:r>
        <w:rPr>
          <w:rFonts w:hint="cs"/>
          <w:rtl/>
        </w:rPr>
        <w:t xml:space="preserve">م نیست. زیرا </w:t>
      </w:r>
      <w:r w:rsidR="00925DD6">
        <w:rPr>
          <w:rFonts w:hint="cs"/>
          <w:rtl/>
        </w:rPr>
        <w:t>در صحیحه دوم زراره که امام علیه السلام طهارت از خبث را استصحاب کردند</w:t>
      </w:r>
      <w:r w:rsidR="00EB4641">
        <w:rPr>
          <w:rFonts w:hint="cs"/>
          <w:rtl/>
        </w:rPr>
        <w:t xml:space="preserve"> </w:t>
      </w:r>
      <w:r>
        <w:rPr>
          <w:rFonts w:hint="cs"/>
          <w:rtl/>
        </w:rPr>
        <w:t>اولا:</w:t>
      </w:r>
      <w:r w:rsidR="00925DD6">
        <w:rPr>
          <w:rFonts w:hint="cs"/>
          <w:rtl/>
        </w:rPr>
        <w:t xml:space="preserve"> ممکن است گفته شود </w:t>
      </w:r>
      <w:r w:rsidR="000C5AA2">
        <w:rPr>
          <w:rFonts w:hint="cs"/>
          <w:rtl/>
        </w:rPr>
        <w:t>وقتی</w:t>
      </w:r>
      <w:r w:rsidR="00925DD6">
        <w:rPr>
          <w:rFonts w:hint="cs"/>
          <w:rtl/>
        </w:rPr>
        <w:t xml:space="preserve"> نوع مردم با آب قلیل لباس خود را می‌شو</w:t>
      </w:r>
      <w:r w:rsidR="000C5AA2">
        <w:rPr>
          <w:rFonts w:hint="cs"/>
          <w:rtl/>
        </w:rPr>
        <w:t>ی</w:t>
      </w:r>
      <w:r w:rsidR="00925DD6">
        <w:rPr>
          <w:rFonts w:hint="cs"/>
          <w:rtl/>
        </w:rPr>
        <w:t xml:space="preserve">ند این </w:t>
      </w:r>
      <w:r>
        <w:rPr>
          <w:rFonts w:hint="cs"/>
          <w:rtl/>
        </w:rPr>
        <w:t>احتمالات که ممکن است ظرف نجس باشد</w:t>
      </w:r>
      <w:r w:rsidR="00925DD6">
        <w:rPr>
          <w:rFonts w:hint="cs"/>
          <w:rtl/>
        </w:rPr>
        <w:t xml:space="preserve"> یا این آب ملاقات با نجس کرد</w:t>
      </w:r>
      <w:r>
        <w:rPr>
          <w:rFonts w:hint="cs"/>
          <w:rtl/>
        </w:rPr>
        <w:t>ه باشد</w:t>
      </w:r>
      <w:r w:rsidR="00925DD6">
        <w:rPr>
          <w:rFonts w:hint="cs"/>
          <w:rtl/>
        </w:rPr>
        <w:t>، به ذهن آن‌ها نمی‌آید</w:t>
      </w:r>
      <w:r>
        <w:rPr>
          <w:rFonts w:hint="cs"/>
          <w:rtl/>
        </w:rPr>
        <w:t xml:space="preserve"> و غافل از این احتمالات هستند</w:t>
      </w:r>
      <w:r w:rsidR="00925DD6">
        <w:rPr>
          <w:rFonts w:hint="cs"/>
          <w:rtl/>
        </w:rPr>
        <w:t xml:space="preserve"> و لذا یقین به </w:t>
      </w:r>
      <w:r w:rsidR="00EB4641">
        <w:rPr>
          <w:rFonts w:hint="cs"/>
          <w:rtl/>
        </w:rPr>
        <w:t>طهارت لباسشان</w:t>
      </w:r>
      <w:r w:rsidR="00925DD6">
        <w:rPr>
          <w:rFonts w:hint="cs"/>
          <w:rtl/>
        </w:rPr>
        <w:t xml:space="preserve"> پیدا می‌ک</w:t>
      </w:r>
      <w:r w:rsidR="000C5AA2">
        <w:rPr>
          <w:rFonts w:hint="cs"/>
          <w:rtl/>
        </w:rPr>
        <w:t>ن</w:t>
      </w:r>
      <w:r w:rsidR="00925DD6">
        <w:rPr>
          <w:rFonts w:hint="cs"/>
          <w:rtl/>
        </w:rPr>
        <w:t>ند</w:t>
      </w:r>
      <w:r>
        <w:rPr>
          <w:rFonts w:hint="cs"/>
          <w:rtl/>
        </w:rPr>
        <w:t xml:space="preserve">. ثانیا: </w:t>
      </w:r>
      <w:r w:rsidR="00925DD6">
        <w:rPr>
          <w:rFonts w:hint="cs"/>
          <w:rtl/>
        </w:rPr>
        <w:t xml:space="preserve">اگر </w:t>
      </w:r>
      <w:r w:rsidR="000C5AA2">
        <w:rPr>
          <w:rFonts w:hint="cs"/>
          <w:rtl/>
        </w:rPr>
        <w:t xml:space="preserve">ادعا می‌کنید عرف متعارف </w:t>
      </w:r>
      <w:r w:rsidR="00925DD6">
        <w:rPr>
          <w:rFonts w:hint="cs"/>
          <w:rtl/>
        </w:rPr>
        <w:t xml:space="preserve">یقین به </w:t>
      </w:r>
      <w:r w:rsidR="00EB4641">
        <w:rPr>
          <w:rFonts w:hint="cs"/>
          <w:rtl/>
        </w:rPr>
        <w:t xml:space="preserve">طهارت واقعیه </w:t>
      </w:r>
      <w:r w:rsidR="000C5AA2">
        <w:rPr>
          <w:rFonts w:hint="cs"/>
          <w:rtl/>
        </w:rPr>
        <w:t xml:space="preserve">پیدا نمی‌کند؛ </w:t>
      </w:r>
      <w:r w:rsidR="00925DD6">
        <w:rPr>
          <w:rFonts w:hint="cs"/>
          <w:rtl/>
        </w:rPr>
        <w:t xml:space="preserve">قرینه </w:t>
      </w:r>
      <w:r w:rsidR="00925DD6">
        <w:rPr>
          <w:rFonts w:hint="cs"/>
          <w:rtl/>
        </w:rPr>
        <w:lastRenderedPageBreak/>
        <w:t>می‌شود که</w:t>
      </w:r>
      <w:r>
        <w:rPr>
          <w:rFonts w:hint="cs"/>
          <w:rtl/>
        </w:rPr>
        <w:t xml:space="preserve"> این بیان</w:t>
      </w:r>
      <w:r w:rsidR="00925DD6">
        <w:rPr>
          <w:rFonts w:hint="cs"/>
          <w:rtl/>
        </w:rPr>
        <w:t xml:space="preserve"> امام علیه السلام </w:t>
      </w:r>
      <w:r>
        <w:rPr>
          <w:rFonts w:hint="cs"/>
          <w:rtl/>
        </w:rPr>
        <w:t xml:space="preserve">یک بیان مسامحه‌ای برای استصحاب موضوعی عدم ملاقات این لباس با نجس است </w:t>
      </w:r>
      <w:r w:rsidR="00925DD6">
        <w:rPr>
          <w:rFonts w:hint="cs"/>
          <w:rtl/>
        </w:rPr>
        <w:t>خصوصا بنا بر نظر مشهور که اصل سببی موافق</w:t>
      </w:r>
      <w:r>
        <w:rPr>
          <w:rFonts w:hint="cs"/>
          <w:rtl/>
        </w:rPr>
        <w:t xml:space="preserve"> را نیز</w:t>
      </w:r>
      <w:r w:rsidR="00925DD6">
        <w:rPr>
          <w:rFonts w:hint="cs"/>
          <w:rtl/>
        </w:rPr>
        <w:t xml:space="preserve"> مقدم بر اصل مسببی</w:t>
      </w:r>
      <w:r>
        <w:rPr>
          <w:rFonts w:hint="cs"/>
          <w:rtl/>
        </w:rPr>
        <w:t xml:space="preserve"> می‌دانند</w:t>
      </w:r>
      <w:r w:rsidR="00925DD6">
        <w:rPr>
          <w:rFonts w:hint="cs"/>
          <w:rtl/>
        </w:rPr>
        <w:t xml:space="preserve"> و </w:t>
      </w:r>
      <w:r w:rsidR="00EB4641">
        <w:rPr>
          <w:rFonts w:hint="cs"/>
          <w:rtl/>
        </w:rPr>
        <w:t xml:space="preserve">در نظرشان </w:t>
      </w:r>
      <w:r w:rsidR="00925DD6">
        <w:rPr>
          <w:rFonts w:hint="cs"/>
          <w:rtl/>
        </w:rPr>
        <w:t xml:space="preserve">تقدم اصل سببی اختصاص به اصل سببی مخالف با اصل مسببی ندارد. </w:t>
      </w:r>
    </w:p>
    <w:p w14:paraId="5AFBEE73" w14:textId="77777777" w:rsidR="00117793" w:rsidRDefault="00925DD6" w:rsidP="000C5AA2">
      <w:pPr>
        <w:jc w:val="both"/>
        <w:rPr>
          <w:rtl/>
        </w:rPr>
      </w:pPr>
      <w:r>
        <w:rPr>
          <w:rFonts w:hint="cs"/>
          <w:rtl/>
        </w:rPr>
        <w:t xml:space="preserve">نسبت </w:t>
      </w:r>
      <w:r w:rsidR="00117793">
        <w:rPr>
          <w:rFonts w:hint="cs"/>
          <w:rtl/>
        </w:rPr>
        <w:t xml:space="preserve">به صحیحه اول زراره نیز همین بیان مذکور می‌آید زیرا عرف متعارف به احتمال نجس بودن آب وضو یا بدن توجه نمی‌کند و لذا یقین وجدانی به وضو پیدا می‌کند و یا بر فرض عدم یقین وجدانی به وضو ممکن است این عبارت کنایه از استصحاب موضوعی عدم نوم باشد. </w:t>
      </w:r>
    </w:p>
    <w:p w14:paraId="0DF7A46C" w14:textId="77777777" w:rsidR="00925DD6" w:rsidRDefault="00117793" w:rsidP="00EB4641">
      <w:pPr>
        <w:jc w:val="both"/>
        <w:rPr>
          <w:rtl/>
        </w:rPr>
      </w:pPr>
      <w:r>
        <w:rPr>
          <w:rFonts w:hint="cs"/>
          <w:rtl/>
        </w:rPr>
        <w:t>علاوه بر این که یقین به وضو غیر از یقین به طهارت از حدث است، شما قبلا یقین به وضو داشتید یعنی یقین داشتید که وضو گرفتید و حدثی نیز از تو صادر نشد اما این که این آب وضو پاک بود</w:t>
      </w:r>
      <w:r w:rsidR="00EB464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25DD6">
        <w:rPr>
          <w:rFonts w:hint="cs"/>
          <w:rtl/>
        </w:rPr>
        <w:t>با قاعده‌ی طهارت ثابت می‌شود</w:t>
      </w:r>
      <w:r>
        <w:rPr>
          <w:rFonts w:hint="cs"/>
          <w:rtl/>
        </w:rPr>
        <w:t>.</w:t>
      </w:r>
    </w:p>
    <w:p w14:paraId="706B7343" w14:textId="77777777" w:rsidR="00117793" w:rsidRDefault="00117793" w:rsidP="000C5AA2">
      <w:pPr>
        <w:pStyle w:val="Heading2"/>
        <w:jc w:val="both"/>
        <w:rPr>
          <w:rtl/>
        </w:rPr>
      </w:pPr>
      <w:bookmarkStart w:id="8" w:name="_Toc136979455"/>
      <w:bookmarkStart w:id="9" w:name="_Toc137466070"/>
      <w:r>
        <w:rPr>
          <w:rFonts w:hint="cs"/>
          <w:rtl/>
        </w:rPr>
        <w:t>بررسی اشکال شهید صدر رحمه الله به بیان اول</w:t>
      </w:r>
      <w:bookmarkEnd w:id="8"/>
      <w:bookmarkEnd w:id="9"/>
    </w:p>
    <w:p w14:paraId="6531BBBC" w14:textId="77777777" w:rsidR="00716F89" w:rsidRDefault="00925DD6" w:rsidP="00EB4641">
      <w:pPr>
        <w:jc w:val="both"/>
        <w:rPr>
          <w:rtl/>
        </w:rPr>
      </w:pPr>
      <w:r>
        <w:rPr>
          <w:rFonts w:hint="cs"/>
          <w:rtl/>
        </w:rPr>
        <w:t xml:space="preserve">شهید صدر رحمه الله به </w:t>
      </w:r>
      <w:r w:rsidR="00EB4641">
        <w:rPr>
          <w:rFonts w:hint="cs"/>
          <w:rtl/>
        </w:rPr>
        <w:t>این بیان اشکال کرده</w:t>
      </w:r>
      <w:r>
        <w:rPr>
          <w:rFonts w:hint="cs"/>
          <w:rtl/>
        </w:rPr>
        <w:t xml:space="preserve"> و فرمود</w:t>
      </w:r>
      <w:r w:rsidR="00117793">
        <w:rPr>
          <w:rFonts w:hint="cs"/>
          <w:rtl/>
        </w:rPr>
        <w:t>ه‌اند: اگر ظاهر</w:t>
      </w:r>
      <w:r w:rsidR="00EB4641">
        <w:rPr>
          <w:rFonts w:hint="cs"/>
          <w:rtl/>
        </w:rPr>
        <w:t xml:space="preserve"> علم این باشد که مثال برای حجت </w:t>
      </w:r>
      <w:r w:rsidR="00117793">
        <w:rPr>
          <w:rFonts w:hint="cs"/>
          <w:rtl/>
        </w:rPr>
        <w:t xml:space="preserve">است </w:t>
      </w:r>
      <w:r>
        <w:rPr>
          <w:rFonts w:hint="cs"/>
          <w:rtl/>
        </w:rPr>
        <w:t>شرط قیام ام</w:t>
      </w:r>
      <w:r w:rsidR="00EB4641">
        <w:rPr>
          <w:rFonts w:hint="cs"/>
          <w:rtl/>
        </w:rPr>
        <w:t>اره مقام علم این خواهد بود که مؤ</w:t>
      </w:r>
      <w:r>
        <w:rPr>
          <w:rFonts w:hint="cs"/>
          <w:rtl/>
        </w:rPr>
        <w:t xml:space="preserve">دای اماره </w:t>
      </w:r>
      <w:r w:rsidR="00117793">
        <w:rPr>
          <w:rFonts w:hint="cs"/>
          <w:rtl/>
        </w:rPr>
        <w:t xml:space="preserve">دارای </w:t>
      </w:r>
      <w:r>
        <w:rPr>
          <w:rFonts w:hint="cs"/>
          <w:rtl/>
        </w:rPr>
        <w:t xml:space="preserve">اثر شرعی باشد و </w:t>
      </w:r>
      <w:r w:rsidR="00EB4641">
        <w:rPr>
          <w:rFonts w:hint="cs"/>
          <w:rtl/>
        </w:rPr>
        <w:t>سپس</w:t>
      </w:r>
      <w:r>
        <w:rPr>
          <w:rFonts w:hint="cs"/>
          <w:rtl/>
        </w:rPr>
        <w:t xml:space="preserve"> این اماره حجت بر آن اثر شرعی</w:t>
      </w:r>
      <w:r w:rsidR="00117793">
        <w:rPr>
          <w:rFonts w:hint="cs"/>
          <w:rtl/>
        </w:rPr>
        <w:t xml:space="preserve"> </w:t>
      </w:r>
      <w:r>
        <w:rPr>
          <w:rFonts w:hint="cs"/>
          <w:rtl/>
        </w:rPr>
        <w:t>باشد و مصداق</w:t>
      </w:r>
      <w:r w:rsidR="00117793">
        <w:rPr>
          <w:rFonts w:hint="cs"/>
          <w:rtl/>
        </w:rPr>
        <w:t xml:space="preserve"> حجت شود</w:t>
      </w:r>
      <w:r>
        <w:rPr>
          <w:rFonts w:hint="cs"/>
          <w:rtl/>
        </w:rPr>
        <w:t xml:space="preserve">، </w:t>
      </w:r>
      <w:r w:rsidR="00117793">
        <w:rPr>
          <w:rFonts w:hint="cs"/>
          <w:rtl/>
        </w:rPr>
        <w:t xml:space="preserve">و بعد از این که </w:t>
      </w:r>
      <w:r>
        <w:rPr>
          <w:rFonts w:hint="cs"/>
          <w:rtl/>
        </w:rPr>
        <w:t xml:space="preserve">این اماره حجت شد </w:t>
      </w:r>
      <w:r w:rsidR="00117793">
        <w:rPr>
          <w:rFonts w:hint="cs"/>
          <w:rtl/>
        </w:rPr>
        <w:t xml:space="preserve">آثار قطع موضوعی نیز بر آن مترتب می‌شود و </w:t>
      </w:r>
      <w:r>
        <w:rPr>
          <w:rFonts w:hint="cs"/>
          <w:rtl/>
        </w:rPr>
        <w:t xml:space="preserve">قائم مقام علم می‌شود. ولی در مواردی که </w:t>
      </w:r>
      <w:r w:rsidR="00EB4641">
        <w:rPr>
          <w:rFonts w:hint="cs"/>
          <w:rtl/>
        </w:rPr>
        <w:t>مؤ</w:t>
      </w:r>
      <w:r w:rsidR="00117793">
        <w:rPr>
          <w:rFonts w:hint="cs"/>
          <w:rtl/>
        </w:rPr>
        <w:t>دای اماره اثر شرعی نداشته باشد</w:t>
      </w:r>
      <w:r>
        <w:rPr>
          <w:rFonts w:hint="cs"/>
          <w:rtl/>
        </w:rPr>
        <w:t xml:space="preserve"> مثل اقامه اماره بر این که </w:t>
      </w:r>
      <w:r w:rsidR="00117793">
        <w:rPr>
          <w:rFonts w:hint="cs"/>
          <w:rtl/>
        </w:rPr>
        <w:t xml:space="preserve">این </w:t>
      </w:r>
      <w:r>
        <w:rPr>
          <w:rFonts w:hint="cs"/>
          <w:rtl/>
        </w:rPr>
        <w:t>دیوار سه متر است، این</w:t>
      </w:r>
      <w:r w:rsidR="00117793">
        <w:rPr>
          <w:rFonts w:hint="cs"/>
          <w:rtl/>
        </w:rPr>
        <w:t xml:space="preserve"> اماره حجت نیست و نمی‌تواند قائم مقام علم شود تا خبر به این که این دیوار سه متر است، </w:t>
      </w:r>
      <w:r w:rsidR="00EB4641">
        <w:rPr>
          <w:rFonts w:hint="cs"/>
          <w:rtl/>
        </w:rPr>
        <w:t>جایز شود</w:t>
      </w:r>
      <w:r w:rsidR="00836AFC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. </w:t>
      </w:r>
    </w:p>
    <w:p w14:paraId="3FFC18CD" w14:textId="77777777" w:rsidR="00716F89" w:rsidRDefault="00716F89" w:rsidP="00EB4641">
      <w:pPr>
        <w:jc w:val="both"/>
        <w:rPr>
          <w:rtl/>
        </w:rPr>
      </w:pPr>
      <w:r>
        <w:rPr>
          <w:rFonts w:hint="cs"/>
          <w:rtl/>
        </w:rPr>
        <w:t>این مطلب تمام نی</w:t>
      </w:r>
      <w:r w:rsidR="00EB4641">
        <w:rPr>
          <w:rFonts w:hint="cs"/>
          <w:rtl/>
        </w:rPr>
        <w:t>ست زیرا مراد از حجت، حجت شأ</w:t>
      </w:r>
      <w:r w:rsidR="00CA0D01">
        <w:rPr>
          <w:rFonts w:hint="cs"/>
          <w:rtl/>
        </w:rPr>
        <w:t>ن</w:t>
      </w:r>
      <w:r>
        <w:rPr>
          <w:rFonts w:hint="cs"/>
          <w:rtl/>
        </w:rPr>
        <w:t xml:space="preserve">یه است یعنی </w:t>
      </w:r>
      <w:r w:rsidR="00EB4641">
        <w:rPr>
          <w:rFonts w:hint="cs"/>
          <w:rtl/>
        </w:rPr>
        <w:t xml:space="preserve">اگر مؤدای </w:t>
      </w:r>
      <w:r>
        <w:rPr>
          <w:rFonts w:hint="cs"/>
          <w:rtl/>
        </w:rPr>
        <w:t xml:space="preserve">خبر ثقه اثر شرعی داشت آن اثر شرعی مترتب </w:t>
      </w:r>
      <w:r w:rsidR="00117793">
        <w:rPr>
          <w:rFonts w:hint="cs"/>
          <w:rtl/>
        </w:rPr>
        <w:t>می‌</w:t>
      </w:r>
      <w:r>
        <w:rPr>
          <w:rFonts w:hint="cs"/>
          <w:rtl/>
        </w:rPr>
        <w:t>ش</w:t>
      </w:r>
      <w:r w:rsidR="00117793">
        <w:rPr>
          <w:rFonts w:hint="cs"/>
          <w:rtl/>
        </w:rPr>
        <w:t>ود. بحث لفظی نیست که به</w:t>
      </w:r>
      <w:r>
        <w:rPr>
          <w:rFonts w:hint="cs"/>
          <w:rtl/>
        </w:rPr>
        <w:t xml:space="preserve"> لفظ حجت اشکال شود بلکه بحث این است که ظهور عرفی خطاب «</w:t>
      </w:r>
      <w:r w:rsidR="00836AFC">
        <w:rPr>
          <w:rFonts w:hint="cs"/>
          <w:rtl/>
        </w:rPr>
        <w:t>اذا علمت بکون زید فی الدار فتصدق</w:t>
      </w:r>
      <w:r>
        <w:rPr>
          <w:rFonts w:hint="cs"/>
          <w:rtl/>
        </w:rPr>
        <w:t xml:space="preserve">» علم وجدانی نیست بلکه اعم از علم وجدانی و طریق معتبر است. و </w:t>
      </w:r>
      <w:r w:rsidR="00EB4641">
        <w:rPr>
          <w:rFonts w:hint="cs"/>
          <w:rtl/>
        </w:rPr>
        <w:t>لازم نیست مؤ</w:t>
      </w:r>
      <w:r w:rsidR="00836AFC">
        <w:rPr>
          <w:rFonts w:hint="cs"/>
          <w:rtl/>
        </w:rPr>
        <w:t xml:space="preserve">ادی این طریق معتبر بالفعل اثر شرعی داشته باشد </w:t>
      </w:r>
      <w:r>
        <w:rPr>
          <w:rFonts w:hint="cs"/>
          <w:rtl/>
        </w:rPr>
        <w:t>ممکن خود واقع اثر شرعی نداشته باشد بلکه علم به واقع اثر شرعی داشته باشد.</w:t>
      </w:r>
    </w:p>
    <w:p w14:paraId="455053D4" w14:textId="77777777" w:rsidR="00716F89" w:rsidRDefault="00716F89" w:rsidP="000C5AA2">
      <w:pPr>
        <w:jc w:val="both"/>
        <w:rPr>
          <w:rtl/>
        </w:rPr>
      </w:pPr>
      <w:r>
        <w:rPr>
          <w:rFonts w:hint="cs"/>
          <w:rtl/>
        </w:rPr>
        <w:t xml:space="preserve">اما این که ایشان این استظهار را قبول ندارند و می‌گویند: علم ظهور در علم وجدانی دارد، بحث دیگری </w:t>
      </w:r>
      <w:r w:rsidR="00836AFC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</w:p>
    <w:p w14:paraId="35ACC050" w14:textId="77777777" w:rsidR="00716F89" w:rsidRDefault="00716F89" w:rsidP="000C5AA2">
      <w:pPr>
        <w:pStyle w:val="Heading3"/>
        <w:jc w:val="both"/>
        <w:rPr>
          <w:rtl/>
        </w:rPr>
      </w:pPr>
      <w:bookmarkStart w:id="10" w:name="_Toc136979456"/>
      <w:bookmarkStart w:id="11" w:name="_Toc137466071"/>
      <w:r>
        <w:rPr>
          <w:rFonts w:hint="cs"/>
          <w:rtl/>
        </w:rPr>
        <w:lastRenderedPageBreak/>
        <w:t>بیان دوم</w:t>
      </w:r>
      <w:r w:rsidR="00836AFC">
        <w:rPr>
          <w:rFonts w:hint="cs"/>
          <w:rtl/>
        </w:rPr>
        <w:t>: کلام آیت الله سیستانی حفظه الله</w:t>
      </w:r>
      <w:bookmarkEnd w:id="10"/>
      <w:bookmarkEnd w:id="11"/>
    </w:p>
    <w:p w14:paraId="3F5A7DCD" w14:textId="77777777" w:rsidR="00836AFC" w:rsidRPr="00836AFC" w:rsidRDefault="00836AFC" w:rsidP="00EB4641">
      <w:pPr>
        <w:jc w:val="both"/>
        <w:rPr>
          <w:rtl/>
        </w:rPr>
      </w:pPr>
      <w:r>
        <w:rPr>
          <w:rFonts w:hint="cs"/>
          <w:rtl/>
        </w:rPr>
        <w:t xml:space="preserve">آیت الله سیستانی حفظه الله فرموده‌اند: موضوع له لفظ علم اعتقاد جازم نیست بلکه موضوع له آن تبین و وضوح است اعم از این که اعتقاد جازم باشد یا طریق معتبر عقلایی باشد و اعتقاد جازم نیز مساوی با علم نیست زیرا اعتقاد جازم ناشی از مناشئ غیر عقلائیه ظن است نه علم و ظن به معنای احتمال راجح نیست و لذا قرآن </w:t>
      </w:r>
      <w:r w:rsidR="00EB4641">
        <w:rPr>
          <w:rFonts w:hint="cs"/>
          <w:rtl/>
        </w:rPr>
        <w:t xml:space="preserve">کریم </w:t>
      </w:r>
      <w:r>
        <w:rPr>
          <w:rFonts w:hint="cs"/>
          <w:rtl/>
        </w:rPr>
        <w:t>راجع به مشرکین می‌</w:t>
      </w:r>
      <w:r w:rsidR="00EB4641">
        <w:rPr>
          <w:rFonts w:hint="cs"/>
          <w:rtl/>
        </w:rPr>
        <w:t>فرما</w:t>
      </w:r>
      <w:r>
        <w:rPr>
          <w:rFonts w:hint="cs"/>
          <w:rtl/>
        </w:rPr>
        <w:t>ید: «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وَ ما لَهُمْ بِذلِكَ مِنْ‏ عِلْمٍ‏ إِنْ هُمْ إِلاَّ يَظُنُّونَ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>، منتهی بعد از ورود فلسفه یونان به کشورهای مسلمان علم در اعتقاد جازم</w:t>
      </w:r>
      <w:r w:rsidR="00EB4641" w:rsidRPr="00EB4641">
        <w:rPr>
          <w:rFonts w:hint="cs"/>
          <w:rtl/>
        </w:rPr>
        <w:t xml:space="preserve"> </w:t>
      </w:r>
      <w:r>
        <w:rPr>
          <w:rFonts w:hint="cs"/>
          <w:rtl/>
        </w:rPr>
        <w:t>ولو از مناشئ غیر عقلائیه باشد</w:t>
      </w:r>
      <w:r w:rsidR="00EB4641">
        <w:rPr>
          <w:rFonts w:hint="cs"/>
          <w:rtl/>
        </w:rPr>
        <w:t>،</w:t>
      </w:r>
      <w:r w:rsidR="00EB4641" w:rsidRPr="00EB4641">
        <w:rPr>
          <w:rFonts w:hint="cs"/>
          <w:rtl/>
        </w:rPr>
        <w:t xml:space="preserve"> </w:t>
      </w:r>
      <w:r w:rsidR="00EB4641">
        <w:rPr>
          <w:rFonts w:hint="cs"/>
          <w:rtl/>
        </w:rPr>
        <w:t>استعمال شد</w:t>
      </w:r>
      <w:r>
        <w:rPr>
          <w:rFonts w:hint="cs"/>
          <w:rtl/>
        </w:rPr>
        <w:t xml:space="preserve"> و ظن در اعتقاد غیر جازم</w:t>
      </w:r>
      <w:r w:rsidR="00EB4641" w:rsidRPr="00EB4641">
        <w:rPr>
          <w:rFonts w:hint="cs"/>
          <w:rtl/>
        </w:rPr>
        <w:t xml:space="preserve"> </w:t>
      </w:r>
      <w:r w:rsidR="00EB4641">
        <w:rPr>
          <w:rFonts w:hint="cs"/>
          <w:rtl/>
        </w:rPr>
        <w:t>استعمال شد</w:t>
      </w:r>
      <w:r w:rsidRPr="001A5FDB">
        <w:rPr>
          <w:rStyle w:val="FootnoteReference"/>
          <w:rFonts w:ascii="NoorLotus" w:hAnsi="NoorLotus"/>
          <w:sz w:val="28"/>
          <w:rtl/>
        </w:rPr>
        <w:footnoteReference w:id="6"/>
      </w:r>
      <w:r>
        <w:rPr>
          <w:rFonts w:hint="cs"/>
          <w:rtl/>
        </w:rPr>
        <w:t xml:space="preserve">. </w:t>
      </w:r>
    </w:p>
    <w:p w14:paraId="0D98F8EB" w14:textId="77777777" w:rsidR="0080570D" w:rsidRDefault="00716F89" w:rsidP="00871A1B">
      <w:pPr>
        <w:jc w:val="both"/>
        <w:rPr>
          <w:rtl/>
        </w:rPr>
      </w:pPr>
      <w:r>
        <w:rPr>
          <w:rFonts w:hint="cs"/>
          <w:rtl/>
        </w:rPr>
        <w:t xml:space="preserve">این بیان با بیان </w:t>
      </w:r>
      <w:r w:rsidR="00871A1B">
        <w:rPr>
          <w:rFonts w:hint="cs"/>
          <w:rtl/>
        </w:rPr>
        <w:t>اول</w:t>
      </w:r>
      <w:r>
        <w:rPr>
          <w:rFonts w:hint="cs"/>
          <w:rtl/>
        </w:rPr>
        <w:t xml:space="preserve"> فرق دارد زیرا در بیان قبل موضوع له علم همان علم وجدانی است و فقط</w:t>
      </w:r>
      <w:r w:rsidR="0080570D">
        <w:rPr>
          <w:rFonts w:hint="cs"/>
          <w:rtl/>
        </w:rPr>
        <w:t xml:space="preserve"> ظاهر آن در کتاب و سنت این است که</w:t>
      </w:r>
      <w:r>
        <w:rPr>
          <w:rFonts w:hint="cs"/>
          <w:rtl/>
        </w:rPr>
        <w:t xml:space="preserve"> مثال برای طریق معتبر است ولی</w:t>
      </w:r>
      <w:r w:rsidR="0080570D">
        <w:rPr>
          <w:rFonts w:hint="cs"/>
          <w:rtl/>
        </w:rPr>
        <w:t xml:space="preserve"> در این بیان موضوع له علم را تبین و وضوح دانسته است اعم از این که اعتقاد جازم باشد یا طریق معتبر عقلایی باشد.</w:t>
      </w:r>
    </w:p>
    <w:p w14:paraId="409201E0" w14:textId="77777777" w:rsidR="009571C2" w:rsidRDefault="00716F89" w:rsidP="000C5AA2">
      <w:pPr>
        <w:jc w:val="both"/>
        <w:rPr>
          <w:rtl/>
        </w:rPr>
      </w:pPr>
      <w:r>
        <w:rPr>
          <w:rFonts w:hint="cs"/>
          <w:rtl/>
        </w:rPr>
        <w:t>این بیان</w:t>
      </w:r>
      <w:r w:rsidR="0080570D">
        <w:rPr>
          <w:rFonts w:hint="cs"/>
          <w:rtl/>
        </w:rPr>
        <w:t xml:space="preserve"> تمام نیست و</w:t>
      </w:r>
      <w:r>
        <w:rPr>
          <w:rFonts w:hint="cs"/>
          <w:rtl/>
        </w:rPr>
        <w:t xml:space="preserve"> شاهد</w:t>
      </w:r>
      <w:r w:rsidR="0080570D">
        <w:rPr>
          <w:rFonts w:hint="cs"/>
          <w:rtl/>
        </w:rPr>
        <w:t>ی بر آن وجود</w:t>
      </w:r>
      <w:r>
        <w:rPr>
          <w:rFonts w:hint="cs"/>
          <w:rtl/>
        </w:rPr>
        <w:t xml:space="preserve"> ندارد. در روایات </w:t>
      </w:r>
      <w:r w:rsidR="0080570D">
        <w:rPr>
          <w:rFonts w:hint="cs"/>
          <w:rtl/>
        </w:rPr>
        <w:t xml:space="preserve">زیادی </w:t>
      </w:r>
      <w:r>
        <w:rPr>
          <w:rFonts w:hint="cs"/>
          <w:rtl/>
        </w:rPr>
        <w:t xml:space="preserve">مثل صحیحه زراره </w:t>
      </w:r>
      <w:r w:rsidRPr="0080570D">
        <w:rPr>
          <w:rFonts w:hint="cs"/>
          <w:rtl/>
        </w:rPr>
        <w:t>«</w:t>
      </w:r>
      <w:r w:rsidR="0080570D" w:rsidRPr="0080570D">
        <w:rPr>
          <w:rFonts w:hint="cs"/>
          <w:rtl/>
        </w:rPr>
        <w:t>فَإِنْ ظَنَنْتُ‏ أَنَّهُ‏ قَدْ أَصَابَهُ‏ وَ لَمْ أَتَيَقَّنْ ذَلِكَ فَنَظَرْتُ فَلَمْ أَرَ شَيْئاً ثُمَّ صَلَّيْتُ فَرَأَيْتُ فِيه</w:t>
      </w:r>
      <w:r w:rsidR="0080570D">
        <w:rPr>
          <w:rFonts w:hint="cs"/>
          <w:color w:val="242887"/>
          <w:rtl/>
        </w:rPr>
        <w:t>‏</w:t>
      </w:r>
      <w:r>
        <w:rPr>
          <w:rFonts w:hint="cs"/>
          <w:rtl/>
        </w:rPr>
        <w:t>»</w:t>
      </w:r>
      <w:r w:rsidR="0080570D"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</w:t>
      </w:r>
      <w:r w:rsidR="0080570D">
        <w:rPr>
          <w:rFonts w:hint="cs"/>
          <w:rtl/>
        </w:rPr>
        <w:t xml:space="preserve">یقین به معنای علم وجدانی استعمال شده است زیرا  </w:t>
      </w:r>
      <w:r>
        <w:rPr>
          <w:rFonts w:hint="cs"/>
          <w:rtl/>
        </w:rPr>
        <w:t xml:space="preserve">ترجمه آن </w:t>
      </w:r>
      <w:r w:rsidR="0080570D">
        <w:rPr>
          <w:rFonts w:hint="cs"/>
          <w:rtl/>
        </w:rPr>
        <w:t xml:space="preserve">این است که </w:t>
      </w:r>
      <w:r>
        <w:rPr>
          <w:rFonts w:hint="cs"/>
          <w:rtl/>
        </w:rPr>
        <w:t>«گما</w:t>
      </w:r>
      <w:r w:rsidR="0080570D">
        <w:rPr>
          <w:rFonts w:hint="cs"/>
          <w:rtl/>
        </w:rPr>
        <w:t>ن کردم و احتمال راجح دادم که خون</w:t>
      </w:r>
      <w:r>
        <w:rPr>
          <w:rFonts w:hint="cs"/>
          <w:rtl/>
        </w:rPr>
        <w:t xml:space="preserve"> به لباسم اصابت کرد</w:t>
      </w:r>
      <w:r w:rsidR="0080570D">
        <w:rPr>
          <w:rFonts w:hint="cs"/>
          <w:rtl/>
        </w:rPr>
        <w:t xml:space="preserve">ه باشد و لکن یقین پیدا نکردم، نگاه کردم چیزی ندیدم نماز خواندم بعد </w:t>
      </w:r>
      <w:r w:rsidR="0080570D" w:rsidRPr="00214985">
        <w:rPr>
          <w:rtl/>
        </w:rPr>
        <w:t>پ</w:t>
      </w:r>
      <w:r w:rsidR="0080570D">
        <w:rPr>
          <w:rFonts w:hint="cs"/>
          <w:rtl/>
        </w:rPr>
        <w:t xml:space="preserve">یدا کردم» و همچنین </w:t>
      </w:r>
      <w:r>
        <w:rPr>
          <w:rFonts w:hint="cs"/>
          <w:rtl/>
        </w:rPr>
        <w:t xml:space="preserve">صحیحه حلبی </w:t>
      </w:r>
      <w:r w:rsidRPr="009571C2">
        <w:rPr>
          <w:rFonts w:hint="cs"/>
          <w:rtl/>
        </w:rPr>
        <w:t>«</w:t>
      </w:r>
      <w:r w:rsidR="009571C2" w:rsidRPr="009571C2">
        <w:rPr>
          <w:rFonts w:hint="cs"/>
          <w:rtl/>
        </w:rPr>
        <w:t>إِذَا احْتَلَمَ‏ الرَّجُلُ‏ فَأَصَابَ‏ ثَوْبَهُ‏ شَيْ‏ءٌ فَلْيَغْسِلِ الَّذِي أَصَابَهُ وَ إِنْ ظَنَّ أَنَّهُ أَصَابَهُ شَيْ‏ءٌ وَ لَمْ يَسْتَيْقِنْ وَ لَمْ يَرَ مَكَانَهُ فَلْيَنْضَحْهُ بِالْمَاءِ وَ إِنْ يَسْتَيْقِنْ أَنَّهُ قَدْ أَصَابَهُ وَ لَمْ يَرَ مَكَانَهُ فَلْيَغْسِلْ ثَوْبَهُ كُلَّهُ فَإِنَّهُ أَحْسَنُ.</w:t>
      </w:r>
      <w:r w:rsidRPr="009571C2">
        <w:rPr>
          <w:rFonts w:hint="cs"/>
          <w:rtl/>
        </w:rPr>
        <w:t>»</w:t>
      </w:r>
      <w:r w:rsidR="009571C2"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 </w:t>
      </w:r>
      <w:r w:rsidR="009571C2">
        <w:rPr>
          <w:rFonts w:hint="cs"/>
          <w:rtl/>
        </w:rPr>
        <w:t xml:space="preserve">که ظهور عرفی آن است که گمان و احتمال راجح پیدا کند به اصابت نجس و یقین به آن پیدا نکند. </w:t>
      </w:r>
    </w:p>
    <w:p w14:paraId="3C5EB230" w14:textId="77777777" w:rsidR="00716F89" w:rsidRDefault="009571C2" w:rsidP="00871A1B">
      <w:pPr>
        <w:jc w:val="both"/>
        <w:rPr>
          <w:rtl/>
        </w:rPr>
      </w:pPr>
      <w:r>
        <w:rPr>
          <w:rFonts w:hint="cs"/>
          <w:rtl/>
        </w:rPr>
        <w:t xml:space="preserve">در آیات </w:t>
      </w:r>
      <w:r w:rsidR="00871A1B">
        <w:rPr>
          <w:rFonts w:hint="cs"/>
          <w:rtl/>
        </w:rPr>
        <w:t xml:space="preserve">قرآن کریم </w:t>
      </w:r>
      <w:r>
        <w:rPr>
          <w:rFonts w:hint="cs"/>
          <w:rtl/>
        </w:rPr>
        <w:t>نیز علم به معنای یقین وجدانی استعمال شده است مثل آیه</w:t>
      </w:r>
      <w:r w:rsidR="00716F89">
        <w:rPr>
          <w:rFonts w:hint="cs"/>
          <w:rtl/>
        </w:rPr>
        <w:t xml:space="preserve"> «</w:t>
      </w:r>
      <w:r w:rsidRPr="009571C2">
        <w:rPr>
          <w:rFonts w:hint="cs"/>
          <w:rtl/>
        </w:rPr>
        <w:t xml:space="preserve"> </w:t>
      </w:r>
      <w:r>
        <w:rPr>
          <w:rFonts w:hint="cs"/>
          <w:rtl/>
        </w:rPr>
        <w:t>وَ إِذا قيلَ إِنَّ وَعْدَ اللَّهِ حَقٌّ وَ السَّاعَةُ لا رَيْبَ‏ فيها قُلْتُمْ ما نَدْري مَا السَّاعَةُ إِنْ نَظُنُّ إِلاَّ ظَنًّا وَ ما نَحْنُ بِمُسْتَيْقِنينَ</w:t>
      </w:r>
      <w:r w:rsidR="00716F89">
        <w:rPr>
          <w:rFonts w:hint="cs"/>
          <w:rtl/>
        </w:rPr>
        <w:t>»</w:t>
      </w:r>
      <w:r>
        <w:rPr>
          <w:rStyle w:val="FootnoteReference"/>
          <w:rtl/>
        </w:rPr>
        <w:footnoteReference w:id="9"/>
      </w:r>
      <w:r w:rsidR="00716F89">
        <w:rPr>
          <w:rFonts w:hint="cs"/>
          <w:rtl/>
        </w:rPr>
        <w:t xml:space="preserve"> </w:t>
      </w:r>
      <w:r>
        <w:rPr>
          <w:rFonts w:hint="cs"/>
          <w:rtl/>
        </w:rPr>
        <w:t>که معنای آن این است که «</w:t>
      </w:r>
      <w:r w:rsidR="00716F89">
        <w:rPr>
          <w:rFonts w:hint="cs"/>
          <w:rtl/>
        </w:rPr>
        <w:t xml:space="preserve">وقتی خبر از قیامت </w:t>
      </w:r>
      <w:r>
        <w:rPr>
          <w:rFonts w:hint="cs"/>
          <w:rtl/>
        </w:rPr>
        <w:t xml:space="preserve">به </w:t>
      </w:r>
      <w:r w:rsidR="00871A1B">
        <w:rPr>
          <w:rFonts w:hint="cs"/>
          <w:rtl/>
        </w:rPr>
        <w:t xml:space="preserve">شما </w:t>
      </w:r>
      <w:r w:rsidR="00716F89">
        <w:rPr>
          <w:rFonts w:hint="cs"/>
          <w:rtl/>
        </w:rPr>
        <w:t>می‌دهند و می‌گویند: شکی در قیامت نیست. شما می‌گویید ما صرفا گمان به آن داریم و یقین به آن نداریم.</w:t>
      </w:r>
      <w:r>
        <w:rPr>
          <w:rFonts w:hint="cs"/>
          <w:rtl/>
        </w:rPr>
        <w:t xml:space="preserve">» </w:t>
      </w:r>
      <w:r w:rsidR="00716F89">
        <w:rPr>
          <w:rFonts w:hint="cs"/>
          <w:rtl/>
        </w:rPr>
        <w:t>لذا متف</w:t>
      </w:r>
      <w:r w:rsidR="00871A1B">
        <w:rPr>
          <w:rFonts w:hint="cs"/>
          <w:rtl/>
        </w:rPr>
        <w:t>ا</w:t>
      </w:r>
      <w:r w:rsidR="00716F89">
        <w:rPr>
          <w:rFonts w:hint="cs"/>
          <w:rtl/>
        </w:rPr>
        <w:t xml:space="preserve">هم عرفی از علم و یقین انکشاف تام است البته در کتاب و سنت و </w:t>
      </w:r>
      <w:r w:rsidR="00716F89">
        <w:rPr>
          <w:rFonts w:hint="cs"/>
          <w:rtl/>
        </w:rPr>
        <w:lastRenderedPageBreak/>
        <w:t>استعمالات عرفیه ظهور در مثالیت برای طریق معتبر</w:t>
      </w:r>
      <w:r>
        <w:rPr>
          <w:rFonts w:hint="cs"/>
          <w:rtl/>
        </w:rPr>
        <w:t xml:space="preserve"> دارد که این</w:t>
      </w:r>
      <w:r w:rsidR="00716F89">
        <w:rPr>
          <w:rFonts w:hint="cs"/>
          <w:rtl/>
        </w:rPr>
        <w:t xml:space="preserve"> ب</w:t>
      </w:r>
      <w:r>
        <w:rPr>
          <w:rFonts w:hint="cs"/>
          <w:rtl/>
        </w:rPr>
        <w:t>حث دیگری است و همه جا نیز چنین نیست و</w:t>
      </w:r>
      <w:r w:rsidR="00716F89">
        <w:rPr>
          <w:rFonts w:hint="cs"/>
          <w:rtl/>
        </w:rPr>
        <w:t xml:space="preserve"> در اصول دین</w:t>
      </w:r>
      <w:r>
        <w:rPr>
          <w:rFonts w:hint="cs"/>
          <w:rtl/>
        </w:rPr>
        <w:t xml:space="preserve"> وقتی گفته می‌شود باید علم داشته باشید</w:t>
      </w:r>
      <w:r w:rsidR="00716F89">
        <w:rPr>
          <w:rFonts w:hint="cs"/>
          <w:rtl/>
        </w:rPr>
        <w:t xml:space="preserve"> به همان معنای اعتقاد جازم</w:t>
      </w:r>
      <w:r>
        <w:rPr>
          <w:rFonts w:hint="cs"/>
          <w:rtl/>
        </w:rPr>
        <w:t xml:space="preserve"> و یقین وجدانی</w:t>
      </w:r>
      <w:r w:rsidR="00716F89">
        <w:rPr>
          <w:rFonts w:hint="cs"/>
          <w:rtl/>
        </w:rPr>
        <w:t xml:space="preserve"> است. </w:t>
      </w:r>
    </w:p>
    <w:p w14:paraId="17E69DAD" w14:textId="77777777" w:rsidR="00716F89" w:rsidRPr="00F4580D" w:rsidRDefault="009571C2" w:rsidP="000C5AA2">
      <w:pPr>
        <w:jc w:val="both"/>
        <w:rPr>
          <w:rtl/>
        </w:rPr>
      </w:pPr>
      <w:r w:rsidRPr="00F4580D">
        <w:rPr>
          <w:rFonts w:hint="cs"/>
          <w:rtl/>
        </w:rPr>
        <w:t>البته گاهی «ظن» به معنای اعتقاد خلاف واقع استعمال می‌شود مثل موثقه سماعه « فِي قَوْمٍ صَامُوا شَهْرَ رَمَضَانَ فَغَشِيَهُمْ‏ سَحَابٌ‏ أَسْوَدُ عِنْدَ غُرُوبِ الشَّمْسِ فَرَأَوْا أَنَّهُ اللَّيْلُ فَأَفْطَرَ بَعْضُهُمْ ثُمَّ إِنَّ السَّحَابَ انْجَلَى فَإِذَا الشَّمْسُ قَالَ عَلَى الَّذِي أَفْطَرَ صِيَامُ ذَلِكَ الْيَوْمِ إِنَّ اللَّهَ عَزَّ وَ جَلَّ يَقُولُ- أَتِمُّوا الصِّيامَ إِلَى اللَّيْلِ‏ فَمَنْ أَكَلَ قَبْلَ أَنْ يَدْخُلَ اللَّيْلُ فَعَلَيْهِ قَضَاؤُهُ لِأَنَّهُ أَكَلَ مُتَعَمِّداً.»</w:t>
      </w:r>
      <w:r w:rsidRPr="00F4580D">
        <w:rPr>
          <w:rStyle w:val="FootnoteReference"/>
          <w:rtl/>
        </w:rPr>
        <w:footnoteReference w:id="10"/>
      </w:r>
      <w:r w:rsidRPr="00F4580D">
        <w:rPr>
          <w:rFonts w:hint="cs"/>
          <w:rtl/>
        </w:rPr>
        <w:t xml:space="preserve">  </w:t>
      </w:r>
      <w:r w:rsidR="00716F89" w:rsidRPr="00F4580D">
        <w:rPr>
          <w:rFonts w:hint="cs"/>
          <w:rtl/>
        </w:rPr>
        <w:t xml:space="preserve">«فظنوا» یعنی اعتقاد پیدا کردند ولی چون خلاف واقع است تعبیر به ظن </w:t>
      </w:r>
      <w:r w:rsidRPr="00F4580D">
        <w:rPr>
          <w:rFonts w:hint="cs"/>
          <w:rtl/>
        </w:rPr>
        <w:t>شده است</w:t>
      </w:r>
      <w:r w:rsidR="00716F89" w:rsidRPr="00F4580D">
        <w:rPr>
          <w:rFonts w:hint="cs"/>
          <w:rtl/>
        </w:rPr>
        <w:t xml:space="preserve">. </w:t>
      </w:r>
    </w:p>
    <w:p w14:paraId="053BBF35" w14:textId="77777777" w:rsidR="00F21E07" w:rsidRDefault="00716F89" w:rsidP="00871A1B">
      <w:pPr>
        <w:jc w:val="both"/>
        <w:rPr>
          <w:rtl/>
        </w:rPr>
      </w:pPr>
      <w:r>
        <w:rPr>
          <w:rFonts w:hint="cs"/>
          <w:rtl/>
        </w:rPr>
        <w:t>گاهی نیز در علوم غیبیه تعبیر به ظن می‌شود ولو اعتقاد جازم ناشی از مناشئ عقلائیه باشد مثل</w:t>
      </w:r>
      <w:r w:rsidR="00975406">
        <w:rPr>
          <w:rFonts w:hint="cs"/>
          <w:rtl/>
        </w:rPr>
        <w:t xml:space="preserve"> آیه</w:t>
      </w:r>
      <w:r>
        <w:rPr>
          <w:rFonts w:hint="cs"/>
          <w:rtl/>
        </w:rPr>
        <w:t xml:space="preserve"> «</w:t>
      </w:r>
      <w:r w:rsidR="00975406" w:rsidRPr="00975406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975406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الَّذينَ يَظُنُّونَ أَنَّهُمْ مُلاقُوا رَبِّهِمْ وَ أَنَّهُمْ إِلَيْهِ راجِعُونَ</w:t>
      </w:r>
      <w:r>
        <w:rPr>
          <w:rFonts w:hint="cs"/>
          <w:rtl/>
        </w:rPr>
        <w:t>»</w:t>
      </w:r>
      <w:r w:rsidR="00975406">
        <w:rPr>
          <w:rStyle w:val="FootnoteReference"/>
          <w:rtl/>
        </w:rPr>
        <w:footnoteReference w:id="11"/>
      </w:r>
      <w:r w:rsidR="00F21E07">
        <w:rPr>
          <w:rFonts w:hint="cs"/>
          <w:rtl/>
        </w:rPr>
        <w:t xml:space="preserve"> </w:t>
      </w:r>
      <w:r w:rsidR="00975406">
        <w:rPr>
          <w:rFonts w:hint="cs"/>
          <w:rtl/>
        </w:rPr>
        <w:t>م</w:t>
      </w:r>
      <w:r w:rsidR="00871A1B">
        <w:rPr>
          <w:rFonts w:hint="cs"/>
          <w:rtl/>
        </w:rPr>
        <w:t>ؤ</w:t>
      </w:r>
      <w:r w:rsidR="00975406">
        <w:rPr>
          <w:rFonts w:hint="cs"/>
          <w:rtl/>
        </w:rPr>
        <w:t>منین</w:t>
      </w:r>
      <w:r w:rsidR="00F21E07">
        <w:rPr>
          <w:rFonts w:hint="cs"/>
          <w:rtl/>
        </w:rPr>
        <w:t xml:space="preserve"> اعتقاد جازم دارند </w:t>
      </w:r>
      <w:r w:rsidR="00975406">
        <w:rPr>
          <w:rFonts w:hint="cs"/>
          <w:rtl/>
        </w:rPr>
        <w:t xml:space="preserve">به این که خداوند را ملاقات خواهند کرد </w:t>
      </w:r>
      <w:r w:rsidR="00F21E07">
        <w:rPr>
          <w:rFonts w:hint="cs"/>
          <w:rtl/>
        </w:rPr>
        <w:t xml:space="preserve">و </w:t>
      </w:r>
      <w:r w:rsidR="00871A1B">
        <w:rPr>
          <w:rFonts w:hint="cs"/>
          <w:rtl/>
        </w:rPr>
        <w:t xml:space="preserve">این اعتقاد </w:t>
      </w:r>
      <w:r w:rsidR="00F21E07">
        <w:rPr>
          <w:rFonts w:hint="cs"/>
          <w:rtl/>
        </w:rPr>
        <w:t>از مناشئ عقائیه</w:t>
      </w:r>
      <w:r w:rsidR="00975406">
        <w:rPr>
          <w:rFonts w:hint="cs"/>
          <w:rtl/>
        </w:rPr>
        <w:t xml:space="preserve"> نیز</w:t>
      </w:r>
      <w:r w:rsidR="00F21E07">
        <w:rPr>
          <w:rFonts w:hint="cs"/>
          <w:rtl/>
        </w:rPr>
        <w:t xml:space="preserve"> </w:t>
      </w:r>
      <w:r w:rsidR="00871A1B">
        <w:rPr>
          <w:rFonts w:hint="cs"/>
          <w:rtl/>
        </w:rPr>
        <w:t>ه</w:t>
      </w:r>
      <w:r w:rsidR="00F21E07">
        <w:rPr>
          <w:rFonts w:hint="cs"/>
          <w:rtl/>
        </w:rPr>
        <w:t xml:space="preserve">ست ولی چون اعتقاد به امور غیبیه است تعبیر به «ظن» شده است. </w:t>
      </w:r>
    </w:p>
    <w:p w14:paraId="6023010F" w14:textId="77777777" w:rsidR="00F21E07" w:rsidRPr="00975406" w:rsidRDefault="00975406" w:rsidP="00871A1B">
      <w:pPr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>
        <w:rPr>
          <w:rFonts w:hint="cs"/>
          <w:rtl/>
        </w:rPr>
        <w:t>در نهج البلاغه نیز آمده است که افرادی امیرالم</w:t>
      </w:r>
      <w:r w:rsidR="00871A1B">
        <w:rPr>
          <w:rFonts w:hint="cs"/>
          <w:rtl/>
        </w:rPr>
        <w:t>ؤ</w:t>
      </w:r>
      <w:r>
        <w:rPr>
          <w:rFonts w:hint="cs"/>
          <w:rtl/>
        </w:rPr>
        <w:t xml:space="preserve">منین علیه السلام را مدح کردند و امام علیه السلام </w:t>
      </w:r>
      <w:r w:rsidR="00F21E07">
        <w:rPr>
          <w:rFonts w:hint="cs"/>
          <w:rtl/>
        </w:rPr>
        <w:t>عکس العمل منفی</w:t>
      </w:r>
      <w:r>
        <w:rPr>
          <w:rFonts w:hint="cs"/>
          <w:rtl/>
        </w:rPr>
        <w:t xml:space="preserve"> در مقابل آن‌ها نشان</w:t>
      </w:r>
      <w:r w:rsidR="00F21E07">
        <w:rPr>
          <w:rFonts w:hint="cs"/>
          <w:rtl/>
        </w:rPr>
        <w:t>‌</w:t>
      </w:r>
      <w:r>
        <w:rPr>
          <w:rFonts w:hint="cs"/>
          <w:rtl/>
        </w:rPr>
        <w:t xml:space="preserve"> </w:t>
      </w:r>
      <w:r w:rsidR="00F21E07">
        <w:rPr>
          <w:rFonts w:hint="cs"/>
          <w:rtl/>
        </w:rPr>
        <w:t>داد</w:t>
      </w:r>
      <w:r>
        <w:rPr>
          <w:rFonts w:hint="cs"/>
          <w:rtl/>
        </w:rPr>
        <w:t>ند</w:t>
      </w:r>
      <w:r w:rsidR="00F21E0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F21E07">
        <w:rPr>
          <w:rFonts w:hint="cs"/>
          <w:rtl/>
        </w:rPr>
        <w:t>فرموده‌اند</w:t>
      </w:r>
      <w:r w:rsidR="00F21E07" w:rsidRPr="00975406">
        <w:rPr>
          <w:rFonts w:hint="cs"/>
          <w:rtl/>
        </w:rPr>
        <w:t>: «</w:t>
      </w:r>
      <w:r w:rsidRPr="00975406">
        <w:rPr>
          <w:rFonts w:hint="cs"/>
          <w:rtl/>
        </w:rPr>
        <w:t>اللَّهُمَ‏ إِنَّكَ‏ أَعْلَمُ‏ بِي‏ مِنْ‏ نَفْسِي‏ وَ أَنَا أَعْلَمُ بِنَفْسِي مِنْهُمْ اللَّهُمَّ [اجْعَلْنِي‏] اجْعَلْنَا خَيْراً مِمَّا يَظُنُّونَ وَ اغْفِرْ [لِي‏] لَنَا مَا لَا يَعْلَمُون‏</w:t>
      </w:r>
      <w:r w:rsidR="00F21E07" w:rsidRPr="00975406">
        <w:rPr>
          <w:rFonts w:hint="cs"/>
          <w:rtl/>
        </w:rPr>
        <w:t>»</w:t>
      </w:r>
      <w:r>
        <w:rPr>
          <w:rStyle w:val="FootnoteReference"/>
          <w:rtl/>
        </w:rPr>
        <w:footnoteReference w:id="12"/>
      </w:r>
      <w:r w:rsidR="00F21E07">
        <w:rPr>
          <w:rFonts w:hint="cs"/>
          <w:rtl/>
        </w:rPr>
        <w:t xml:space="preserve"> این جا نیز تعبیر به </w:t>
      </w:r>
      <w:r>
        <w:rPr>
          <w:rFonts w:hint="cs"/>
          <w:rtl/>
        </w:rPr>
        <w:t>ظن شد چون مربوط به باطن فرد است که دیگران نسبت به باطن یک فرد اظهار نظر می‌کردند.</w:t>
      </w:r>
    </w:p>
    <w:p w14:paraId="39EC8E1E" w14:textId="77777777" w:rsidR="00F21E07" w:rsidRDefault="00F21E07" w:rsidP="000C5AA2">
      <w:pPr>
        <w:jc w:val="both"/>
        <w:rPr>
          <w:rtl/>
        </w:rPr>
      </w:pPr>
      <w:r>
        <w:rPr>
          <w:rFonts w:hint="cs"/>
          <w:rtl/>
        </w:rPr>
        <w:t>آن نکته‌ای که آیت الله سیستانی حفظه الله بر آن اصرار دارند این است که آیات نس</w:t>
      </w:r>
      <w:r w:rsidR="00975406">
        <w:rPr>
          <w:rFonts w:hint="cs"/>
          <w:rtl/>
        </w:rPr>
        <w:t>بت به مشرکین تعبیر می‌کنند به «وَ ما لَهُمْ بِذلِكَ مِنْ‏ عِلْمٍ‏ إِنْ هُمْ إِلاَّ يَظُنُّونَ»</w:t>
      </w:r>
      <w:r w:rsidR="00975406">
        <w:rPr>
          <w:rStyle w:val="FootnoteReference"/>
          <w:rtl/>
        </w:rPr>
        <w:footnoteReference w:id="13"/>
      </w:r>
      <w:r>
        <w:rPr>
          <w:rFonts w:hint="cs"/>
          <w:rtl/>
        </w:rPr>
        <w:t xml:space="preserve"> و «</w:t>
      </w:r>
      <w:r w:rsidR="00975406">
        <w:rPr>
          <w:rFonts w:hint="cs"/>
          <w:rtl/>
        </w:rPr>
        <w:t xml:space="preserve">إِنْ تَتَّبِعُونَ إِلاَّ الظَّنَّ وَ إِنْ أَنْتُمْ إِلاَّ تَخْرُصُونَ‏ </w:t>
      </w:r>
      <w:r>
        <w:rPr>
          <w:rFonts w:hint="cs"/>
          <w:rtl/>
        </w:rPr>
        <w:t>»</w:t>
      </w:r>
      <w:r w:rsidR="00975406">
        <w:rPr>
          <w:rStyle w:val="FootnoteReference"/>
          <w:rtl/>
        </w:rPr>
        <w:footnoteReference w:id="14"/>
      </w:r>
      <w:r>
        <w:rPr>
          <w:rFonts w:hint="cs"/>
          <w:rtl/>
        </w:rPr>
        <w:t xml:space="preserve"> </w:t>
      </w:r>
      <w:r w:rsidR="00975406">
        <w:rPr>
          <w:rFonts w:hint="cs"/>
          <w:rtl/>
        </w:rPr>
        <w:t>در حالی که</w:t>
      </w:r>
      <w:r>
        <w:rPr>
          <w:rFonts w:hint="cs"/>
          <w:rtl/>
        </w:rPr>
        <w:t xml:space="preserve"> مشرکین و کفار اع</w:t>
      </w:r>
      <w:r w:rsidR="00975406">
        <w:rPr>
          <w:rFonts w:hint="cs"/>
          <w:rtl/>
        </w:rPr>
        <w:t>تقاد جازم به آیین خودشان داشتند.</w:t>
      </w:r>
    </w:p>
    <w:p w14:paraId="4314DD6E" w14:textId="77777777" w:rsidR="00FB3D83" w:rsidRDefault="00F21E07" w:rsidP="000C5AA2">
      <w:pPr>
        <w:jc w:val="both"/>
        <w:rPr>
          <w:rtl/>
        </w:rPr>
      </w:pPr>
      <w:r>
        <w:rPr>
          <w:rFonts w:hint="cs"/>
          <w:rtl/>
        </w:rPr>
        <w:t xml:space="preserve">این بیان نیز تمام نیست زیرا اولا: ممکن است قضیه‌ی خارجیه باشد و مشرکین زمان پیامبر صلی الله علیه و آله و سلم خصوصا با وجود دیدن معجزات زیاد از پیامبر صلی الله علیه و آله و سلم علم به آیین خودشان نداشتند </w:t>
      </w:r>
      <w:r w:rsidR="00975406">
        <w:rPr>
          <w:rFonts w:hint="cs"/>
          <w:rtl/>
        </w:rPr>
        <w:t>و فقط اظهار تجزّم می‌کردند.</w:t>
      </w:r>
      <w:r>
        <w:rPr>
          <w:rFonts w:hint="cs"/>
          <w:rtl/>
        </w:rPr>
        <w:t xml:space="preserve"> ثانیا:</w:t>
      </w:r>
      <w:r w:rsidR="00975406" w:rsidRPr="00975406">
        <w:rPr>
          <w:rFonts w:hint="cs"/>
          <w:rtl/>
        </w:rPr>
        <w:t xml:space="preserve"> </w:t>
      </w:r>
      <w:r w:rsidR="00975406">
        <w:rPr>
          <w:rFonts w:hint="cs"/>
          <w:rtl/>
        </w:rPr>
        <w:t xml:space="preserve">ممکن است ادعائا می‌فرماید این‌ها علم ندارند و گمان دارند زیرا علم آن‌ها منشأ صحیح </w:t>
      </w:r>
      <w:r w:rsidR="00975406">
        <w:rPr>
          <w:rFonts w:hint="cs"/>
          <w:rtl/>
        </w:rPr>
        <w:lastRenderedPageBreak/>
        <w:t>عقلایی نداشت</w:t>
      </w:r>
      <w:r w:rsidR="00FB3D83">
        <w:rPr>
          <w:rFonts w:hint="cs"/>
          <w:rtl/>
        </w:rPr>
        <w:t xml:space="preserve"> و به این جهت از اعتقاد جازم تعبیر به گمان و عدم علم شده ولی ا</w:t>
      </w:r>
      <w:r w:rsidR="00975406">
        <w:rPr>
          <w:rFonts w:hint="cs"/>
          <w:rtl/>
        </w:rPr>
        <w:t>ین نشان نمی‌</w:t>
      </w:r>
      <w:r w:rsidR="00FB3D83">
        <w:rPr>
          <w:rFonts w:hint="cs"/>
          <w:rtl/>
        </w:rPr>
        <w:t xml:space="preserve">دهد که معنای لغوی علم تبین است </w:t>
      </w:r>
      <w:r w:rsidR="00975406">
        <w:rPr>
          <w:rFonts w:hint="cs"/>
          <w:rtl/>
        </w:rPr>
        <w:t xml:space="preserve">و معنای لغوی ظن </w:t>
      </w:r>
      <w:r w:rsidR="00FB3D83">
        <w:rPr>
          <w:rFonts w:hint="cs"/>
          <w:rtl/>
        </w:rPr>
        <w:t>عدم تبین است</w:t>
      </w:r>
      <w:r w:rsidR="00975406">
        <w:rPr>
          <w:rFonts w:hint="cs"/>
          <w:rtl/>
        </w:rPr>
        <w:t xml:space="preserve"> و لو همراه با اعتقاد جازم</w:t>
      </w:r>
      <w:r w:rsidR="00FB3D83">
        <w:rPr>
          <w:rFonts w:hint="cs"/>
          <w:rtl/>
        </w:rPr>
        <w:t xml:space="preserve"> باشد.</w:t>
      </w:r>
    </w:p>
    <w:p w14:paraId="127F9836" w14:textId="77777777" w:rsidR="00F21E07" w:rsidRDefault="00F21E07" w:rsidP="000C5AA2">
      <w:pPr>
        <w:pStyle w:val="Heading3"/>
        <w:jc w:val="both"/>
        <w:rPr>
          <w:rtl/>
        </w:rPr>
      </w:pPr>
      <w:bookmarkStart w:id="12" w:name="_Toc136979457"/>
      <w:bookmarkStart w:id="13" w:name="_Toc137466072"/>
      <w:r>
        <w:rPr>
          <w:rFonts w:hint="cs"/>
          <w:rtl/>
        </w:rPr>
        <w:t xml:space="preserve">تقریب دوم: </w:t>
      </w:r>
      <w:r w:rsidR="00FB3D83">
        <w:rPr>
          <w:rFonts w:hint="cs"/>
          <w:rtl/>
        </w:rPr>
        <w:t>حکومت دلیل اعتبار اماره بر خطابی که قطع در موضوع آن اخذ شده است</w:t>
      </w:r>
      <w:bookmarkEnd w:id="12"/>
      <w:bookmarkEnd w:id="13"/>
    </w:p>
    <w:p w14:paraId="43FEFB86" w14:textId="77777777" w:rsidR="00F21E07" w:rsidRDefault="00FB3D83" w:rsidP="00871A1B">
      <w:pPr>
        <w:jc w:val="both"/>
        <w:rPr>
          <w:rtl/>
        </w:rPr>
      </w:pPr>
      <w:r>
        <w:rPr>
          <w:rFonts w:hint="cs"/>
          <w:rtl/>
        </w:rPr>
        <w:t>بعضی از بزگان مثل مرحوم نایینی</w:t>
      </w:r>
      <w:r>
        <w:rPr>
          <w:rStyle w:val="FootnoteReference"/>
          <w:rtl/>
        </w:rPr>
        <w:footnoteReference w:id="15"/>
      </w:r>
      <w:r>
        <w:rPr>
          <w:rFonts w:hint="cs"/>
          <w:rtl/>
        </w:rPr>
        <w:t xml:space="preserve"> و مرحوم خویی</w:t>
      </w:r>
      <w:r>
        <w:rPr>
          <w:rStyle w:val="FootnoteReference"/>
          <w:rtl/>
        </w:rPr>
        <w:footnoteReference w:id="16"/>
      </w:r>
      <w:r>
        <w:rPr>
          <w:rFonts w:hint="cs"/>
          <w:rtl/>
        </w:rPr>
        <w:t xml:space="preserve"> و مرحوم تبریزی</w:t>
      </w:r>
      <w:r>
        <w:rPr>
          <w:rStyle w:val="FootnoteReference"/>
          <w:rtl/>
        </w:rPr>
        <w:footnoteReference w:id="17"/>
      </w:r>
      <w:r>
        <w:rPr>
          <w:rFonts w:hint="cs"/>
          <w:rtl/>
        </w:rPr>
        <w:t xml:space="preserve"> رحمهم الله  فرموده‌اند: </w:t>
      </w:r>
      <w:r w:rsidR="00F21E07">
        <w:rPr>
          <w:rFonts w:hint="cs"/>
          <w:rtl/>
        </w:rPr>
        <w:t xml:space="preserve">دلیل اعتبار امارات حکومت دارد </w:t>
      </w:r>
      <w:r>
        <w:rPr>
          <w:rFonts w:hint="cs"/>
          <w:rtl/>
        </w:rPr>
        <w:t>بر ادله‌ای که علم در موضوع آن‌ اخذ شده است. یعنی علم در</w:t>
      </w:r>
      <w:r w:rsidR="00871A1B">
        <w:rPr>
          <w:rFonts w:hint="cs"/>
          <w:rtl/>
        </w:rPr>
        <w:t xml:space="preserve"> دلیل</w:t>
      </w:r>
      <w:r>
        <w:rPr>
          <w:rFonts w:hint="cs"/>
          <w:rtl/>
        </w:rPr>
        <w:t xml:space="preserve"> جواز افتاء به علم</w:t>
      </w:r>
      <w:r w:rsidR="00871A1B">
        <w:rPr>
          <w:rFonts w:hint="cs"/>
          <w:rtl/>
        </w:rPr>
        <w:t>،</w:t>
      </w:r>
      <w:r>
        <w:rPr>
          <w:rFonts w:hint="cs"/>
          <w:rtl/>
        </w:rPr>
        <w:t xml:space="preserve"> ظهور در علم وجدانی دارد منتهی</w:t>
      </w:r>
      <w:r w:rsidR="00F21E07">
        <w:rPr>
          <w:rFonts w:hint="cs"/>
          <w:rtl/>
        </w:rPr>
        <w:t xml:space="preserve"> مفاد دلیل اعتبار خبر ثقه</w:t>
      </w:r>
      <w:r w:rsidR="00871A1B">
        <w:rPr>
          <w:rFonts w:hint="cs"/>
          <w:rtl/>
        </w:rPr>
        <w:t xml:space="preserve"> این است که خبر ثقه علم است و کأ</w:t>
      </w:r>
      <w:r w:rsidR="00F21E07">
        <w:rPr>
          <w:rFonts w:hint="cs"/>
          <w:rtl/>
        </w:rPr>
        <w:t>نّ گفت</w:t>
      </w:r>
      <w:r w:rsidR="00871A1B">
        <w:rPr>
          <w:rFonts w:hint="cs"/>
          <w:rtl/>
        </w:rPr>
        <w:t>ه شده</w:t>
      </w:r>
      <w:r w:rsidR="00F21E07">
        <w:rPr>
          <w:rFonts w:hint="cs"/>
          <w:rtl/>
        </w:rPr>
        <w:t xml:space="preserve"> «</w:t>
      </w:r>
      <w:r>
        <w:rPr>
          <w:rFonts w:hint="cs"/>
          <w:rtl/>
        </w:rPr>
        <w:t>خبر الثقة علم بالواقع</w:t>
      </w:r>
      <w:r w:rsidR="00F21E07">
        <w:rPr>
          <w:rFonts w:hint="cs"/>
          <w:rtl/>
        </w:rPr>
        <w:t>» و این حاکم بر خطاب «</w:t>
      </w:r>
      <w:r>
        <w:rPr>
          <w:rFonts w:hint="cs"/>
          <w:rtl/>
        </w:rPr>
        <w:t>جواز افتاء به علم</w:t>
      </w:r>
      <w:r w:rsidR="00F21E07">
        <w:rPr>
          <w:rFonts w:hint="cs"/>
          <w:rtl/>
        </w:rPr>
        <w:t xml:space="preserve">» است. و </w:t>
      </w:r>
      <w:r w:rsidR="00871A1B">
        <w:rPr>
          <w:rFonts w:hint="cs"/>
          <w:rtl/>
        </w:rPr>
        <w:t xml:space="preserve">در </w:t>
      </w:r>
      <w:r>
        <w:rPr>
          <w:rFonts w:hint="cs"/>
          <w:rtl/>
        </w:rPr>
        <w:t>بعضی از اصول مثل استصحاب مفاد «لاتنقض الیقین بالشک»</w:t>
      </w:r>
      <w:r w:rsidR="00F21E07">
        <w:rPr>
          <w:rFonts w:hint="cs"/>
          <w:rtl/>
        </w:rPr>
        <w:t xml:space="preserve"> </w:t>
      </w:r>
      <w:r>
        <w:rPr>
          <w:rFonts w:hint="cs"/>
          <w:rtl/>
        </w:rPr>
        <w:t>ارشاد است به این که یقین</w:t>
      </w:r>
      <w:r w:rsidR="00871A1B">
        <w:rPr>
          <w:rFonts w:hint="cs"/>
          <w:rtl/>
        </w:rPr>
        <w:t>ت</w:t>
      </w:r>
      <w:r>
        <w:rPr>
          <w:rFonts w:hint="cs"/>
          <w:rtl/>
        </w:rPr>
        <w:t xml:space="preserve"> هنوز باقی است لذا آن را با شک نقض نکن زیرا در اعتبار شارع یقین تو باقی است. یا </w:t>
      </w:r>
      <w:r w:rsidR="00F21E07">
        <w:rPr>
          <w:rFonts w:hint="cs"/>
          <w:rtl/>
        </w:rPr>
        <w:t xml:space="preserve">در قاعده‌ی تجاوز </w:t>
      </w:r>
      <w:r>
        <w:rPr>
          <w:rFonts w:hint="cs"/>
          <w:rtl/>
        </w:rPr>
        <w:t>«شکک لیس بشیء» ک</w:t>
      </w:r>
      <w:r w:rsidR="00871A1B">
        <w:rPr>
          <w:rFonts w:hint="cs"/>
          <w:rtl/>
        </w:rPr>
        <w:t>أ</w:t>
      </w:r>
      <w:r>
        <w:rPr>
          <w:rFonts w:hint="cs"/>
          <w:rtl/>
        </w:rPr>
        <w:t xml:space="preserve">نّ شک الغاء شده است و الغاء شک یعنی علم اعتبار شده است (لذا دلیل اعتبار استصحاب و قاعده‌ی تجاوز نیز حاکم </w:t>
      </w:r>
      <w:r w:rsidR="00871A1B">
        <w:rPr>
          <w:rFonts w:hint="cs"/>
          <w:rtl/>
        </w:rPr>
        <w:t>بر خطاب «جواز افتاء به علم» است</w:t>
      </w:r>
      <w:r>
        <w:rPr>
          <w:rFonts w:hint="cs"/>
          <w:rtl/>
        </w:rPr>
        <w:t>)</w:t>
      </w:r>
    </w:p>
    <w:p w14:paraId="28042E74" w14:textId="77777777" w:rsidR="00F21E07" w:rsidRDefault="00FB3D83" w:rsidP="00871A1B">
      <w:pPr>
        <w:jc w:val="both"/>
        <w:rPr>
          <w:rtl/>
        </w:rPr>
      </w:pPr>
      <w:r>
        <w:rPr>
          <w:rFonts w:hint="cs"/>
          <w:rtl/>
        </w:rPr>
        <w:t xml:space="preserve">قطعا مراد این </w:t>
      </w:r>
      <w:r w:rsidR="00871A1B">
        <w:rPr>
          <w:rFonts w:hint="cs"/>
          <w:rtl/>
        </w:rPr>
        <w:t>ب</w:t>
      </w:r>
      <w:r>
        <w:rPr>
          <w:rFonts w:hint="cs"/>
          <w:rtl/>
        </w:rPr>
        <w:t>زرگواران</w:t>
      </w:r>
      <w:r w:rsidR="00F21E07">
        <w:rPr>
          <w:rFonts w:hint="cs"/>
          <w:rtl/>
        </w:rPr>
        <w:t xml:space="preserve"> این نیست که علم در کتاب و سنت ظهور در</w:t>
      </w:r>
      <w:r>
        <w:rPr>
          <w:rFonts w:hint="cs"/>
          <w:rtl/>
        </w:rPr>
        <w:t xml:space="preserve"> اعم از علم وجدانی و تعبدی دارد زیرا تصریح می‌کنند که علم ظهور در علم وجدانی دارد.</w:t>
      </w:r>
      <w:r w:rsidR="00F21E07">
        <w:rPr>
          <w:rFonts w:hint="cs"/>
          <w:rtl/>
        </w:rPr>
        <w:t xml:space="preserve"> </w:t>
      </w:r>
    </w:p>
    <w:p w14:paraId="4376EBC3" w14:textId="77777777" w:rsidR="00F60982" w:rsidRDefault="00FB3D83" w:rsidP="000C5AA2">
      <w:pPr>
        <w:pStyle w:val="Heading2"/>
        <w:jc w:val="both"/>
        <w:rPr>
          <w:rtl/>
        </w:rPr>
      </w:pPr>
      <w:bookmarkStart w:id="14" w:name="_Toc136979458"/>
      <w:bookmarkStart w:id="15" w:name="_Toc137466073"/>
      <w:r>
        <w:rPr>
          <w:rFonts w:hint="cs"/>
          <w:rtl/>
        </w:rPr>
        <w:t>اشکال صغروی به تقریب دوم</w:t>
      </w:r>
      <w:bookmarkEnd w:id="14"/>
      <w:bookmarkEnd w:id="15"/>
    </w:p>
    <w:p w14:paraId="443F6697" w14:textId="77777777" w:rsidR="00D57FAD" w:rsidRDefault="00F60982" w:rsidP="00871A1B">
      <w:pPr>
        <w:jc w:val="both"/>
        <w:rPr>
          <w:rtl/>
        </w:rPr>
      </w:pPr>
      <w:r>
        <w:rPr>
          <w:rFonts w:hint="cs"/>
          <w:rtl/>
        </w:rPr>
        <w:t xml:space="preserve">این که گفته شد مفاد دلیل حجیت اماره مثل خبر ثقه «خبر الثقة علم» است </w:t>
      </w:r>
      <w:r w:rsidR="00871A1B">
        <w:rPr>
          <w:rFonts w:hint="cs"/>
          <w:rtl/>
        </w:rPr>
        <w:t xml:space="preserve">آیا </w:t>
      </w:r>
      <w:r>
        <w:rPr>
          <w:rFonts w:hint="cs"/>
          <w:rtl/>
        </w:rPr>
        <w:t xml:space="preserve">مراد وجود </w:t>
      </w:r>
      <w:r w:rsidR="00F21E07">
        <w:rPr>
          <w:rFonts w:hint="cs"/>
          <w:rtl/>
        </w:rPr>
        <w:t>دلیل لفظی بر</w:t>
      </w:r>
      <w:r>
        <w:rPr>
          <w:rFonts w:hint="cs"/>
          <w:rtl/>
        </w:rPr>
        <w:t xml:space="preserve"> آن است یا </w:t>
      </w:r>
      <w:r w:rsidR="00F21E07">
        <w:rPr>
          <w:rFonts w:hint="cs"/>
          <w:rtl/>
        </w:rPr>
        <w:t xml:space="preserve"> </w:t>
      </w:r>
      <w:r>
        <w:rPr>
          <w:rFonts w:hint="cs"/>
          <w:rtl/>
        </w:rPr>
        <w:t>ادعای وجود بنا</w:t>
      </w:r>
      <w:r w:rsidR="00871A1B">
        <w:rPr>
          <w:rFonts w:hint="cs"/>
          <w:rtl/>
        </w:rPr>
        <w:t>ء</w:t>
      </w:r>
      <w:r>
        <w:rPr>
          <w:rFonts w:hint="cs"/>
          <w:rtl/>
        </w:rPr>
        <w:t xml:space="preserve"> عقلاء بر آن </w:t>
      </w:r>
      <w:r w:rsidR="00871A1B">
        <w:rPr>
          <w:rFonts w:hint="cs"/>
          <w:rtl/>
        </w:rPr>
        <w:t>را دارید</w:t>
      </w:r>
      <w:r>
        <w:rPr>
          <w:rFonts w:hint="cs"/>
          <w:rtl/>
        </w:rPr>
        <w:t xml:space="preserve">؟ </w:t>
      </w:r>
    </w:p>
    <w:p w14:paraId="4F4F8506" w14:textId="77777777" w:rsidR="00F21E07" w:rsidRDefault="00D57FAD" w:rsidP="000C5AA2">
      <w:pPr>
        <w:jc w:val="both"/>
        <w:rPr>
          <w:rtl/>
        </w:rPr>
      </w:pPr>
      <w:r>
        <w:rPr>
          <w:rFonts w:hint="cs"/>
          <w:rtl/>
        </w:rPr>
        <w:t xml:space="preserve">اگر مراد وجود دلیل لفظی بر این مطلب باشد، اطلاق حکومت آن بر خطابی که علم در موضوع آن اخذ شده است، تمام است. ولی </w:t>
      </w:r>
      <w:r w:rsidR="00F60982">
        <w:rPr>
          <w:rFonts w:hint="cs"/>
          <w:rtl/>
        </w:rPr>
        <w:t>مرحوم خویی و مرحوم تبریزی رحمهما الله تصریح می‌کنند که دل</w:t>
      </w:r>
      <w:r>
        <w:rPr>
          <w:rFonts w:hint="cs"/>
          <w:rtl/>
        </w:rPr>
        <w:t xml:space="preserve">یل لفظی بر این مطلب وجود ندارد بلکه بناء عقلاء بر اعتبار علم برای خبر ثقه است. </w:t>
      </w:r>
      <w:r w:rsidR="00F21E07">
        <w:rPr>
          <w:rFonts w:hint="cs"/>
          <w:rtl/>
        </w:rPr>
        <w:t>ا</w:t>
      </w:r>
      <w:r>
        <w:rPr>
          <w:rFonts w:hint="cs"/>
          <w:rtl/>
        </w:rPr>
        <w:t>لبته بعضی ادعای وجود دلیل لفظی بر این مطلب کرد</w:t>
      </w:r>
      <w:r w:rsidR="00871A1B">
        <w:rPr>
          <w:rFonts w:hint="cs"/>
          <w:rtl/>
        </w:rPr>
        <w:t>ه‌ا</w:t>
      </w:r>
      <w:r>
        <w:rPr>
          <w:rFonts w:hint="cs"/>
          <w:rtl/>
        </w:rPr>
        <w:t xml:space="preserve">ند. </w:t>
      </w:r>
    </w:p>
    <w:p w14:paraId="38AF0CAC" w14:textId="77777777" w:rsidR="00D57FAD" w:rsidRDefault="00F21E07" w:rsidP="007D64AB">
      <w:pPr>
        <w:jc w:val="both"/>
        <w:rPr>
          <w:rtl/>
        </w:rPr>
      </w:pPr>
      <w:r>
        <w:rPr>
          <w:rFonts w:hint="cs"/>
          <w:rtl/>
        </w:rPr>
        <w:t>ولی به نظر ما هیچ دلیل لفظی بر علم بودن خبر ثقه وجو</w:t>
      </w:r>
      <w:r w:rsidR="00D57FAD">
        <w:rPr>
          <w:rFonts w:hint="cs"/>
          <w:rtl/>
        </w:rPr>
        <w:t>د ندارد و و ادله‌ای که توهم شد</w:t>
      </w:r>
      <w:r w:rsidR="007D64AB">
        <w:rPr>
          <w:rFonts w:hint="cs"/>
          <w:rtl/>
        </w:rPr>
        <w:t>ه</w:t>
      </w:r>
      <w:r w:rsidR="00D57FAD">
        <w:rPr>
          <w:rFonts w:hint="cs"/>
          <w:rtl/>
        </w:rPr>
        <w:t xml:space="preserve"> دلالت بر علم بودن خبر ثقه دارند، تمام نیستند. </w:t>
      </w:r>
      <w:r w:rsidR="007D64AB">
        <w:rPr>
          <w:rFonts w:hint="cs"/>
          <w:rtl/>
        </w:rPr>
        <w:t xml:space="preserve">این ادله </w:t>
      </w:r>
      <w:r w:rsidR="00D57FAD">
        <w:rPr>
          <w:rFonts w:hint="cs"/>
          <w:rtl/>
        </w:rPr>
        <w:t>عبارت</w:t>
      </w:r>
      <w:r w:rsidR="007D64AB">
        <w:rPr>
          <w:rFonts w:hint="cs"/>
          <w:rtl/>
        </w:rPr>
        <w:t>ند</w:t>
      </w:r>
      <w:r w:rsidR="00D57FAD">
        <w:rPr>
          <w:rFonts w:hint="cs"/>
          <w:rtl/>
        </w:rPr>
        <w:t xml:space="preserve"> از:</w:t>
      </w:r>
    </w:p>
    <w:p w14:paraId="2E8605FE" w14:textId="77777777" w:rsidR="00A34A8D" w:rsidRPr="00F4580D" w:rsidRDefault="00D57FAD" w:rsidP="007D64AB">
      <w:pPr>
        <w:jc w:val="both"/>
        <w:rPr>
          <w:rFonts w:ascii="NoorLotus" w:hAnsi="NoorLotus"/>
          <w:rtl/>
        </w:rPr>
      </w:pPr>
      <w:r w:rsidRPr="00F4580D">
        <w:rPr>
          <w:rFonts w:ascii="NoorLotus" w:hAnsi="NoorLotus"/>
          <w:rtl/>
        </w:rPr>
        <w:lastRenderedPageBreak/>
        <w:t>مفهوم آیه نبأ: زیرا مفهوم آیه نبأ حجیت خبر عادل است و ذیل آیه «</w:t>
      </w:r>
      <w:r w:rsidR="0006011B" w:rsidRPr="00F4580D">
        <w:rPr>
          <w:rFonts w:ascii="NoorLotus" w:hAnsi="NoorLotus"/>
          <w:color w:val="000000"/>
          <w:sz w:val="30"/>
          <w:szCs w:val="30"/>
          <w:rtl/>
        </w:rPr>
        <w:t>أَنْ تُصيبُوا قَوْماً بِجَهالَةٍ فَتُصْبِحُوا عَلى‏ ما فَعَلْتُمْ نادِمينَ</w:t>
      </w:r>
      <w:r w:rsidRPr="00F4580D">
        <w:rPr>
          <w:rFonts w:ascii="NoorLotus" w:hAnsi="NoorLotus"/>
          <w:rtl/>
        </w:rPr>
        <w:t>»</w:t>
      </w:r>
      <w:r w:rsidR="0006011B" w:rsidRPr="00F4580D">
        <w:rPr>
          <w:rStyle w:val="FootnoteReference"/>
          <w:rFonts w:ascii="NoorLotus" w:hAnsi="NoorLotus"/>
          <w:rtl/>
        </w:rPr>
        <w:footnoteReference w:id="18"/>
      </w:r>
      <w:r w:rsidRPr="00F4580D">
        <w:rPr>
          <w:rFonts w:ascii="NoorLotus" w:hAnsi="NoorLotus"/>
          <w:rtl/>
        </w:rPr>
        <w:t xml:space="preserve"> وجه تبین از خبر فاسق را </w:t>
      </w:r>
      <w:r w:rsidR="007D64AB" w:rsidRPr="00F4580D">
        <w:rPr>
          <w:rFonts w:ascii="NoorLotus" w:hAnsi="NoorLotus"/>
          <w:rtl/>
        </w:rPr>
        <w:t>چنین</w:t>
      </w:r>
      <w:r w:rsidRPr="00F4580D">
        <w:rPr>
          <w:rFonts w:ascii="NoorLotus" w:hAnsi="NoorLotus"/>
          <w:rtl/>
        </w:rPr>
        <w:t xml:space="preserve"> بیان می‌کند که </w:t>
      </w:r>
      <w:r w:rsidR="00F21E07" w:rsidRPr="00F4580D">
        <w:rPr>
          <w:rFonts w:ascii="NoorLotus" w:hAnsi="NoorLotus"/>
          <w:rtl/>
        </w:rPr>
        <w:t>مبادا از روی جهل و عدم علم به این خبر عمل کنید و آسیب به افراد بزنید</w:t>
      </w:r>
      <w:r w:rsidR="0006011B" w:rsidRPr="00F4580D">
        <w:rPr>
          <w:rFonts w:ascii="NoorLotus" w:hAnsi="NoorLotus"/>
          <w:rtl/>
        </w:rPr>
        <w:t xml:space="preserve"> زیرا عمل به آن عمل به غیر </w:t>
      </w:r>
      <w:r w:rsidR="007D64AB" w:rsidRPr="00F4580D">
        <w:rPr>
          <w:rFonts w:ascii="NoorLotus" w:hAnsi="NoorLotus"/>
          <w:rtl/>
        </w:rPr>
        <w:t>علم</w:t>
      </w:r>
      <w:r w:rsidR="0006011B" w:rsidRPr="00F4580D">
        <w:rPr>
          <w:rFonts w:ascii="NoorLotus" w:hAnsi="NoorLotus"/>
          <w:rtl/>
        </w:rPr>
        <w:t xml:space="preserve"> است</w:t>
      </w:r>
      <w:r w:rsidR="00F21E07" w:rsidRPr="00F4580D">
        <w:rPr>
          <w:rFonts w:ascii="NoorLotus" w:hAnsi="NoorLotus"/>
          <w:rtl/>
        </w:rPr>
        <w:t xml:space="preserve">. پس با ضمیمه مفهوم صدر آیه که دلالت بر حجیت خبر عادل دارد به علت </w:t>
      </w:r>
      <w:r w:rsidR="00A34A8D" w:rsidRPr="00F4580D">
        <w:rPr>
          <w:rFonts w:ascii="NoorLotus" w:hAnsi="NoorLotus"/>
          <w:rtl/>
        </w:rPr>
        <w:t>تبین از خبر فاسق</w:t>
      </w:r>
      <w:r w:rsidR="007D64AB" w:rsidRPr="00F4580D">
        <w:rPr>
          <w:rFonts w:ascii="NoorLotus" w:hAnsi="NoorLotus"/>
          <w:rtl/>
        </w:rPr>
        <w:t>،</w:t>
      </w:r>
      <w:r w:rsidR="00A34A8D" w:rsidRPr="00F4580D">
        <w:rPr>
          <w:rFonts w:ascii="NoorLotus" w:hAnsi="NoorLotus"/>
          <w:rtl/>
        </w:rPr>
        <w:t xml:space="preserve"> کشف می‌شود که خبر عادل علم ا</w:t>
      </w:r>
      <w:r w:rsidR="0006011B" w:rsidRPr="00F4580D">
        <w:rPr>
          <w:rFonts w:ascii="NoorLotus" w:hAnsi="NoorLotus"/>
          <w:rtl/>
        </w:rPr>
        <w:t>ست و این حکومت است و الا اگر این تعلیل در مورد عالم</w:t>
      </w:r>
      <w:r w:rsidR="007D64AB" w:rsidRPr="00F4580D">
        <w:rPr>
          <w:rFonts w:ascii="NoorLotus" w:hAnsi="NoorLotus"/>
          <w:rtl/>
        </w:rPr>
        <w:t xml:space="preserve"> هم بود دیگر آیه، مفهوم پیدا نمی‌کرد</w:t>
      </w:r>
      <w:r w:rsidR="0006011B" w:rsidRPr="00F4580D">
        <w:rPr>
          <w:rFonts w:ascii="NoorLotus" w:hAnsi="NoorLotus"/>
          <w:rtl/>
        </w:rPr>
        <w:t>.</w:t>
      </w:r>
    </w:p>
    <w:p w14:paraId="66A09D24" w14:textId="77777777" w:rsidR="00A34A8D" w:rsidRDefault="00A34A8D" w:rsidP="007D64AB">
      <w:pPr>
        <w:jc w:val="both"/>
        <w:rPr>
          <w:rtl/>
        </w:rPr>
      </w:pPr>
      <w:r>
        <w:rPr>
          <w:rFonts w:hint="cs"/>
          <w:rtl/>
        </w:rPr>
        <w:t>این استدلال تمام نیس</w:t>
      </w:r>
      <w:r w:rsidR="007D64AB">
        <w:rPr>
          <w:rFonts w:hint="cs"/>
          <w:rtl/>
        </w:rPr>
        <w:t>ت زیرا</w:t>
      </w:r>
      <w:r>
        <w:rPr>
          <w:rFonts w:hint="cs"/>
          <w:rtl/>
        </w:rPr>
        <w:t xml:space="preserve"> اولا: ولو مراد از جهالت «غیر علم» است</w:t>
      </w:r>
      <w:r w:rsidR="0006011B">
        <w:rPr>
          <w:rFonts w:hint="cs"/>
          <w:rtl/>
        </w:rPr>
        <w:t xml:space="preserve"> </w:t>
      </w:r>
      <w:r w:rsidR="0006011B">
        <w:rPr>
          <w:rFonts w:ascii="Times New Roman" w:hAnsi="Times New Roman" w:cs="Times New Roman" w:hint="cs"/>
          <w:rtl/>
        </w:rPr>
        <w:t>–</w:t>
      </w:r>
      <w:r w:rsidR="0006011B">
        <w:rPr>
          <w:rFonts w:hint="cs"/>
          <w:rtl/>
        </w:rPr>
        <w:t>و این که مرحوم آخوند رحمه الله فرموده‌اند: «ممکن است مراد از جهالت</w:t>
      </w:r>
      <w:r w:rsidR="007D64AB">
        <w:rPr>
          <w:rFonts w:hint="cs"/>
          <w:rtl/>
        </w:rPr>
        <w:t>،</w:t>
      </w:r>
      <w:r w:rsidR="0006011B">
        <w:rPr>
          <w:rFonts w:hint="cs"/>
          <w:rtl/>
        </w:rPr>
        <w:t xml:space="preserve"> سفاهت یعنی عمل نابخردانه باشد.»</w:t>
      </w:r>
      <w:r w:rsidR="0006011B">
        <w:rPr>
          <w:rStyle w:val="FootnoteReference"/>
          <w:rtl/>
        </w:rPr>
        <w:footnoteReference w:id="19"/>
      </w:r>
      <w:r w:rsidR="0006011B">
        <w:rPr>
          <w:rFonts w:hint="cs"/>
          <w:rtl/>
        </w:rPr>
        <w:t xml:space="preserve"> خلاف ظاهر است-</w:t>
      </w:r>
      <w:r>
        <w:rPr>
          <w:rFonts w:hint="cs"/>
          <w:rtl/>
        </w:rPr>
        <w:t xml:space="preserve"> ولی صدر آیه مفهوم ندارد </w:t>
      </w:r>
      <w:r w:rsidR="007D64A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7D64AB">
        <w:rPr>
          <w:rFonts w:hint="cs"/>
          <w:rtl/>
        </w:rPr>
        <w:t xml:space="preserve">شرط در </w:t>
      </w:r>
      <w:r w:rsidR="0006011B">
        <w:rPr>
          <w:rFonts w:hint="cs"/>
          <w:rtl/>
        </w:rPr>
        <w:t xml:space="preserve">آن </w:t>
      </w:r>
      <w:r w:rsidR="005D56B1">
        <w:rPr>
          <w:rFonts w:hint="cs"/>
          <w:rtl/>
        </w:rPr>
        <w:t>شرط محقق موضوع است. زیرا اگر شرط</w:t>
      </w:r>
      <w:r w:rsidR="0006011B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06011B">
        <w:rPr>
          <w:rFonts w:hint="cs"/>
          <w:rtl/>
        </w:rPr>
        <w:t>ان جاءکم فاسق بنبأ</w:t>
      </w:r>
      <w:r>
        <w:rPr>
          <w:rFonts w:hint="cs"/>
          <w:rtl/>
        </w:rPr>
        <w:t>»</w:t>
      </w:r>
      <w:r w:rsidR="005D56B1">
        <w:rPr>
          <w:rFonts w:hint="cs"/>
          <w:rtl/>
        </w:rPr>
        <w:t xml:space="preserve"> منتفی شود معنای آن «اذا لم یجئ الفاس</w:t>
      </w:r>
      <w:r w:rsidR="007D64AB">
        <w:rPr>
          <w:rFonts w:hint="cs"/>
          <w:rtl/>
        </w:rPr>
        <w:t>ق</w:t>
      </w:r>
      <w:r w:rsidR="005D56B1">
        <w:rPr>
          <w:rFonts w:hint="cs"/>
          <w:rtl/>
        </w:rPr>
        <w:t xml:space="preserve"> بنبأ» خواهد بود</w:t>
      </w:r>
      <w:r>
        <w:rPr>
          <w:rFonts w:hint="cs"/>
          <w:rtl/>
        </w:rPr>
        <w:t xml:space="preserve"> و فرض مجیء العادل بنبأ نشده است. و مثل «</w:t>
      </w:r>
      <w:r w:rsidR="005D56B1">
        <w:rPr>
          <w:rFonts w:hint="cs"/>
          <w:rtl/>
        </w:rPr>
        <w:t>اذا ألّف زید کتابا فاقرأه» است که</w:t>
      </w:r>
      <w:r>
        <w:rPr>
          <w:rFonts w:hint="cs"/>
          <w:rtl/>
        </w:rPr>
        <w:t xml:space="preserve"> معنای آن این نیست «</w:t>
      </w:r>
      <w:r w:rsidR="005D56B1">
        <w:rPr>
          <w:rFonts w:hint="cs"/>
          <w:rtl/>
        </w:rPr>
        <w:t>ذا الّف غیر زید کتابا فلاتجب ان تقرأ</w:t>
      </w:r>
      <w:r w:rsidR="007D64AB">
        <w:rPr>
          <w:rFonts w:hint="cs"/>
          <w:rtl/>
        </w:rPr>
        <w:t>ه</w:t>
      </w:r>
      <w:r>
        <w:rPr>
          <w:rFonts w:hint="cs"/>
          <w:rtl/>
        </w:rPr>
        <w:t xml:space="preserve">».  </w:t>
      </w:r>
    </w:p>
    <w:p w14:paraId="3AB94CF0" w14:textId="77777777" w:rsidR="00A34A8D" w:rsidRDefault="00A34A8D" w:rsidP="007D64AB">
      <w:pPr>
        <w:jc w:val="both"/>
        <w:rPr>
          <w:rtl/>
        </w:rPr>
      </w:pPr>
      <w:r>
        <w:rPr>
          <w:rFonts w:hint="cs"/>
          <w:rtl/>
        </w:rPr>
        <w:t xml:space="preserve">ثانیا: بر فرض </w:t>
      </w:r>
      <w:r w:rsidR="005D56B1">
        <w:rPr>
          <w:rFonts w:hint="cs"/>
          <w:rtl/>
        </w:rPr>
        <w:t xml:space="preserve">صدر آیه </w:t>
      </w:r>
      <w:r>
        <w:rPr>
          <w:rFonts w:hint="cs"/>
          <w:rtl/>
        </w:rPr>
        <w:t>اقتضای مفهوم داشته باشد</w:t>
      </w:r>
      <w:r w:rsidR="005D56B1">
        <w:rPr>
          <w:rFonts w:hint="cs"/>
          <w:rtl/>
        </w:rPr>
        <w:t xml:space="preserve"> ولی ممکن است</w:t>
      </w:r>
      <w:r>
        <w:rPr>
          <w:rFonts w:hint="cs"/>
          <w:rtl/>
        </w:rPr>
        <w:t xml:space="preserve"> عموم تعلیل</w:t>
      </w:r>
      <w:r w:rsidR="005D56B1">
        <w:rPr>
          <w:rFonts w:hint="cs"/>
          <w:rtl/>
        </w:rPr>
        <w:t xml:space="preserve"> ذیل آیه</w:t>
      </w:r>
      <w:r>
        <w:rPr>
          <w:rFonts w:hint="cs"/>
          <w:rtl/>
        </w:rPr>
        <w:t xml:space="preserve"> </w:t>
      </w:r>
      <w:r w:rsidR="005D56B1">
        <w:rPr>
          <w:rFonts w:hint="cs"/>
          <w:rtl/>
        </w:rPr>
        <w:t>مانع از انعقاد مفهوم در صدر شود</w:t>
      </w:r>
      <w:r w:rsidR="007D64AB">
        <w:rPr>
          <w:rFonts w:hint="cs"/>
          <w:rtl/>
        </w:rPr>
        <w:t xml:space="preserve"> زیرا</w:t>
      </w:r>
      <w:r>
        <w:rPr>
          <w:rFonts w:hint="cs"/>
          <w:rtl/>
        </w:rPr>
        <w:t xml:space="preserve"> نکته‌ی </w:t>
      </w:r>
      <w:r w:rsidR="005D56B1">
        <w:rPr>
          <w:rFonts w:hint="cs"/>
          <w:rtl/>
        </w:rPr>
        <w:t>فرق بین</w:t>
      </w:r>
      <w:r>
        <w:rPr>
          <w:rFonts w:hint="cs"/>
          <w:rtl/>
        </w:rPr>
        <w:t xml:space="preserve"> خبر فاسق</w:t>
      </w:r>
      <w:r w:rsidR="005D56B1">
        <w:rPr>
          <w:rFonts w:hint="cs"/>
          <w:rtl/>
        </w:rPr>
        <w:t xml:space="preserve"> و خبر عادل این است که خبر فاسق</w:t>
      </w:r>
      <w:r>
        <w:rPr>
          <w:rFonts w:hint="cs"/>
          <w:rtl/>
        </w:rPr>
        <w:t xml:space="preserve"> نوعا مفید علم نیست ولی خبر عادل نوعا مفید علم است ولی اگر در موردی خبر عادل نیز مفید علم نبود ا</w:t>
      </w:r>
      <w:r w:rsidR="005D56B1">
        <w:rPr>
          <w:rFonts w:hint="cs"/>
          <w:rtl/>
        </w:rPr>
        <w:t>ین تعلیل نسبت به آن نیز می‌آید.</w:t>
      </w:r>
    </w:p>
    <w:p w14:paraId="71C96B60" w14:textId="77777777" w:rsidR="00A34A8D" w:rsidRDefault="00A34A8D" w:rsidP="000C5AA2">
      <w:pPr>
        <w:jc w:val="both"/>
        <w:rPr>
          <w:rtl/>
        </w:rPr>
      </w:pPr>
      <w:r>
        <w:rPr>
          <w:rFonts w:hint="cs"/>
          <w:rtl/>
        </w:rPr>
        <w:t xml:space="preserve">به روایات نیز استدلال شده است: </w:t>
      </w:r>
    </w:p>
    <w:p w14:paraId="57293A0F" w14:textId="77777777" w:rsidR="00A34A8D" w:rsidRDefault="00A34A8D" w:rsidP="007D64AB">
      <w:pPr>
        <w:jc w:val="both"/>
        <w:rPr>
          <w:rtl/>
        </w:rPr>
      </w:pPr>
      <w:r>
        <w:rPr>
          <w:rFonts w:hint="cs"/>
          <w:rtl/>
        </w:rPr>
        <w:t>روایت اول: روایت</w:t>
      </w:r>
      <w:r w:rsidR="005D56B1">
        <w:rPr>
          <w:rFonts w:hint="cs"/>
          <w:rtl/>
        </w:rPr>
        <w:t xml:space="preserve"> احمد بن ابراهیم ال</w:t>
      </w:r>
      <w:r w:rsidR="005D56B1" w:rsidRPr="005D56B1">
        <w:rPr>
          <w:rFonts w:hint="cs"/>
          <w:rtl/>
        </w:rPr>
        <w:t>مراغی «قَالَ: وَرَدَ عَلَى الْقَاسِمِ بْنِ الْعَلَاءِ وَ ذَكَرَ تَوْقِيعاً شَرِيفاً يَقُولُ فِيهِ فَإِنَّهُ لَا عُذْرَ لِأَحَدٍ مِنْ‏ مَوَالِينَا فِي التَّشْكِيكِ فِيمَا يَرْوِيهِ‏ عَنَّا ثِقَاتُنَا قَدْ عَرَفُوا بِأَنَّا نُفَاوِضُهُمْ سِرَّنَا وَ نُحَمِّلُهُمْ‏ إِيَّاهُ إِلَيْهِمْ.»</w:t>
      </w:r>
      <w:r w:rsidR="005D56B1">
        <w:rPr>
          <w:rStyle w:val="FootnoteReference"/>
          <w:rtl/>
        </w:rPr>
        <w:footnoteReference w:id="20"/>
      </w:r>
    </w:p>
    <w:p w14:paraId="63A538C6" w14:textId="77777777" w:rsidR="00A34A8D" w:rsidRDefault="00A34A8D" w:rsidP="000C5AA2">
      <w:pPr>
        <w:jc w:val="both"/>
        <w:rPr>
          <w:rtl/>
        </w:rPr>
      </w:pPr>
      <w:r>
        <w:rPr>
          <w:rFonts w:hint="cs"/>
          <w:rtl/>
        </w:rPr>
        <w:t xml:space="preserve">تقریب استدلال: </w:t>
      </w:r>
    </w:p>
    <w:p w14:paraId="547FF046" w14:textId="77777777" w:rsidR="00A34A8D" w:rsidRDefault="005D56B1" w:rsidP="007D64AB">
      <w:pPr>
        <w:jc w:val="both"/>
        <w:rPr>
          <w:rtl/>
        </w:rPr>
      </w:pPr>
      <w:r>
        <w:rPr>
          <w:rFonts w:hint="cs"/>
          <w:rtl/>
        </w:rPr>
        <w:t xml:space="preserve">یعنی هیچ‌کس از شیعیان حق تشکیک در </w:t>
      </w:r>
      <w:r w:rsidR="007D64AB">
        <w:rPr>
          <w:rFonts w:hint="cs"/>
          <w:rtl/>
        </w:rPr>
        <w:t>رو</w:t>
      </w:r>
      <w:r>
        <w:rPr>
          <w:rFonts w:hint="cs"/>
          <w:rtl/>
        </w:rPr>
        <w:t xml:space="preserve">ایت ثقات ندارند. </w:t>
      </w:r>
      <w:r w:rsidR="00A34A8D">
        <w:rPr>
          <w:rFonts w:hint="cs"/>
          <w:rtl/>
        </w:rPr>
        <w:t xml:space="preserve">وقتی مردم حق تشکیک </w:t>
      </w:r>
      <w:r>
        <w:rPr>
          <w:rFonts w:hint="cs"/>
          <w:rtl/>
        </w:rPr>
        <w:t xml:space="preserve">ندارند یعنی اعتبار علم شده است </w:t>
      </w:r>
      <w:r w:rsidR="007D64AB">
        <w:rPr>
          <w:rFonts w:hint="cs"/>
          <w:rtl/>
        </w:rPr>
        <w:t>و اعتبار شده است که</w:t>
      </w:r>
      <w:r>
        <w:rPr>
          <w:rFonts w:hint="cs"/>
          <w:rtl/>
        </w:rPr>
        <w:t xml:space="preserve"> مردم علم به صدق خبر ثقه دارند.  </w:t>
      </w:r>
    </w:p>
    <w:p w14:paraId="4B31A04B" w14:textId="77777777" w:rsidR="005D56B1" w:rsidRDefault="005D56B1" w:rsidP="000C5AA2">
      <w:pPr>
        <w:jc w:val="both"/>
        <w:rPr>
          <w:rtl/>
        </w:rPr>
      </w:pPr>
      <w:r>
        <w:rPr>
          <w:rFonts w:hint="cs"/>
          <w:rtl/>
        </w:rPr>
        <w:t>این دلیل نیز تمام نیست زیرا:</w:t>
      </w:r>
    </w:p>
    <w:p w14:paraId="49DF488B" w14:textId="77777777" w:rsidR="00A34A8D" w:rsidRDefault="00A34A8D" w:rsidP="007D64AB">
      <w:pPr>
        <w:jc w:val="both"/>
        <w:rPr>
          <w:rtl/>
        </w:rPr>
      </w:pPr>
      <w:r>
        <w:rPr>
          <w:rFonts w:hint="cs"/>
          <w:rtl/>
        </w:rPr>
        <w:lastRenderedPageBreak/>
        <w:t>اولا: سند</w:t>
      </w:r>
      <w:r w:rsidR="005D56B1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ضعیف است ثانیا: تشکیک ظهور در شک باطنی ندارد </w:t>
      </w:r>
      <w:r w:rsidR="005D56B1">
        <w:rPr>
          <w:rFonts w:hint="cs"/>
          <w:rtl/>
        </w:rPr>
        <w:t xml:space="preserve">زیرا انسان شک می‌کند و در اختیار خودش نیست </w:t>
      </w:r>
      <w:r>
        <w:rPr>
          <w:rFonts w:hint="cs"/>
          <w:rtl/>
        </w:rPr>
        <w:t>بلکه مراد تشکیک عمل</w:t>
      </w:r>
      <w:r w:rsidR="005D56B1">
        <w:rPr>
          <w:rFonts w:hint="cs"/>
          <w:rtl/>
        </w:rPr>
        <w:t>ی و لسانی</w:t>
      </w:r>
      <w:r>
        <w:rPr>
          <w:rFonts w:hint="cs"/>
          <w:rtl/>
        </w:rPr>
        <w:t xml:space="preserve"> است. ثالثا: </w:t>
      </w:r>
      <w:r w:rsidR="004A1A21">
        <w:rPr>
          <w:rFonts w:hint="cs"/>
          <w:rtl/>
        </w:rPr>
        <w:t xml:space="preserve">مفاد این روایت حجیت مطلق خبر ثقه نیست </w:t>
      </w:r>
      <w:r>
        <w:rPr>
          <w:rFonts w:hint="cs"/>
          <w:rtl/>
        </w:rPr>
        <w:t xml:space="preserve"> </w:t>
      </w:r>
      <w:r w:rsidR="004A1A21">
        <w:rPr>
          <w:rFonts w:hint="cs"/>
          <w:rtl/>
        </w:rPr>
        <w:t>بلکه مراد</w:t>
      </w:r>
      <w:r w:rsidR="007D64AB">
        <w:rPr>
          <w:rFonts w:hint="cs"/>
          <w:rtl/>
        </w:rPr>
        <w:t xml:space="preserve"> از ثقاتنا،</w:t>
      </w:r>
      <w:r w:rsidR="004A1A21">
        <w:rPr>
          <w:rFonts w:hint="cs"/>
          <w:rtl/>
        </w:rPr>
        <w:t xml:space="preserve"> نواب اربعه </w:t>
      </w:r>
      <w:r w:rsidR="007D64AB">
        <w:rPr>
          <w:rFonts w:hint="cs"/>
          <w:rtl/>
        </w:rPr>
        <w:t>هستند</w:t>
      </w:r>
      <w:r>
        <w:rPr>
          <w:rFonts w:hint="cs"/>
          <w:rtl/>
        </w:rPr>
        <w:t xml:space="preserve"> و ربطی به مطلق خبر ثقه ندارد. </w:t>
      </w:r>
    </w:p>
    <w:p w14:paraId="15EEDA89" w14:textId="77777777" w:rsidR="00925DD6" w:rsidRDefault="004A1A21" w:rsidP="000C5AA2">
      <w:pPr>
        <w:jc w:val="both"/>
      </w:pPr>
      <w:r>
        <w:rPr>
          <w:rFonts w:hint="cs"/>
          <w:rtl/>
        </w:rPr>
        <w:t>ان‌شاء الله بقیه ادله را در جلسه بعد بررسی خواهیم کرد.</w:t>
      </w:r>
      <w:r w:rsidR="00925DD6">
        <w:rPr>
          <w:rFonts w:hint="cs"/>
          <w:vanish/>
          <w:rtl/>
        </w:rPr>
        <w:t>ند:</w:t>
      </w:r>
    </w:p>
    <w:sectPr w:rsidR="00925DD6" w:rsidSect="00F7601D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2D61" w14:textId="77777777" w:rsidR="002E60DA" w:rsidRDefault="002E60DA" w:rsidP="00925DD6">
      <w:pPr>
        <w:spacing w:after="0"/>
      </w:pPr>
      <w:r>
        <w:separator/>
      </w:r>
    </w:p>
  </w:endnote>
  <w:endnote w:type="continuationSeparator" w:id="0">
    <w:p w14:paraId="371A203B" w14:textId="77777777" w:rsidR="002E60DA" w:rsidRDefault="002E60DA" w:rsidP="00925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orLotus">
    <w:altName w:val="Segoe UI Semilight"/>
    <w:panose1 w:val="00000000000000000000"/>
    <w:charset w:val="00"/>
    <w:family w:val="auto"/>
    <w:pitch w:val="variable"/>
    <w:sig w:usb0="00000000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AE0EC" w14:textId="77777777" w:rsidR="00F7601D" w:rsidRDefault="00AC7C10" w:rsidP="00A35C06">
        <w:pPr>
          <w:pStyle w:val="Footer"/>
          <w:jc w:val="center"/>
        </w:pPr>
        <w:r>
          <w:rPr>
            <w:rFonts w:hint="cs"/>
            <w:rtl/>
          </w:rPr>
          <w:t>3</w:t>
        </w:r>
      </w:p>
    </w:sdtContent>
  </w:sdt>
  <w:p w14:paraId="5DE3898F" w14:textId="77777777" w:rsidR="00F7601D" w:rsidRDefault="00C427A4">
    <w:pPr>
      <w:pStyle w:val="Footer"/>
    </w:pPr>
  </w:p>
  <w:p w14:paraId="7D212C41" w14:textId="77777777" w:rsidR="00F7601D" w:rsidRDefault="00C42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6BAD" w14:textId="77777777" w:rsidR="002E60DA" w:rsidRDefault="002E60DA" w:rsidP="00925DD6">
      <w:pPr>
        <w:spacing w:after="0"/>
      </w:pPr>
      <w:r>
        <w:separator/>
      </w:r>
    </w:p>
  </w:footnote>
  <w:footnote w:type="continuationSeparator" w:id="0">
    <w:p w14:paraId="44DE26A3" w14:textId="77777777" w:rsidR="002E60DA" w:rsidRDefault="002E60DA" w:rsidP="00925DD6">
      <w:pPr>
        <w:spacing w:after="0"/>
      </w:pPr>
      <w:r>
        <w:continuationSeparator/>
      </w:r>
    </w:p>
  </w:footnote>
  <w:footnote w:id="1">
    <w:p w14:paraId="0587A087" w14:textId="77777777" w:rsidR="005778A8" w:rsidRDefault="005778A8" w:rsidP="005778A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تهذیب الاحکام (تحقیق خراسان)، طوسی، محمد بن الحسن، ج1، ص422.</w:t>
      </w:r>
    </w:p>
  </w:footnote>
  <w:footnote w:id="2">
    <w:p w14:paraId="3F26103E" w14:textId="77777777" w:rsidR="00F6021C" w:rsidRDefault="00F6021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تهذیب الاحکام (تحقیق خراسان)،  طوسی، محمد بن الحسن، ج1، ص8.</w:t>
      </w:r>
    </w:p>
  </w:footnote>
  <w:footnote w:id="3">
    <w:p w14:paraId="3249F304" w14:textId="77777777" w:rsidR="00836AFC" w:rsidRPr="000D356F" w:rsidRDefault="00836AFC" w:rsidP="00836AFC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rPr>
          <w:rtl/>
        </w:rPr>
        <w:t>تهذيب الأصول</w:t>
      </w:r>
      <w:r>
        <w:rPr>
          <w:rFonts w:hint="cs"/>
          <w:rtl/>
        </w:rPr>
        <w:t xml:space="preserve"> (طبع قدیم)، خمینی، روح الله، </w:t>
      </w:r>
      <w:r>
        <w:rPr>
          <w:rtl/>
        </w:rPr>
        <w:t>ج‏2 ص</w:t>
      </w:r>
      <w:r>
        <w:t>109-110</w:t>
      </w:r>
      <w:r>
        <w:rPr>
          <w:rFonts w:hint="cs"/>
          <w:rtl/>
        </w:rPr>
        <w:t>؛ الرسائل، امام خمینی، روح الله، ج1، ص243.</w:t>
      </w:r>
    </w:p>
  </w:footnote>
  <w:footnote w:id="4">
    <w:p w14:paraId="59FCA7C9" w14:textId="77777777" w:rsidR="00836AFC" w:rsidRDefault="00836AF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35791A">
        <w:rPr>
          <w:rFonts w:hint="cs"/>
          <w:rtl/>
        </w:rPr>
        <w:t>بحوث فی علم الاصول، صدر، محمد باقر، ج4، ص94.</w:t>
      </w:r>
    </w:p>
  </w:footnote>
  <w:footnote w:id="5">
    <w:p w14:paraId="4CBDA0DC" w14:textId="77777777" w:rsidR="00836AFC" w:rsidRDefault="00836AFC" w:rsidP="00836AF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الجاثیة: 24.</w:t>
      </w:r>
    </w:p>
  </w:footnote>
  <w:footnote w:id="6">
    <w:p w14:paraId="21D105C5" w14:textId="77777777" w:rsidR="00836AFC" w:rsidRPr="000D356F" w:rsidRDefault="00836AFC" w:rsidP="00836AFC">
      <w:pPr>
        <w:pStyle w:val="FootnoteText"/>
        <w:rPr>
          <w:rtl/>
        </w:rPr>
      </w:pPr>
      <w:r w:rsidRPr="000D356F">
        <w:rPr>
          <w:rStyle w:val="FootnoteReference"/>
          <w:b/>
          <w:rtl/>
        </w:rPr>
        <w:footnoteRef/>
      </w:r>
      <w:r w:rsidRPr="000D356F">
        <w:rPr>
          <w:rStyle w:val="FootnoteReference"/>
          <w:b/>
          <w:rtl/>
        </w:rPr>
        <w:t xml:space="preserve"> </w:t>
      </w:r>
      <w:r w:rsidRPr="000D356F">
        <w:rPr>
          <w:rtl/>
        </w:rPr>
        <w:t xml:space="preserve"> </w:t>
      </w:r>
      <w:r w:rsidRPr="000D356F">
        <w:rPr>
          <w:rtl/>
        </w:rPr>
        <w:t>الرافد في علم الأصول</w:t>
      </w:r>
      <w:r>
        <w:rPr>
          <w:rFonts w:hint="cs"/>
          <w:rtl/>
        </w:rPr>
        <w:t>،</w:t>
      </w:r>
      <w:r w:rsidRPr="000D356F">
        <w:rPr>
          <w:rtl/>
        </w:rPr>
        <w:t xml:space="preserve"> ص61</w:t>
      </w:r>
      <w:r>
        <w:rPr>
          <w:rFonts w:hint="cs"/>
          <w:rtl/>
        </w:rPr>
        <w:t>.</w:t>
      </w:r>
    </w:p>
  </w:footnote>
  <w:footnote w:id="7">
    <w:p w14:paraId="6AD714FB" w14:textId="77777777" w:rsidR="0080570D" w:rsidRDefault="0080570D" w:rsidP="0080570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تهذیب الاحکام (تحقیق خراسان)، طوسی، محمد بن الحسن، ج1، ص422.</w:t>
      </w:r>
    </w:p>
  </w:footnote>
  <w:footnote w:id="8">
    <w:p w14:paraId="584CC6C9" w14:textId="77777777" w:rsidR="009571C2" w:rsidRDefault="009571C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 (ط- الاسلامیة)، کلینی، محمد بن یعقوب، ج3، ص54، ح4.</w:t>
      </w:r>
    </w:p>
  </w:footnote>
  <w:footnote w:id="9">
    <w:p w14:paraId="1472F28D" w14:textId="77777777" w:rsidR="009571C2" w:rsidRDefault="009571C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الجاثیة:32.</w:t>
      </w:r>
    </w:p>
  </w:footnote>
  <w:footnote w:id="10">
    <w:p w14:paraId="18CFC36C" w14:textId="77777777" w:rsidR="009571C2" w:rsidRDefault="009571C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الکافی(ط- الاسلامیة)، کلینی، محمد بن یعقوب، ج4، ص100، ح2.</w:t>
      </w:r>
    </w:p>
  </w:footnote>
  <w:footnote w:id="11">
    <w:p w14:paraId="7588C28C" w14:textId="77777777" w:rsidR="00975406" w:rsidRDefault="009754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البقرة:46.</w:t>
      </w:r>
    </w:p>
  </w:footnote>
  <w:footnote w:id="12">
    <w:p w14:paraId="1A9C7D88" w14:textId="77777777" w:rsidR="00975406" w:rsidRDefault="009754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نهج البلاغه (للصبحی صالح)، شریف الرضی، محمد بن حسین، ص485.</w:t>
      </w:r>
    </w:p>
  </w:footnote>
  <w:footnote w:id="13">
    <w:p w14:paraId="008889E0" w14:textId="77777777" w:rsidR="00975406" w:rsidRDefault="00975406" w:rsidP="009754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الجاثیة: 24.</w:t>
      </w:r>
    </w:p>
  </w:footnote>
  <w:footnote w:id="14">
    <w:p w14:paraId="111E0416" w14:textId="77777777" w:rsidR="00975406" w:rsidRDefault="009754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الانعام:148.</w:t>
      </w:r>
    </w:p>
  </w:footnote>
  <w:footnote w:id="15">
    <w:p w14:paraId="478F6BD4" w14:textId="77777777" w:rsidR="00FB3D83" w:rsidRDefault="00FB3D8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A1A21">
        <w:rPr>
          <w:rFonts w:hint="cs"/>
          <w:rtl/>
        </w:rPr>
        <w:t>اجود التقریرات، نائینی، محمد حسین، ج3، ص19؛ فوائد الاصول، نائینی، محمد حسین، ج3، ص21.</w:t>
      </w:r>
    </w:p>
  </w:footnote>
  <w:footnote w:id="16">
    <w:p w14:paraId="64286CF5" w14:textId="77777777" w:rsidR="00FB3D83" w:rsidRDefault="00FB3D8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A1A21">
        <w:rPr>
          <w:rFonts w:hint="cs"/>
          <w:rtl/>
        </w:rPr>
        <w:t xml:space="preserve">مصباح الاصول(طبع موسسة احیاء آثار </w:t>
      </w:r>
      <w:r w:rsidR="004A1A21" w:rsidRPr="0035791A">
        <w:rPr>
          <w:rFonts w:hint="cs"/>
          <w:rtl/>
        </w:rPr>
        <w:t>السید الخوئی)، ج1، ص39.</w:t>
      </w:r>
    </w:p>
  </w:footnote>
  <w:footnote w:id="17">
    <w:p w14:paraId="7DE8D95A" w14:textId="77777777" w:rsidR="00FB3D83" w:rsidRDefault="00FB3D8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4A1A21">
        <w:rPr>
          <w:rFonts w:hint="cs"/>
          <w:rtl/>
        </w:rPr>
        <w:t>دروس فی مسائل علم الاصول، تبریزی، میرزا جواد، ج3، ص408-409.</w:t>
      </w:r>
    </w:p>
  </w:footnote>
  <w:footnote w:id="18">
    <w:p w14:paraId="68E7568A" w14:textId="77777777" w:rsidR="0006011B" w:rsidRDefault="0006011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الحجرات:6.</w:t>
      </w:r>
    </w:p>
  </w:footnote>
  <w:footnote w:id="19">
    <w:p w14:paraId="0DEFEE49" w14:textId="77777777" w:rsidR="0006011B" w:rsidRDefault="000601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 (طبع آل البیت)، آخوند خراسانی، محمد کاظم بن حسین، ص297.</w:t>
      </w:r>
    </w:p>
  </w:footnote>
  <w:footnote w:id="20">
    <w:p w14:paraId="48952D8D" w14:textId="77777777" w:rsidR="005D56B1" w:rsidRDefault="005D56B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الشیعة، شیخ حر عاملی، محمد بن حسن، ج27، ص149، ح40.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312F" w14:textId="77777777" w:rsidR="00F7601D" w:rsidRPr="00B52C9F" w:rsidRDefault="00AC7C10" w:rsidP="00925DD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 w:cs="NoorLotus"/>
        <w:sz w:val="20"/>
        <w:szCs w:val="20"/>
      </w:rPr>
    </w:pPr>
    <w:r w:rsidRPr="00B52C9F">
      <w:rPr>
        <w:rFonts w:ascii="NoorLotus" w:hAnsi="NoorLotus" w:cs="NoorLotus"/>
        <w:b/>
        <w:bCs/>
        <w:sz w:val="20"/>
        <w:szCs w:val="20"/>
        <w:rtl/>
      </w:rPr>
      <w:t>درس خارج اصول استاد شهیدی پور حفظه الله(دوره سوم، سال4)</w:t>
    </w:r>
    <w:r w:rsidRPr="00B52C9F">
      <w:rPr>
        <w:rFonts w:ascii="NoorLotus" w:hAnsi="NoorLotus" w:cs="NoorLotus"/>
        <w:sz w:val="20"/>
        <w:szCs w:val="20"/>
        <w:rtl/>
      </w:rPr>
      <w:t xml:space="preserve"> </w:t>
    </w:r>
    <w:r w:rsidRPr="00B52C9F">
      <w:rPr>
        <w:rFonts w:ascii="NoorLotus" w:hAnsi="NoorLotus" w:cs="NoorLotus"/>
        <w:sz w:val="20"/>
        <w:szCs w:val="20"/>
        <w:rtl/>
      </w:rPr>
      <w:tab/>
    </w:r>
    <w:r w:rsidRPr="00B52C9F">
      <w:rPr>
        <w:rFonts w:ascii="NoorLotus" w:hAnsi="NoorLotus" w:cs="NoorLotus"/>
        <w:sz w:val="20"/>
        <w:szCs w:val="20"/>
        <w:rtl/>
      </w:rPr>
      <w:tab/>
    </w:r>
    <w:r w:rsidRPr="00B52C9F">
      <w:rPr>
        <w:rFonts w:ascii="NoorLotus" w:hAnsi="NoorLotus" w:cs="NoorLotus"/>
        <w:sz w:val="20"/>
        <w:szCs w:val="20"/>
      </w:rPr>
      <w:t xml:space="preserve"> </w:t>
    </w:r>
    <w:r w:rsidRPr="00B52C9F">
      <w:rPr>
        <w:rFonts w:ascii="NoorLotus" w:hAnsi="NoorLotus" w:cs="NoorLotus"/>
        <w:sz w:val="20"/>
        <w:szCs w:val="20"/>
      </w:rPr>
      <w:tab/>
    </w:r>
    <w:r w:rsidRPr="00B52C9F">
      <w:rPr>
        <w:rFonts w:ascii="NoorLotus" w:hAnsi="NoorLotus" w:cs="NoorLotus"/>
        <w:sz w:val="20"/>
        <w:szCs w:val="20"/>
        <w:rtl/>
      </w:rPr>
      <w:t>جلسه</w:t>
    </w:r>
    <w:r w:rsidRPr="00B52C9F">
      <w:rPr>
        <w:rFonts w:ascii="NoorLotus" w:hAnsi="NoorLotus" w:cs="NoorLotus"/>
        <w:sz w:val="20"/>
        <w:szCs w:val="20"/>
      </w:rPr>
      <w:t>:</w:t>
    </w:r>
    <w:r w:rsidRPr="00B52C9F">
      <w:rPr>
        <w:rFonts w:ascii="NoorLotus" w:hAnsi="NoorLotus" w:cs="NoorLotus"/>
        <w:sz w:val="20"/>
        <w:szCs w:val="20"/>
        <w:rtl/>
        <w:lang w:bidi="fa-IR"/>
      </w:rPr>
      <w:t>13</w:t>
    </w:r>
    <w:r w:rsidR="00925DD6">
      <w:rPr>
        <w:rFonts w:ascii="NoorLotus" w:hAnsi="NoorLotus" w:cs="NoorLotus" w:hint="cs"/>
        <w:sz w:val="20"/>
        <w:szCs w:val="20"/>
        <w:rtl/>
        <w:lang w:bidi="fa-IR"/>
      </w:rPr>
      <w:t>9</w:t>
    </w:r>
    <w:r w:rsidRPr="00B52C9F">
      <w:rPr>
        <w:rFonts w:ascii="NoorLotus" w:hAnsi="NoorLotus" w:cs="NoorLotus"/>
        <w:sz w:val="20"/>
        <w:szCs w:val="20"/>
        <w:rtl/>
      </w:rPr>
      <w:t xml:space="preserve"> (تاریخ:</w:t>
    </w:r>
    <w:r w:rsidR="00925DD6">
      <w:rPr>
        <w:rFonts w:ascii="NoorLotus" w:hAnsi="NoorLotus" w:cs="NoorLotus" w:hint="cs"/>
        <w:sz w:val="20"/>
        <w:szCs w:val="20"/>
        <w:rtl/>
      </w:rPr>
      <w:t>16</w:t>
    </w:r>
    <w:r w:rsidRPr="00B52C9F">
      <w:rPr>
        <w:rFonts w:ascii="NoorLotus" w:hAnsi="NoorLotus" w:cs="NoorLotus"/>
        <w:sz w:val="20"/>
        <w:szCs w:val="20"/>
        <w:rtl/>
      </w:rPr>
      <w:t>/3/1402)</w:t>
    </w:r>
  </w:p>
  <w:p w14:paraId="64A49EA8" w14:textId="77777777" w:rsidR="00F7601D" w:rsidRPr="00DA16A6" w:rsidRDefault="00C427A4" w:rsidP="00F7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5107"/>
    <w:multiLevelType w:val="hybridMultilevel"/>
    <w:tmpl w:val="61927C5A"/>
    <w:lvl w:ilvl="0" w:tplc="0DEA4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1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D6"/>
    <w:rsid w:val="00035A56"/>
    <w:rsid w:val="0006011B"/>
    <w:rsid w:val="000C5AA2"/>
    <w:rsid w:val="000D13BC"/>
    <w:rsid w:val="00117793"/>
    <w:rsid w:val="00264FCB"/>
    <w:rsid w:val="00285B9C"/>
    <w:rsid w:val="002E60DA"/>
    <w:rsid w:val="0035791A"/>
    <w:rsid w:val="003B1781"/>
    <w:rsid w:val="004A1A21"/>
    <w:rsid w:val="00555EA7"/>
    <w:rsid w:val="005778A8"/>
    <w:rsid w:val="005D56B1"/>
    <w:rsid w:val="0063455D"/>
    <w:rsid w:val="00694846"/>
    <w:rsid w:val="00716F89"/>
    <w:rsid w:val="007D64AB"/>
    <w:rsid w:val="0080570D"/>
    <w:rsid w:val="00836AFC"/>
    <w:rsid w:val="00871A1B"/>
    <w:rsid w:val="008F7A91"/>
    <w:rsid w:val="00925DD6"/>
    <w:rsid w:val="009571C2"/>
    <w:rsid w:val="00975406"/>
    <w:rsid w:val="00A34A8D"/>
    <w:rsid w:val="00AB6ED6"/>
    <w:rsid w:val="00AC788B"/>
    <w:rsid w:val="00AC7C10"/>
    <w:rsid w:val="00AE3223"/>
    <w:rsid w:val="00BF7221"/>
    <w:rsid w:val="00C427A4"/>
    <w:rsid w:val="00CA0D01"/>
    <w:rsid w:val="00D57FAD"/>
    <w:rsid w:val="00EB4641"/>
    <w:rsid w:val="00F21E07"/>
    <w:rsid w:val="00F4580D"/>
    <w:rsid w:val="00F6021C"/>
    <w:rsid w:val="00F60982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7B60BA80"/>
  <w15:docId w15:val="{FD55E782-36D4-4723-B575-3E2EBF4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D6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9C"/>
    <w:pPr>
      <w:spacing w:line="256" w:lineRule="auto"/>
      <w:outlineLvl w:val="0"/>
    </w:pPr>
    <w:rPr>
      <w:rFonts w:ascii="NoorLotus" w:hAnsi="NoorLotus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9C"/>
    <w:pPr>
      <w:keepNext/>
      <w:keepLines/>
      <w:spacing w:before="200" w:after="0"/>
      <w:outlineLvl w:val="1"/>
    </w:pPr>
    <w:rPr>
      <w:rFonts w:ascii="NoorLotus" w:eastAsiaTheme="majorEastAsia" w:hAnsi="NoorLotus"/>
      <w:b/>
      <w:bCs/>
      <w:color w:val="00B0F0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80D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5B9C"/>
    <w:pPr>
      <w:keepNext/>
      <w:keepLines/>
      <w:spacing w:before="200" w:after="0"/>
      <w:outlineLvl w:val="3"/>
    </w:pPr>
    <w:rPr>
      <w:rFonts w:ascii="NoorLotus" w:eastAsiaTheme="majorEastAsia" w:hAnsi="NoorLotus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B9C"/>
    <w:rPr>
      <w:rFonts w:ascii="NoorLotus" w:eastAsia="Calibri" w:hAnsi="NoorLotus" w:cs="NoorLotus"/>
      <w:b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85B9C"/>
    <w:rPr>
      <w:rFonts w:ascii="NoorLotus" w:eastAsiaTheme="majorEastAsia" w:hAnsi="NoorLotus" w:cs="NoorLotus"/>
      <w:b/>
      <w:bCs/>
      <w:color w:val="00B0F0"/>
      <w:sz w:val="30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285B9C"/>
    <w:rPr>
      <w:rFonts w:ascii="NoorLotus" w:eastAsiaTheme="majorEastAsia" w:hAnsi="NoorLotus" w:cs="NoorLotus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4580D"/>
    <w:rPr>
      <w:rFonts w:asciiTheme="majorHAnsi" w:eastAsiaTheme="majorEastAsia" w:hAnsiTheme="majorHAnsi" w:cs="NoorLotus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25DD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25DD6"/>
  </w:style>
  <w:style w:type="paragraph" w:styleId="Footer">
    <w:name w:val="footer"/>
    <w:basedOn w:val="Normal"/>
    <w:link w:val="FooterChar"/>
    <w:uiPriority w:val="99"/>
    <w:unhideWhenUsed/>
    <w:rsid w:val="00925DD6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25DD6"/>
  </w:style>
  <w:style w:type="paragraph" w:styleId="FootnoteText">
    <w:name w:val="footnote text"/>
    <w:basedOn w:val="Normal"/>
    <w:link w:val="FootnoteTextChar"/>
    <w:uiPriority w:val="99"/>
    <w:unhideWhenUsed/>
    <w:rsid w:val="00925D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DD6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925DD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25DD6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25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25DD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5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D6"/>
    <w:rPr>
      <w:rFonts w:ascii="Tahoma" w:eastAsia="Calibri" w:hAnsi="Tahoma" w:cs="Tahoma"/>
      <w:sz w:val="16"/>
      <w:szCs w:val="16"/>
      <w:lang w:bidi="fa-IR"/>
    </w:rPr>
  </w:style>
  <w:style w:type="paragraph" w:styleId="NormalWeb">
    <w:name w:val="Normal (Web)"/>
    <w:basedOn w:val="Normal"/>
    <w:uiPriority w:val="99"/>
    <w:unhideWhenUsed/>
    <w:rsid w:val="00F6021C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5EA7"/>
    <w:pPr>
      <w:spacing w:after="100"/>
    </w:pPr>
  </w:style>
  <w:style w:type="paragraph" w:styleId="ListParagraph">
    <w:name w:val="List Paragraph"/>
    <w:basedOn w:val="Normal"/>
    <w:uiPriority w:val="34"/>
    <w:qFormat/>
    <w:rsid w:val="007D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0A6A-8EBD-409F-9399-F71D3576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حسین یزدانی</cp:lastModifiedBy>
  <cp:revision>10</cp:revision>
  <cp:lastPrinted>2023-06-08T14:12:00Z</cp:lastPrinted>
  <dcterms:created xsi:type="dcterms:W3CDTF">2023-06-06T04:52:00Z</dcterms:created>
  <dcterms:modified xsi:type="dcterms:W3CDTF">2023-08-02T11:02:00Z</dcterms:modified>
</cp:coreProperties>
</file>