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A233" w14:textId="77777777" w:rsidR="00553AAA" w:rsidRDefault="00553AAA" w:rsidP="00553AAA">
      <w:bookmarkStart w:id="0" w:name="_Toc136979451"/>
      <w:r>
        <w:rPr>
          <w:rtl/>
        </w:rPr>
        <w:t>بسمه تعالی</w:t>
      </w:r>
    </w:p>
    <w:p w14:paraId="667E42A3" w14:textId="77777777" w:rsidR="00553AAA" w:rsidRDefault="00553AAA" w:rsidP="00553AAA">
      <w:r>
        <w:rPr>
          <w:color w:val="FF0000"/>
          <w:rtl/>
        </w:rPr>
        <w:t xml:space="preserve">موضوع: </w:t>
      </w:r>
      <w:r w:rsidRPr="008F7A91">
        <w:rPr>
          <w:rFonts w:hint="cs"/>
          <w:rtl/>
        </w:rPr>
        <w:t>قیام</w:t>
      </w:r>
      <w:r w:rsidRPr="008F7A91">
        <w:rPr>
          <w:rtl/>
        </w:rPr>
        <w:t xml:space="preserve"> </w:t>
      </w:r>
      <w:r w:rsidRPr="008F7A91">
        <w:rPr>
          <w:rFonts w:hint="cs"/>
          <w:rtl/>
        </w:rPr>
        <w:t>امارات</w:t>
      </w:r>
      <w:r w:rsidRPr="008F7A91">
        <w:rPr>
          <w:rtl/>
        </w:rPr>
        <w:t xml:space="preserve"> </w:t>
      </w:r>
      <w:r w:rsidRPr="008F7A91">
        <w:rPr>
          <w:rFonts w:hint="cs"/>
          <w:rtl/>
        </w:rPr>
        <w:t>و</w:t>
      </w:r>
      <w:r w:rsidRPr="008F7A91">
        <w:rPr>
          <w:rtl/>
        </w:rPr>
        <w:t xml:space="preserve"> </w:t>
      </w:r>
      <w:r w:rsidRPr="008F7A91">
        <w:rPr>
          <w:rFonts w:hint="cs"/>
          <w:rtl/>
        </w:rPr>
        <w:t>اصول</w:t>
      </w:r>
      <w:r w:rsidRPr="008F7A91">
        <w:rPr>
          <w:rtl/>
        </w:rPr>
        <w:t xml:space="preserve"> </w:t>
      </w:r>
      <w:r w:rsidRPr="008F7A91">
        <w:rPr>
          <w:rFonts w:hint="cs"/>
          <w:rtl/>
        </w:rPr>
        <w:t>مقام</w:t>
      </w:r>
      <w:r w:rsidRPr="008F7A91">
        <w:rPr>
          <w:rtl/>
        </w:rPr>
        <w:t xml:space="preserve"> </w:t>
      </w:r>
      <w:r w:rsidRPr="008F7A91">
        <w:rPr>
          <w:rFonts w:hint="cs"/>
          <w:rtl/>
        </w:rPr>
        <w:t>قطع</w:t>
      </w:r>
      <w:r w:rsidRPr="008F7A91">
        <w:rPr>
          <w:rtl/>
        </w:rPr>
        <w:t xml:space="preserve"> </w:t>
      </w:r>
      <w:r>
        <w:rPr>
          <w:rtl/>
        </w:rPr>
        <w:t>/ مباحث قطع</w:t>
      </w:r>
    </w:p>
    <w:p w14:paraId="40E12C03" w14:textId="77777777" w:rsidR="007A21D7" w:rsidRPr="00D844AA" w:rsidRDefault="006B3A7F" w:rsidP="00D844AA">
      <w:pPr>
        <w:pStyle w:val="Heading1"/>
        <w:jc w:val="both"/>
        <w:rPr>
          <w:rtl/>
        </w:rPr>
      </w:pPr>
      <w:bookmarkStart w:id="1" w:name="_Toc137031270"/>
      <w:bookmarkStart w:id="2" w:name="_Toc137466231"/>
      <w:r w:rsidRPr="00D844AA">
        <w:rPr>
          <w:rtl/>
        </w:rPr>
        <w:t>قیام امارات و اصول مقام قطع</w:t>
      </w:r>
      <w:bookmarkEnd w:id="0"/>
      <w:bookmarkEnd w:id="1"/>
      <w:bookmarkEnd w:id="2"/>
      <w:r w:rsidRPr="00D844AA">
        <w:rPr>
          <w:rtl/>
        </w:rPr>
        <w:t xml:space="preserve"> </w:t>
      </w:r>
    </w:p>
    <w:p w14:paraId="19623A2C" w14:textId="77777777" w:rsidR="007A21D7" w:rsidRPr="00D844AA" w:rsidRDefault="006B3A7F" w:rsidP="00D844AA">
      <w:pPr>
        <w:pStyle w:val="Heading2"/>
        <w:jc w:val="both"/>
        <w:rPr>
          <w:rtl/>
        </w:rPr>
      </w:pPr>
      <w:bookmarkStart w:id="3" w:name="_Toc136979452"/>
      <w:bookmarkStart w:id="4" w:name="_Toc137031271"/>
      <w:bookmarkStart w:id="5" w:name="_Toc137466232"/>
      <w:r w:rsidRPr="00D844AA">
        <w:rPr>
          <w:rtl/>
        </w:rPr>
        <w:t>مقام دوم: قیام امارات مقام قطع موضوعی</w:t>
      </w:r>
      <w:bookmarkEnd w:id="3"/>
      <w:bookmarkEnd w:id="4"/>
      <w:r w:rsidRPr="00D844AA">
        <w:rPr>
          <w:rtl/>
          <w:lang w:bidi="ar-DZ"/>
        </w:rPr>
        <w:t xml:space="preserve"> طریقی</w:t>
      </w:r>
      <w:bookmarkEnd w:id="5"/>
    </w:p>
    <w:p w14:paraId="685E5D9C" w14:textId="77777777" w:rsidR="007A21D7" w:rsidRPr="00D844AA" w:rsidRDefault="006B3A7F" w:rsidP="00D844AA">
      <w:pPr>
        <w:pStyle w:val="Heading2"/>
        <w:jc w:val="both"/>
        <w:rPr>
          <w:rtl/>
        </w:rPr>
      </w:pPr>
      <w:bookmarkStart w:id="6" w:name="_Toc137031272"/>
      <w:bookmarkStart w:id="7" w:name="_Toc137466233"/>
      <w:r w:rsidRPr="00D844AA">
        <w:rPr>
          <w:rtl/>
        </w:rPr>
        <w:t>تقریب اول</w:t>
      </w:r>
      <w:bookmarkEnd w:id="6"/>
      <w:bookmarkEnd w:id="7"/>
    </w:p>
    <w:p w14:paraId="073A0949" w14:textId="77777777" w:rsidR="007A21D7" w:rsidRPr="00D844AA" w:rsidRDefault="006B3A7F" w:rsidP="00D844AA">
      <w:pPr>
        <w:jc w:val="both"/>
        <w:rPr>
          <w:rFonts w:ascii="NoorLotus" w:hAnsi="NoorLotus"/>
          <w:rtl/>
        </w:rPr>
      </w:pPr>
      <w:r w:rsidRPr="00D844AA">
        <w:rPr>
          <w:rFonts w:ascii="NoorLotus" w:hAnsi="NoorLotus"/>
          <w:rtl/>
        </w:rPr>
        <w:t>ظاهر خطابی که علم در آن اخذ شده است مطلق تبین است ولو تبین وجدانی نباشد و تبین به طریق معتبر باشد. که امام رحمه الله و آیت الله سیستانی حفظه الله با دو بیان مختلف آن را تقویت کردند.</w:t>
      </w:r>
    </w:p>
    <w:p w14:paraId="5882E04D" w14:textId="77777777" w:rsidR="007A21D7" w:rsidRPr="00D844AA" w:rsidRDefault="006B3A7F" w:rsidP="00D844AA">
      <w:pPr>
        <w:pStyle w:val="Heading3"/>
        <w:jc w:val="both"/>
        <w:rPr>
          <w:rFonts w:ascii="NoorLotus" w:hAnsi="NoorLotus"/>
          <w:rtl/>
        </w:rPr>
      </w:pPr>
      <w:bookmarkStart w:id="8" w:name="_Toc137031273"/>
      <w:bookmarkStart w:id="9" w:name="_Toc137466234"/>
      <w:r w:rsidRPr="00D844AA">
        <w:rPr>
          <w:rFonts w:ascii="NoorLotus" w:hAnsi="NoorLotus"/>
          <w:rtl/>
        </w:rPr>
        <w:t>تتمه بررسی کلام آیت الله سیستانی حفظه الله</w:t>
      </w:r>
      <w:bookmarkEnd w:id="8"/>
      <w:bookmarkEnd w:id="9"/>
      <w:r w:rsidRPr="00D844AA">
        <w:rPr>
          <w:rFonts w:ascii="NoorLotus" w:hAnsi="NoorLotus"/>
          <w:rtl/>
        </w:rPr>
        <w:t xml:space="preserve"> </w:t>
      </w:r>
    </w:p>
    <w:p w14:paraId="2FE3DF50" w14:textId="77777777" w:rsidR="007A21D7" w:rsidRPr="00D844AA" w:rsidRDefault="006B3A7F" w:rsidP="00D844AA">
      <w:pPr>
        <w:jc w:val="both"/>
        <w:rPr>
          <w:rFonts w:ascii="NoorLotus" w:hAnsi="NoorLotus"/>
          <w:sz w:val="24"/>
          <w:szCs w:val="24"/>
          <w:rtl/>
          <w:lang w:bidi="ar-SA"/>
        </w:rPr>
      </w:pPr>
      <w:r w:rsidRPr="00D844AA">
        <w:rPr>
          <w:rFonts w:ascii="NoorLotus" w:hAnsi="NoorLotus"/>
          <w:rtl/>
        </w:rPr>
        <w:t>آیت الله سیستانی حفظه الله فرموده‌اند: لفظ علم در لغت عربی به معنای تبین است نه به معنای اعتقاد جازم، ظن نیز به معنای رای همراه با عدم تبین است ولو اعتقاد جازم نیز داشته باشد، مهم این است که وضوح و تبین عقلایی ندارد و از مناشئ غیر عقلائیه اعتقاد جازم پیدا کرده است</w:t>
      </w:r>
      <w:r w:rsidRPr="00D844AA">
        <w:rPr>
          <w:rStyle w:val="Heading4Char"/>
          <w:rtl/>
        </w:rPr>
        <w:t xml:space="preserve"> </w:t>
      </w:r>
      <w:r w:rsidRPr="00D844AA">
        <w:rPr>
          <w:rStyle w:val="FootnoteReference"/>
          <w:rFonts w:ascii="NoorLotus" w:hAnsi="NoorLotus"/>
          <w:rtl/>
        </w:rPr>
        <w:footnoteReference w:id="1"/>
      </w:r>
      <w:r w:rsidRPr="00D844AA">
        <w:rPr>
          <w:rFonts w:ascii="NoorLotus" w:hAnsi="NoorLotus"/>
          <w:sz w:val="24"/>
          <w:szCs w:val="24"/>
          <w:rtl/>
          <w:lang w:bidi="ar-SA"/>
        </w:rPr>
        <w:t xml:space="preserve"> </w:t>
      </w:r>
      <w:r w:rsidRPr="00D844AA">
        <w:rPr>
          <w:rFonts w:ascii="NoorLotus" w:hAnsi="NoorLotus"/>
          <w:rtl/>
        </w:rPr>
        <w:t>.</w:t>
      </w:r>
    </w:p>
    <w:p w14:paraId="53FAC4C5" w14:textId="77777777" w:rsidR="007A21D7" w:rsidRPr="00D844AA" w:rsidRDefault="006B3A7F" w:rsidP="00D844AA">
      <w:pPr>
        <w:jc w:val="both"/>
        <w:rPr>
          <w:rFonts w:ascii="NoorLotus" w:hAnsi="NoorLotus"/>
          <w:rtl/>
        </w:rPr>
      </w:pPr>
      <w:r w:rsidRPr="00D844AA">
        <w:rPr>
          <w:rFonts w:ascii="NoorLotus" w:hAnsi="NoorLotus"/>
          <w:rtl/>
        </w:rPr>
        <w:t xml:space="preserve">ما در تمامیت این بیان اشکال کردیم. </w:t>
      </w:r>
    </w:p>
    <w:p w14:paraId="565BA90F" w14:textId="77777777" w:rsidR="007A21D7" w:rsidRPr="00D844AA" w:rsidRDefault="006B3A7F" w:rsidP="00D844AA">
      <w:pPr>
        <w:jc w:val="both"/>
        <w:rPr>
          <w:rFonts w:ascii="NoorLotus" w:hAnsi="NoorLotus"/>
          <w:rtl/>
        </w:rPr>
      </w:pPr>
      <w:r w:rsidRPr="00D844AA">
        <w:rPr>
          <w:rFonts w:ascii="NoorLotus" w:hAnsi="NoorLotus"/>
          <w:rtl/>
        </w:rPr>
        <w:t>از مرحوم مظفر رحمه الله نیز اختیار این بیان نقل شده است</w:t>
      </w:r>
      <w:r w:rsidRPr="00D844AA">
        <w:rPr>
          <w:rStyle w:val="FootnoteReference"/>
          <w:rFonts w:ascii="NoorLotus" w:hAnsi="NoorLotus"/>
          <w:rtl/>
        </w:rPr>
        <w:footnoteReference w:id="2"/>
      </w:r>
      <w:r w:rsidRPr="00D844AA">
        <w:rPr>
          <w:rFonts w:ascii="NoorLotus" w:hAnsi="NoorLotus"/>
          <w:rtl/>
        </w:rPr>
        <w:t xml:space="preserve">. </w:t>
      </w:r>
    </w:p>
    <w:p w14:paraId="15718915" w14:textId="77777777" w:rsidR="007A21D7" w:rsidRPr="00D844AA" w:rsidRDefault="006B3A7F" w:rsidP="00D844AA">
      <w:pPr>
        <w:jc w:val="both"/>
        <w:rPr>
          <w:rFonts w:ascii="NoorLotus" w:eastAsia="Times New Roman" w:hAnsi="NoorLotus"/>
          <w:sz w:val="24"/>
          <w:szCs w:val="24"/>
          <w:rtl/>
        </w:rPr>
      </w:pPr>
      <w:r w:rsidRPr="00D844AA">
        <w:rPr>
          <w:rFonts w:ascii="NoorLotus" w:hAnsi="NoorLotus"/>
          <w:rtl/>
        </w:rPr>
        <w:t>ولی ممکن است خود آیه «</w:t>
      </w:r>
      <w:r w:rsidRPr="00D844AA">
        <w:rPr>
          <w:rFonts w:ascii="NoorLotus" w:hAnsi="NoorLotus"/>
          <w:color w:val="000000"/>
          <w:sz w:val="30"/>
          <w:szCs w:val="30"/>
          <w:rtl/>
        </w:rPr>
        <w:t>وَ ما يَتَّبِعُ أَكْثَرُهُمْ‏ إِلاَّ ظَنًّا</w:t>
      </w:r>
      <w:r w:rsidRPr="00D844AA">
        <w:rPr>
          <w:rFonts w:ascii="NoorLotus" w:hAnsi="NoorLotus"/>
          <w:rtl/>
        </w:rPr>
        <w:t>»</w:t>
      </w:r>
      <w:r w:rsidRPr="00D844AA">
        <w:rPr>
          <w:rStyle w:val="FootnoteReference"/>
          <w:rFonts w:ascii="NoorLotus" w:hAnsi="NoorLotus"/>
          <w:rtl/>
        </w:rPr>
        <w:footnoteReference w:id="3"/>
      </w:r>
      <w:r w:rsidRPr="00D844AA">
        <w:rPr>
          <w:rFonts w:ascii="NoorLotus" w:hAnsi="NoorLotus"/>
          <w:rtl/>
        </w:rPr>
        <w:t xml:space="preserve"> شاهد بر عدم عرفیت این تفسیر برای لفظ ظن و علم باشد، زیرا اعتقاد جازم ناشی از مناشئ غیر عقلائیه یا حتی اعتقاد راجح در همه‌ی مشرکین بوده است و چنین نبود که بعضی از مشرکین طبق روش‌های عقلایی مشرک شده باشند ولی با این وجود فرموده «اکثرهم» در حالی که اگر ظن به معنای اعتقاد ناشی از مناشئ غیر عقلائیه باشد باید می‌گفت «و ما یتبع کلهم الا ظنا» و از این معلوم می‌شود که معنای ظن اعتقاد ناشی از مناشئ غیر عقلائیه نیست. و این تعبیر ممکن است شاهد باشد بر این که اقلیتی در مشرکین هستند که اغفال شده هستند و قطع دارند ولی قطع آن‌ها قطعا از مناشئ عقلائیه نیست.</w:t>
      </w:r>
    </w:p>
    <w:p w14:paraId="3FA49BEF" w14:textId="77777777" w:rsidR="007A21D7" w:rsidRPr="00D844AA" w:rsidRDefault="006B3A7F" w:rsidP="00D844AA">
      <w:pPr>
        <w:pStyle w:val="Heading2"/>
        <w:jc w:val="both"/>
        <w:rPr>
          <w:rtl/>
        </w:rPr>
      </w:pPr>
      <w:bookmarkStart w:id="10" w:name="_Toc137031274"/>
      <w:bookmarkStart w:id="11" w:name="_Toc137466235"/>
      <w:r w:rsidRPr="00D844AA">
        <w:rPr>
          <w:rtl/>
        </w:rPr>
        <w:lastRenderedPageBreak/>
        <w:t>تقریب دوم: نظریه حکومت</w:t>
      </w:r>
      <w:bookmarkEnd w:id="10"/>
      <w:bookmarkEnd w:id="11"/>
    </w:p>
    <w:p w14:paraId="28FEE73C" w14:textId="77777777" w:rsidR="007A21D7" w:rsidRPr="00D844AA" w:rsidRDefault="006B3A7F" w:rsidP="00D844AA">
      <w:pPr>
        <w:jc w:val="both"/>
        <w:rPr>
          <w:rFonts w:ascii="NoorLotus" w:hAnsi="NoorLotus"/>
          <w:rtl/>
        </w:rPr>
      </w:pPr>
      <w:r w:rsidRPr="00D844AA">
        <w:rPr>
          <w:rFonts w:ascii="NoorLotus" w:hAnsi="NoorLotus"/>
          <w:rtl/>
        </w:rPr>
        <w:t xml:space="preserve">دلیل اعتبار اماره، اماره را </w:t>
      </w:r>
      <w:r w:rsidR="00323361">
        <w:rPr>
          <w:rFonts w:ascii="NoorLotus" w:hAnsi="NoorLotus" w:hint="cs"/>
          <w:rtl/>
        </w:rPr>
        <w:t>«</w:t>
      </w:r>
      <w:r w:rsidRPr="00D844AA">
        <w:rPr>
          <w:rFonts w:ascii="NoorLotus" w:hAnsi="NoorLotus"/>
          <w:rtl/>
        </w:rPr>
        <w:t>علم</w:t>
      </w:r>
      <w:r w:rsidR="00323361">
        <w:rPr>
          <w:rFonts w:ascii="NoorLotus" w:hAnsi="NoorLotus" w:hint="cs"/>
          <w:rtl/>
        </w:rPr>
        <w:t>»</w:t>
      </w:r>
      <w:r w:rsidRPr="00D844AA">
        <w:rPr>
          <w:rFonts w:ascii="NoorLotus" w:hAnsi="NoorLotus"/>
          <w:rtl/>
        </w:rPr>
        <w:t xml:space="preserve"> اعتبار می‌کند لذا حاکم است بر ادله‌ای که در موضوع آن علم اخذ شده است. </w:t>
      </w:r>
    </w:p>
    <w:p w14:paraId="55F9A03E" w14:textId="77777777" w:rsidR="007A21D7" w:rsidRPr="00D844AA" w:rsidRDefault="006B3A7F" w:rsidP="00323361">
      <w:pPr>
        <w:jc w:val="both"/>
        <w:rPr>
          <w:rFonts w:ascii="NoorLotus" w:hAnsi="NoorLotus"/>
          <w:rtl/>
        </w:rPr>
      </w:pPr>
      <w:r w:rsidRPr="00D844AA">
        <w:rPr>
          <w:rFonts w:ascii="NoorLotus" w:hAnsi="NoorLotus"/>
          <w:rtl/>
        </w:rPr>
        <w:t xml:space="preserve">به نظر ما اگر دلیل لفظی </w:t>
      </w:r>
      <w:r w:rsidR="00323361">
        <w:rPr>
          <w:rFonts w:ascii="NoorLotus" w:hAnsi="NoorLotus" w:hint="cs"/>
          <w:rtl/>
        </w:rPr>
        <w:t xml:space="preserve">مانند </w:t>
      </w:r>
      <w:r w:rsidRPr="00D844AA">
        <w:rPr>
          <w:rFonts w:ascii="NoorLotus" w:hAnsi="NoorLotus"/>
          <w:rtl/>
        </w:rPr>
        <w:t>«خبر الثقة علم» وجود داشته باشد این حکومت تمام است ولی چنین دلیلی وجود ندارد. البته به روایاتی برای اثبات این مطلب استدلال شده است ولی این روایات دلالت بر مطلوب نمی‌کنند.</w:t>
      </w:r>
    </w:p>
    <w:p w14:paraId="6485543F" w14:textId="77777777" w:rsidR="007A21D7" w:rsidRPr="00D844AA" w:rsidRDefault="006B3A7F" w:rsidP="00D844AA">
      <w:pPr>
        <w:jc w:val="both"/>
        <w:rPr>
          <w:rFonts w:ascii="NoorLotus" w:hAnsi="NoorLotus"/>
          <w:rtl/>
        </w:rPr>
      </w:pPr>
      <w:r w:rsidRPr="00D844AA">
        <w:rPr>
          <w:rFonts w:ascii="NoorLotus" w:hAnsi="NoorLotus"/>
          <w:rtl/>
        </w:rPr>
        <w:t>روایت اول روایت مراغی بود که در جلسه گذشته از آن جواب دادیم.</w:t>
      </w:r>
    </w:p>
    <w:p w14:paraId="69FDDA0A" w14:textId="77777777" w:rsidR="007A21D7" w:rsidRPr="00D844AA" w:rsidRDefault="006B3A7F" w:rsidP="00D844AA">
      <w:pPr>
        <w:jc w:val="both"/>
        <w:rPr>
          <w:rFonts w:ascii="NoorLotus" w:hAnsi="NoorLotus"/>
          <w:color w:val="D30000"/>
          <w:sz w:val="30"/>
          <w:szCs w:val="30"/>
          <w:rtl/>
        </w:rPr>
      </w:pPr>
      <w:r w:rsidRPr="00D844AA">
        <w:rPr>
          <w:rFonts w:ascii="NoorLotus" w:hAnsi="NoorLotus"/>
          <w:rtl/>
        </w:rPr>
        <w:t>روایت دوم: صحیحه حمیری: « الْعَمْرِيُ‏ ثِقَتِي‏ فَمَا أَدَّى‏ إِلَيْكَ‏ عَنِّي‏ فَعَنِّي‏ يُؤَدِّي وَ مَا قَالَ لَكَ عَنِّي فَعَنِّي يَقُولُ فَاسْمَعْ لَهُ وَ أَطِعْ فَإِنَّهُ الثِّقَةُ الْمَأْمُون</w:t>
      </w:r>
      <w:r w:rsidRPr="00D844AA">
        <w:rPr>
          <w:rFonts w:ascii="NoorLotus" w:hAnsi="NoorLotus"/>
          <w:color w:val="D30000"/>
          <w:sz w:val="30"/>
          <w:szCs w:val="30"/>
          <w:rtl/>
        </w:rPr>
        <w:t>‏</w:t>
      </w:r>
      <w:r w:rsidRPr="00D844AA">
        <w:rPr>
          <w:rFonts w:ascii="NoorLotus" w:hAnsi="NoorLotus"/>
          <w:color w:val="242887"/>
          <w:rtl/>
        </w:rPr>
        <w:t>‏</w:t>
      </w:r>
      <w:r w:rsidRPr="00D844AA">
        <w:rPr>
          <w:rFonts w:ascii="NoorLotus" w:hAnsi="NoorLotus"/>
          <w:rtl/>
        </w:rPr>
        <w:t>»</w:t>
      </w:r>
      <w:r w:rsidRPr="00D844AA">
        <w:rPr>
          <w:rStyle w:val="FootnoteReference"/>
          <w:rFonts w:ascii="NoorLotus" w:hAnsi="NoorLotus"/>
          <w:rtl/>
        </w:rPr>
        <w:footnoteReference w:id="4"/>
      </w:r>
    </w:p>
    <w:p w14:paraId="4AA293B7" w14:textId="77777777" w:rsidR="007A21D7" w:rsidRPr="00D844AA" w:rsidRDefault="006B3A7F" w:rsidP="00D844AA">
      <w:pPr>
        <w:jc w:val="both"/>
        <w:rPr>
          <w:rFonts w:ascii="NoorLotus" w:hAnsi="NoorLotus"/>
          <w:rtl/>
        </w:rPr>
      </w:pPr>
      <w:r w:rsidRPr="00D844AA">
        <w:rPr>
          <w:rFonts w:ascii="NoorLotus" w:hAnsi="NoorLotus"/>
          <w:rtl/>
        </w:rPr>
        <w:t xml:space="preserve">ظاهر این صحیحه این است که </w:t>
      </w:r>
      <w:r w:rsidR="00323361">
        <w:rPr>
          <w:rFonts w:ascii="NoorLotus" w:hAnsi="NoorLotus" w:hint="cs"/>
          <w:rtl/>
        </w:rPr>
        <w:t>«</w:t>
      </w:r>
      <w:r w:rsidR="00323361">
        <w:rPr>
          <w:rFonts w:ascii="NoorLotus" w:hAnsi="NoorLotus"/>
          <w:rtl/>
        </w:rPr>
        <w:t>آن‌چه عمری می‌گوید</w:t>
      </w:r>
      <w:r w:rsidR="00323361">
        <w:rPr>
          <w:rFonts w:ascii="NoorLotus" w:hAnsi="NoorLotus" w:hint="cs"/>
          <w:rtl/>
        </w:rPr>
        <w:t>،</w:t>
      </w:r>
      <w:r w:rsidRPr="00D844AA">
        <w:rPr>
          <w:rFonts w:ascii="NoorLotus" w:hAnsi="NoorLotus"/>
          <w:rtl/>
        </w:rPr>
        <w:t xml:space="preserve"> چون ثقه است بگو من آن را بیان کردم</w:t>
      </w:r>
      <w:r w:rsidR="00323361">
        <w:rPr>
          <w:rFonts w:ascii="NoorLotus" w:hAnsi="NoorLotus" w:hint="cs"/>
          <w:rtl/>
        </w:rPr>
        <w:t>»</w:t>
      </w:r>
      <w:r w:rsidRPr="00D844AA">
        <w:rPr>
          <w:rFonts w:ascii="NoorLotus" w:hAnsi="NoorLotus"/>
          <w:rtl/>
        </w:rPr>
        <w:t xml:space="preserve"> و این تعبد به علم است. </w:t>
      </w:r>
    </w:p>
    <w:p w14:paraId="5A09A467" w14:textId="77777777" w:rsidR="007A21D7" w:rsidRPr="00D844AA" w:rsidRDefault="006B3A7F" w:rsidP="00D844AA">
      <w:pPr>
        <w:jc w:val="both"/>
        <w:rPr>
          <w:rFonts w:ascii="NoorLotus" w:hAnsi="NoorLotus"/>
          <w:rtl/>
        </w:rPr>
      </w:pPr>
      <w:r w:rsidRPr="00D844AA">
        <w:rPr>
          <w:rFonts w:ascii="NoorLotus" w:hAnsi="NoorLotus"/>
          <w:rtl/>
        </w:rPr>
        <w:t>این استدلال تمام نیست زیرا:</w:t>
      </w:r>
    </w:p>
    <w:p w14:paraId="3EF4E3DA" w14:textId="77777777" w:rsidR="005D3EDC" w:rsidRDefault="006B3A7F" w:rsidP="005D3EDC">
      <w:pPr>
        <w:jc w:val="both"/>
        <w:rPr>
          <w:rFonts w:ascii="NoorLotus" w:hAnsi="NoorLotus"/>
          <w:rtl/>
        </w:rPr>
      </w:pPr>
      <w:r w:rsidRPr="00D844AA">
        <w:rPr>
          <w:rFonts w:ascii="NoorLotus" w:hAnsi="NoorLotus"/>
          <w:rtl/>
        </w:rPr>
        <w:t xml:space="preserve">اولا: از تعبیر «فَمَا أَدَّى‏ إِلَيْكَ‏ عَنِّي‏ فَعَنِّي‏ يُؤَدِّي» تعبد استفاده نمی‌شود بلکه بیان عرفی </w:t>
      </w:r>
      <w:r w:rsidR="005D3EDC">
        <w:rPr>
          <w:rFonts w:ascii="NoorLotus" w:hAnsi="NoorLotus" w:hint="cs"/>
          <w:rtl/>
        </w:rPr>
        <w:t xml:space="preserve">برای </w:t>
      </w:r>
      <w:r w:rsidRPr="00D844AA">
        <w:rPr>
          <w:rFonts w:ascii="NoorLotus" w:hAnsi="NoorLotus"/>
          <w:rtl/>
        </w:rPr>
        <w:t xml:space="preserve">وثاقت شخص </w:t>
      </w:r>
      <w:r w:rsidR="005D3EDC">
        <w:rPr>
          <w:rFonts w:ascii="NoorLotus" w:hAnsi="NoorLotus" w:hint="cs"/>
          <w:rtl/>
        </w:rPr>
        <w:t xml:space="preserve">است. </w:t>
      </w:r>
      <w:r w:rsidR="005D3EDC">
        <w:rPr>
          <w:rFonts w:hint="cs"/>
          <w:sz w:val="34"/>
          <w:rtl/>
        </w:rPr>
        <w:t xml:space="preserve">شما وقتی می‌‌خواهید بگویید فلانی که حرف‌هایی را از من نقل می‌‌کند ثقه است تعبیر عرفی‌اش این است که بگویید هر چه او نقل می‌‌کند درست و مطابق با واقع است، لذا تعبیر فوق تعبد نیست بلکه بیان عرفی وثاقت عمری است. </w:t>
      </w:r>
    </w:p>
    <w:p w14:paraId="53D5F344" w14:textId="77777777" w:rsidR="005D7BC0" w:rsidRPr="005D7BC0" w:rsidRDefault="006B3A7F" w:rsidP="005D7BC0">
      <w:pPr>
        <w:jc w:val="both"/>
        <w:rPr>
          <w:rFonts w:ascii="NoorLotus" w:hAnsi="NoorLotus"/>
          <w:rtl/>
        </w:rPr>
      </w:pPr>
      <w:r w:rsidRPr="00D844AA">
        <w:rPr>
          <w:rFonts w:ascii="NoorLotus" w:hAnsi="NoorLotus"/>
          <w:rtl/>
        </w:rPr>
        <w:t>ثانیا: بر فرض تعبد باشد با مسلک تنزیل المودی منزلة الواقع سازگارتر است</w:t>
      </w:r>
      <w:r w:rsidR="005D7BC0">
        <w:rPr>
          <w:rFonts w:ascii="NoorLotus" w:hAnsi="NoorLotus" w:hint="cs"/>
          <w:rtl/>
        </w:rPr>
        <w:t xml:space="preserve"> </w:t>
      </w:r>
      <w:r w:rsidR="005D7BC0" w:rsidRPr="005D7BC0">
        <w:rPr>
          <w:rFonts w:ascii="NoorLotus" w:hAnsi="NoorLotus" w:hint="cs"/>
          <w:rtl/>
        </w:rPr>
        <w:t xml:space="preserve">که مسلک دیگری است در حجیت خبر ثقه که </w:t>
      </w:r>
      <w:r w:rsidR="005D7BC0">
        <w:rPr>
          <w:rFonts w:ascii="NoorLotus" w:hAnsi="NoorLotus" w:hint="cs"/>
          <w:rtl/>
        </w:rPr>
        <w:t xml:space="preserve">مفادش این است که دلیل حجیت اماره، </w:t>
      </w:r>
      <w:r w:rsidR="005D7BC0" w:rsidRPr="005D7BC0">
        <w:rPr>
          <w:rFonts w:ascii="NoorLotus" w:hAnsi="NoorLotus" w:hint="cs"/>
          <w:rtl/>
        </w:rPr>
        <w:t xml:space="preserve"> مؤدای خبر ثقه را تنزیل منزله واقع</w:t>
      </w:r>
      <w:r w:rsidR="005D7BC0">
        <w:rPr>
          <w:rFonts w:ascii="NoorLotus" w:hAnsi="NoorLotus" w:hint="cs"/>
          <w:rtl/>
        </w:rPr>
        <w:t xml:space="preserve"> </w:t>
      </w:r>
      <w:r w:rsidR="005D7BC0" w:rsidRPr="005D7BC0">
        <w:rPr>
          <w:rFonts w:ascii="NoorLotus" w:hAnsi="NoorLotus" w:hint="cs"/>
          <w:rtl/>
        </w:rPr>
        <w:t xml:space="preserve">می‌‌کند، </w:t>
      </w:r>
      <w:r w:rsidR="005D7BC0">
        <w:rPr>
          <w:rFonts w:ascii="NoorLotus" w:hAnsi="NoorLotus" w:hint="cs"/>
          <w:rtl/>
        </w:rPr>
        <w:t>مانند اینکه «</w:t>
      </w:r>
      <w:r w:rsidR="005D7BC0" w:rsidRPr="005D7BC0">
        <w:rPr>
          <w:rFonts w:ascii="NoorLotus" w:hAnsi="NoorLotus" w:hint="cs"/>
          <w:rtl/>
        </w:rPr>
        <w:t>ما قامت الامارة علی انه خمر فهو خمر تعبدا</w:t>
      </w:r>
      <w:r w:rsidR="005D7BC0">
        <w:rPr>
          <w:rFonts w:ascii="NoorLotus" w:hAnsi="NoorLotus" w:hint="cs"/>
          <w:rtl/>
        </w:rPr>
        <w:t>»</w:t>
      </w:r>
      <w:r w:rsidR="005D7BC0" w:rsidRPr="005D7BC0">
        <w:rPr>
          <w:rFonts w:ascii="NoorLotus" w:hAnsi="NoorLotus" w:hint="cs"/>
          <w:rtl/>
        </w:rPr>
        <w:t xml:space="preserve"> یعنی حکم خمر را ظاهرا دارد.</w:t>
      </w:r>
    </w:p>
    <w:p w14:paraId="51E26612" w14:textId="77777777" w:rsidR="007A21D7" w:rsidRPr="00D844AA" w:rsidRDefault="005D3EDC" w:rsidP="005D7BC0">
      <w:pPr>
        <w:jc w:val="both"/>
        <w:rPr>
          <w:rFonts w:ascii="NoorLotus" w:hAnsi="NoorLotus"/>
          <w:rtl/>
        </w:rPr>
      </w:pPr>
      <w:r>
        <w:rPr>
          <w:rFonts w:ascii="NoorLotus" w:hAnsi="NoorLotus"/>
          <w:rtl/>
        </w:rPr>
        <w:t>.</w:t>
      </w:r>
      <w:r w:rsidR="005D7BC0">
        <w:rPr>
          <w:rFonts w:ascii="NoorLotus" w:hAnsi="NoorLotus" w:hint="cs"/>
          <w:rtl/>
        </w:rPr>
        <w:t xml:space="preserve"> </w:t>
      </w:r>
      <w:r w:rsidR="006B3A7F" w:rsidRPr="00D844AA">
        <w:rPr>
          <w:rFonts w:ascii="NoorLotus" w:hAnsi="NoorLotus"/>
          <w:rtl/>
        </w:rPr>
        <w:tab/>
        <w:t>روایت سوم: صحیحه زراره در مورد قاعده‌ی تجاوز «إِذَا خَرَجْتَ‏ مِنْ‏ شَيْ‏ءٍ ثُمَّ دَخَلْتَ فِي غَيْرِهِ فَشَكُّكَ لَيْسَ بِشَيْ‏ءٍ</w:t>
      </w:r>
      <w:r w:rsidR="006B3A7F" w:rsidRPr="00D844AA">
        <w:rPr>
          <w:rFonts w:ascii="NoorLotus" w:hAnsi="NoorLotus"/>
          <w:color w:val="242887"/>
          <w:sz w:val="30"/>
          <w:szCs w:val="30"/>
          <w:rtl/>
        </w:rPr>
        <w:t>.</w:t>
      </w:r>
      <w:r w:rsidR="006B3A7F" w:rsidRPr="00D844AA">
        <w:rPr>
          <w:rFonts w:ascii="NoorLotus" w:hAnsi="NoorLotus"/>
          <w:rtl/>
        </w:rPr>
        <w:t>»</w:t>
      </w:r>
      <w:r w:rsidR="006B3A7F" w:rsidRPr="00D844AA">
        <w:rPr>
          <w:rStyle w:val="FootnoteReference"/>
          <w:rFonts w:ascii="NoorLotus" w:eastAsia="Batang" w:hAnsi="NoorLotus"/>
          <w:sz w:val="28"/>
          <w:rtl/>
        </w:rPr>
        <w:footnoteReference w:id="5"/>
      </w:r>
      <w:r w:rsidR="006B3A7F" w:rsidRPr="00D844AA">
        <w:rPr>
          <w:rFonts w:ascii="NoorLotus" w:hAnsi="NoorLotus"/>
          <w:rtl/>
        </w:rPr>
        <w:t xml:space="preserve"> شبیه آن در معتبره ابن أبی یعفور نیز آمده است «</w:t>
      </w:r>
      <w:r w:rsidR="006B3A7F" w:rsidRPr="00D844AA">
        <w:rPr>
          <w:rFonts w:ascii="NoorLotus" w:hAnsi="NoorLotus"/>
          <w:sz w:val="30"/>
          <w:szCs w:val="30"/>
          <w:rtl/>
        </w:rPr>
        <w:t xml:space="preserve">إِذَا </w:t>
      </w:r>
      <w:r w:rsidR="006B3A7F" w:rsidRPr="00D844AA">
        <w:rPr>
          <w:rFonts w:ascii="NoorLotus" w:hAnsi="NoorLotus"/>
          <w:sz w:val="30"/>
          <w:szCs w:val="30"/>
          <w:rtl/>
        </w:rPr>
        <w:lastRenderedPageBreak/>
        <w:t>شَكَكْتَ‏ فِي‏ شَيْ‏ءٍ مِنَ‏ الْوُضُوءِ وَ قَدْ دَخَلْتَ فِي غَيْرِهِ فَلَيْسَ شَكُّكَ بِشَيْ‏ءٍ إِنَّمَا الشَّكُّ إِذَا كُنْتَ فِي شَيْ‏ءٍ لَمْ تَجُزْهُ.</w:t>
      </w:r>
      <w:r w:rsidR="006B3A7F" w:rsidRPr="00D844AA">
        <w:rPr>
          <w:rFonts w:ascii="NoorLotus" w:hAnsi="NoorLotus"/>
          <w:rtl/>
        </w:rPr>
        <w:t>»</w:t>
      </w:r>
      <w:r w:rsidR="006B3A7F" w:rsidRPr="00D844AA">
        <w:rPr>
          <w:rStyle w:val="FootnoteReference"/>
          <w:rFonts w:ascii="NoorLotus" w:eastAsia="Batang" w:hAnsi="NoorLotus"/>
          <w:sz w:val="28"/>
          <w:rtl/>
        </w:rPr>
        <w:footnoteReference w:id="6"/>
      </w:r>
    </w:p>
    <w:p w14:paraId="7572AFBB" w14:textId="77777777" w:rsidR="007A21D7" w:rsidRPr="00D844AA" w:rsidRDefault="006B3A7F" w:rsidP="00D844AA">
      <w:pPr>
        <w:jc w:val="both"/>
        <w:rPr>
          <w:rFonts w:ascii="NoorLotus" w:hAnsi="NoorLotus"/>
          <w:rtl/>
        </w:rPr>
      </w:pPr>
      <w:r w:rsidRPr="00D844AA">
        <w:rPr>
          <w:rFonts w:ascii="NoorLotus" w:hAnsi="NoorLotus"/>
          <w:rtl/>
        </w:rPr>
        <w:t xml:space="preserve">تقریب استدلال: </w:t>
      </w:r>
    </w:p>
    <w:p w14:paraId="4BCC880D" w14:textId="77777777" w:rsidR="007A21D7" w:rsidRPr="00D844AA" w:rsidRDefault="006B3A7F" w:rsidP="00D844AA">
      <w:pPr>
        <w:jc w:val="both"/>
        <w:rPr>
          <w:rFonts w:ascii="NoorLotus" w:hAnsi="NoorLotus"/>
          <w:rtl/>
        </w:rPr>
      </w:pPr>
      <w:r w:rsidRPr="00D844AA">
        <w:rPr>
          <w:rFonts w:ascii="NoorLotus" w:hAnsi="NoorLotus"/>
          <w:rtl/>
        </w:rPr>
        <w:t>وقتی امام علیه السلام در مورد قاعده‌ی فراغ و تجاوز الغاء شک می‌کند مدلول التزامی عرفی آن</w:t>
      </w:r>
      <w:r w:rsidR="009630E4">
        <w:rPr>
          <w:rFonts w:ascii="NoorLotus" w:hAnsi="NoorLotus" w:hint="cs"/>
          <w:rtl/>
        </w:rPr>
        <w:t>، این</w:t>
      </w:r>
      <w:r w:rsidRPr="00D844AA">
        <w:rPr>
          <w:rFonts w:ascii="NoorLotus" w:hAnsi="NoorLotus"/>
          <w:rtl/>
        </w:rPr>
        <w:t xml:space="preserve"> است که در مورد خبر ثقه نیز الغاء شک می‌کند. </w:t>
      </w:r>
    </w:p>
    <w:p w14:paraId="008C42F4" w14:textId="77777777" w:rsidR="007A21D7" w:rsidRPr="00D844AA" w:rsidRDefault="006B3A7F" w:rsidP="00D844AA">
      <w:pPr>
        <w:jc w:val="both"/>
        <w:rPr>
          <w:rFonts w:ascii="NoorLotus" w:hAnsi="NoorLotus"/>
          <w:rtl/>
        </w:rPr>
      </w:pPr>
      <w:r w:rsidRPr="00D844AA">
        <w:rPr>
          <w:rFonts w:ascii="NoorLotus" w:hAnsi="NoorLotus"/>
          <w:rtl/>
        </w:rPr>
        <w:t>این بیان نیز تمام نیست زیرا:</w:t>
      </w:r>
    </w:p>
    <w:p w14:paraId="1FF13128" w14:textId="77777777" w:rsidR="007A21D7" w:rsidRDefault="006B3A7F" w:rsidP="00D844AA">
      <w:pPr>
        <w:jc w:val="both"/>
        <w:rPr>
          <w:rFonts w:ascii="NoorLotus" w:hAnsi="NoorLotus"/>
          <w:rtl/>
        </w:rPr>
      </w:pPr>
      <w:r w:rsidRPr="00D844AA">
        <w:rPr>
          <w:rFonts w:ascii="NoorLotus" w:hAnsi="NoorLotus"/>
          <w:rtl/>
        </w:rPr>
        <w:t>اولا: معلوم نیست «شکک لیس بشیء» با «لا شک لک» یکی باشد، زیرا معنای</w:t>
      </w:r>
      <w:r w:rsidR="009630E4">
        <w:rPr>
          <w:rFonts w:ascii="NoorLotus" w:hAnsi="NoorLotus"/>
          <w:rtl/>
        </w:rPr>
        <w:t xml:space="preserve"> آن این است که شک تو ارزش اعتنا</w:t>
      </w:r>
      <w:r w:rsidRPr="00D844AA">
        <w:rPr>
          <w:rFonts w:ascii="NoorLotus" w:hAnsi="NoorLotus"/>
          <w:rtl/>
        </w:rPr>
        <w:t xml:space="preserve"> کردن ندارد نه این که به معنای الغاء شک باشد بخلاف «لاشک لک».</w:t>
      </w:r>
    </w:p>
    <w:p w14:paraId="02F78CF3" w14:textId="77777777" w:rsidR="009630E4" w:rsidRPr="00D844AA" w:rsidRDefault="009630E4" w:rsidP="002B7425">
      <w:pPr>
        <w:jc w:val="both"/>
        <w:rPr>
          <w:rFonts w:ascii="NoorLotus" w:hAnsi="NoorLotus"/>
          <w:rtl/>
        </w:rPr>
      </w:pPr>
      <w:r>
        <w:rPr>
          <w:rFonts w:ascii="NoorLotus" w:hAnsi="NoorLotus" w:hint="cs"/>
          <w:rtl/>
        </w:rPr>
        <w:t xml:space="preserve">ثانیا: </w:t>
      </w:r>
      <w:r w:rsidRPr="00D844AA">
        <w:rPr>
          <w:rFonts w:ascii="NoorLotus" w:hAnsi="NoorLotus"/>
          <w:rtl/>
        </w:rPr>
        <w:t xml:space="preserve">نسبت به ملازمه و اولویت عرفیه نیز ممکن است گفته شود چنین ملازمه و اولویتی وجود ندارد زیرا شاید در مورد قاعده‌ی تجاوز مصلحت اقتضا می‌کرد شارع تعبد به علم کند و شارع می‌خواست با این تعبد ثمرات فقهیه را بر آن مترتب است </w:t>
      </w:r>
      <w:r w:rsidRPr="00D844AA">
        <w:rPr>
          <w:rFonts w:ascii="Times New Roman" w:hAnsi="Times New Roman" w:cs="Times New Roman" w:hint="cs"/>
          <w:rtl/>
        </w:rPr>
        <w:t>–</w:t>
      </w:r>
      <w:r w:rsidRPr="00D844AA">
        <w:rPr>
          <w:rFonts w:ascii="NoorLotus" w:hAnsi="NoorLotus"/>
          <w:rtl/>
        </w:rPr>
        <w:t xml:space="preserve"> </w:t>
      </w:r>
      <w:r w:rsidR="00466C3A">
        <w:rPr>
          <w:rFonts w:ascii="NoorLotus" w:hAnsi="NoorLotus" w:hint="cs"/>
          <w:rtl/>
        </w:rPr>
        <w:t xml:space="preserve">در کلمات مرحوم خویی رحمه الله دیده‌ایم و </w:t>
      </w:r>
      <w:r w:rsidRPr="00D844AA">
        <w:rPr>
          <w:rFonts w:ascii="NoorLotus" w:hAnsi="NoorLotus"/>
          <w:rtl/>
        </w:rPr>
        <w:t>شهید صدر رحمه الله</w:t>
      </w:r>
      <w:r w:rsidR="00466C3A">
        <w:rPr>
          <w:rFonts w:ascii="NoorLotus" w:hAnsi="NoorLotus" w:hint="cs"/>
          <w:rtl/>
        </w:rPr>
        <w:t xml:space="preserve"> نیز </w:t>
      </w:r>
      <w:r w:rsidRPr="00D844AA">
        <w:rPr>
          <w:rFonts w:ascii="NoorLotus" w:hAnsi="NoorLotus"/>
          <w:rtl/>
        </w:rPr>
        <w:t xml:space="preserve"> فرموده‌اند: قاعده‌ی تجاوز «شکک لیس بشیء» علاوه بر این که بیان معذریت می‌کند</w:t>
      </w:r>
      <w:r w:rsidR="002B7425">
        <w:rPr>
          <w:rFonts w:ascii="NoorLotus" w:hAnsi="NoorLotus"/>
          <w:rtl/>
        </w:rPr>
        <w:t xml:space="preserve"> بر دلیل شک در رکعات نیز حاکم </w:t>
      </w:r>
      <w:r w:rsidR="002B7425">
        <w:rPr>
          <w:rFonts w:ascii="NoorLotus" w:hAnsi="NoorLotus" w:hint="cs"/>
          <w:rtl/>
        </w:rPr>
        <w:t>ا</w:t>
      </w:r>
      <w:r w:rsidRPr="00D844AA">
        <w:rPr>
          <w:rFonts w:ascii="NoorLotus" w:hAnsi="NoorLotus"/>
          <w:rtl/>
        </w:rPr>
        <w:t xml:space="preserve">ست. مثلا اگر در تشهد اول شک کند بین رکعت اول </w:t>
      </w:r>
      <w:r w:rsidR="002B7425">
        <w:rPr>
          <w:rFonts w:ascii="NoorLotus" w:hAnsi="NoorLotus" w:hint="cs"/>
          <w:rtl/>
        </w:rPr>
        <w:t>-</w:t>
      </w:r>
      <w:r w:rsidRPr="00D844AA">
        <w:rPr>
          <w:rFonts w:ascii="NoorLotus" w:hAnsi="NoorLotus"/>
          <w:rtl/>
        </w:rPr>
        <w:t>تا تشهد اشتباه باشد</w:t>
      </w:r>
      <w:r w:rsidR="002B7425">
        <w:rPr>
          <w:rFonts w:ascii="NoorLotus" w:hAnsi="NoorLotus" w:hint="cs"/>
          <w:rtl/>
        </w:rPr>
        <w:t>-</w:t>
      </w:r>
      <w:r w:rsidRPr="00D844AA">
        <w:rPr>
          <w:rFonts w:ascii="NoorLotus" w:hAnsi="NoorLotus"/>
          <w:rtl/>
        </w:rPr>
        <w:t xml:space="preserve"> و </w:t>
      </w:r>
      <w:r w:rsidR="002B7425">
        <w:rPr>
          <w:rFonts w:ascii="NoorLotus" w:hAnsi="NoorLotus" w:hint="cs"/>
          <w:rtl/>
        </w:rPr>
        <w:t xml:space="preserve">رکعت </w:t>
      </w:r>
      <w:r w:rsidRPr="00D844AA">
        <w:rPr>
          <w:rFonts w:ascii="NoorLotus" w:hAnsi="NoorLotus"/>
          <w:rtl/>
        </w:rPr>
        <w:t xml:space="preserve">دوم </w:t>
      </w:r>
      <w:r w:rsidR="002B7425">
        <w:rPr>
          <w:rFonts w:ascii="NoorLotus" w:hAnsi="NoorLotus" w:hint="cs"/>
          <w:rtl/>
        </w:rPr>
        <w:t>-</w:t>
      </w:r>
      <w:r w:rsidRPr="00D844AA">
        <w:rPr>
          <w:rFonts w:ascii="NoorLotus" w:hAnsi="NoorLotus"/>
          <w:rtl/>
        </w:rPr>
        <w:t>تا تشهد ب</w:t>
      </w:r>
      <w:r w:rsidR="002B7425">
        <w:rPr>
          <w:rFonts w:ascii="NoorLotus" w:hAnsi="NoorLotus" w:hint="cs"/>
          <w:rtl/>
        </w:rPr>
        <w:t xml:space="preserve">ه </w:t>
      </w:r>
      <w:r w:rsidR="002B7425">
        <w:rPr>
          <w:rFonts w:ascii="NoorLotus" w:hAnsi="NoorLotus"/>
          <w:rtl/>
        </w:rPr>
        <w:t>جا باشد</w:t>
      </w:r>
      <w:r w:rsidR="002B7425">
        <w:rPr>
          <w:rFonts w:ascii="NoorLotus" w:hAnsi="NoorLotus" w:hint="cs"/>
          <w:rtl/>
        </w:rPr>
        <w:t>-</w:t>
      </w:r>
      <w:r w:rsidRPr="00D844AA">
        <w:rPr>
          <w:rFonts w:ascii="NoorLotus" w:hAnsi="NoorLotus"/>
          <w:rtl/>
        </w:rPr>
        <w:t xml:space="preserve"> مقتضای شک در رکعات «اذا شککت فی الاولیین فاعد الصلاة» بطلان صلات است ولی قاعده‌ی تجاوز حاکم بر این ادله است و لذا نماز صحیح است و به شک توجه نمی‌شود. و یا در صورت شک در تشهد دوم بین رکعت چهارم و سوم نیز قاعده تجاوز دلالت دارد بر این که وقتی داخل در تشهد شدید و شک در اجزای سابق دارید، به شک خود اعتناء نکنید و این قاعده حاکم بر دلیل «اذا شککت بین الثلاث و الاربع فابن علی الاربع ثم إئت برکعة‌ الاحتیاط» </w:t>
      </w:r>
      <w:r w:rsidR="00466C3A">
        <w:rPr>
          <w:rFonts w:ascii="NoorLotus" w:hAnsi="NoorLotus"/>
          <w:rtl/>
        </w:rPr>
        <w:t>است و نیازی به نماز احتیاط نیست</w:t>
      </w:r>
      <w:r w:rsidR="00466C3A">
        <w:rPr>
          <w:rStyle w:val="FootnoteReference"/>
          <w:rFonts w:ascii="NoorLotus" w:hAnsi="NoorLotus"/>
          <w:rtl/>
        </w:rPr>
        <w:footnoteReference w:id="7"/>
      </w:r>
      <w:r w:rsidRPr="00D844AA">
        <w:rPr>
          <w:rFonts w:ascii="NoorLotus" w:hAnsi="NoorLotus"/>
          <w:rtl/>
        </w:rPr>
        <w:t>- ولی شارع در مورد امارات چنین مصلحتی ندیده است لذا تعبد به علم نکرده است.</w:t>
      </w:r>
    </w:p>
    <w:p w14:paraId="6DE6F4D8" w14:textId="77777777" w:rsidR="007A21D7" w:rsidRPr="00D844AA" w:rsidRDefault="006B3A7F" w:rsidP="00D844AA">
      <w:pPr>
        <w:jc w:val="both"/>
        <w:rPr>
          <w:rFonts w:ascii="NoorLotus" w:hAnsi="NoorLotus"/>
          <w:rtl/>
        </w:rPr>
      </w:pPr>
      <w:r w:rsidRPr="00D844AA">
        <w:rPr>
          <w:rFonts w:ascii="NoorLotus" w:hAnsi="NoorLotus"/>
          <w:rtl/>
        </w:rPr>
        <w:lastRenderedPageBreak/>
        <w:t>روایت چهارم: «لاتنقض الیقین بالشک»</w:t>
      </w:r>
    </w:p>
    <w:p w14:paraId="504BEB42" w14:textId="77777777" w:rsidR="007A21D7" w:rsidRPr="00D844AA" w:rsidRDefault="006B3A7F" w:rsidP="004D10D9">
      <w:pPr>
        <w:jc w:val="both"/>
        <w:rPr>
          <w:rFonts w:ascii="NoorLotus" w:hAnsi="NoorLotus"/>
          <w:rtl/>
        </w:rPr>
      </w:pPr>
      <w:r w:rsidRPr="00D844AA">
        <w:rPr>
          <w:rFonts w:ascii="NoorLotus" w:hAnsi="NoorLotus"/>
          <w:rtl/>
        </w:rPr>
        <w:t xml:space="preserve"> وقتی در استصحاب تعبد به علم شده است به</w:t>
      </w:r>
      <w:r w:rsidR="004D10D9">
        <w:rPr>
          <w:rFonts w:ascii="NoorLotus" w:hAnsi="NoorLotus" w:hint="cs"/>
          <w:rtl/>
        </w:rPr>
        <w:t xml:space="preserve"> بالاولویة العرفیة</w:t>
      </w:r>
      <w:r w:rsidRPr="00D844AA">
        <w:rPr>
          <w:rFonts w:ascii="NoorLotus" w:hAnsi="NoorLotus"/>
          <w:rtl/>
        </w:rPr>
        <w:t xml:space="preserve"> در مورد </w:t>
      </w:r>
      <w:r w:rsidR="004D10D9">
        <w:rPr>
          <w:rFonts w:ascii="NoorLotus" w:hAnsi="NoorLotus" w:hint="cs"/>
          <w:rtl/>
        </w:rPr>
        <w:t>خبر ثقه</w:t>
      </w:r>
      <w:r w:rsidRPr="00D844AA">
        <w:rPr>
          <w:rFonts w:ascii="NoorLotus" w:hAnsi="NoorLotus"/>
          <w:rtl/>
        </w:rPr>
        <w:t xml:space="preserve"> نیز تعبد به علم شده است.</w:t>
      </w:r>
    </w:p>
    <w:p w14:paraId="0B8D219D" w14:textId="77777777" w:rsidR="004D10D9" w:rsidRDefault="006B3A7F" w:rsidP="009630E4">
      <w:pPr>
        <w:jc w:val="both"/>
        <w:rPr>
          <w:rFonts w:ascii="NoorLotus" w:hAnsi="NoorLotus"/>
          <w:rtl/>
        </w:rPr>
      </w:pPr>
      <w:r w:rsidRPr="00D844AA">
        <w:rPr>
          <w:rFonts w:ascii="NoorLotus" w:hAnsi="NoorLotus"/>
          <w:rtl/>
        </w:rPr>
        <w:t xml:space="preserve">این روایت نیز دلالت بر مطوب ندارد زیرا ظاهر آن این است که یقین سابق را عملا به هم نزنید و عملا به شک اعتنا نکنید نه این که شارع شک در بقاء را الغاء کرده باشد. </w:t>
      </w:r>
    </w:p>
    <w:p w14:paraId="404F4752" w14:textId="77777777" w:rsidR="007A21D7" w:rsidRDefault="006B3A7F" w:rsidP="009630E4">
      <w:pPr>
        <w:jc w:val="both"/>
        <w:rPr>
          <w:rFonts w:ascii="NoorLotus" w:hAnsi="NoorLotus"/>
          <w:rtl/>
        </w:rPr>
      </w:pPr>
      <w:r w:rsidRPr="00D844AA">
        <w:rPr>
          <w:rFonts w:ascii="NoorLotus" w:hAnsi="NoorLotus"/>
          <w:rtl/>
        </w:rPr>
        <w:t xml:space="preserve">بنابراین دلیل لفظی که به دلالت مطابقی یا فحوای عرفی دلالت کند بر این که «خبر الثقة حجة» وجود ندارد. </w:t>
      </w:r>
    </w:p>
    <w:p w14:paraId="3C6FF2F9" w14:textId="77777777" w:rsidR="007A21D7" w:rsidRPr="00D844AA" w:rsidRDefault="001A2E3C" w:rsidP="00D844AA">
      <w:pPr>
        <w:pStyle w:val="Heading3"/>
        <w:jc w:val="both"/>
        <w:rPr>
          <w:rFonts w:ascii="NoorLotus" w:hAnsi="NoorLotus"/>
          <w:rtl/>
        </w:rPr>
      </w:pPr>
      <w:bookmarkStart w:id="12" w:name="_Toc137031275"/>
      <w:bookmarkStart w:id="13" w:name="_Toc137466236"/>
      <w:r>
        <w:rPr>
          <w:rFonts w:ascii="NoorLotus" w:hAnsi="NoorLotus" w:hint="cs"/>
          <w:rtl/>
        </w:rPr>
        <w:t>ا</w:t>
      </w:r>
      <w:r w:rsidR="006B3A7F" w:rsidRPr="00D844AA">
        <w:rPr>
          <w:rFonts w:ascii="NoorLotus" w:hAnsi="NoorLotus"/>
          <w:rtl/>
        </w:rPr>
        <w:t>شکالات شهید صدر رحمه الله بر تقریب دوم</w:t>
      </w:r>
      <w:bookmarkEnd w:id="12"/>
      <w:bookmarkEnd w:id="13"/>
    </w:p>
    <w:p w14:paraId="2DC920A9" w14:textId="77777777" w:rsidR="007A21D7" w:rsidRPr="00D844AA" w:rsidRDefault="006B3A7F" w:rsidP="00C0284A">
      <w:pPr>
        <w:jc w:val="both"/>
        <w:rPr>
          <w:rFonts w:ascii="NoorLotus" w:hAnsi="NoorLotus"/>
          <w:rtl/>
        </w:rPr>
      </w:pPr>
      <w:r w:rsidRPr="00D844AA">
        <w:rPr>
          <w:rFonts w:ascii="NoorLotus" w:hAnsi="NoorLotus"/>
          <w:rtl/>
        </w:rPr>
        <w:t xml:space="preserve">شهید صدر رحمه الله فرموده‌اند: بر فرض که دلیل لفظی وجود داشته باشد که دلالت کند بر «خبر الثقة علم» </w:t>
      </w:r>
      <w:r w:rsidR="00C0284A">
        <w:rPr>
          <w:rFonts w:ascii="NoorLotus" w:hAnsi="NoorLotus" w:hint="cs"/>
          <w:rtl/>
        </w:rPr>
        <w:t xml:space="preserve">این دلیل </w:t>
      </w:r>
      <w:r w:rsidRPr="00D844AA">
        <w:rPr>
          <w:rFonts w:ascii="NoorLotus" w:hAnsi="NoorLotus"/>
          <w:rtl/>
        </w:rPr>
        <w:t>نسبت به قیام امارات مقام قطع موضوعی طریقی اطلاق ندارد. ایشان برای اثبات این مطلب دو بیان مطرح کرد</w:t>
      </w:r>
      <w:r w:rsidR="00C0284A">
        <w:rPr>
          <w:rFonts w:ascii="NoorLotus" w:hAnsi="NoorLotus" w:hint="cs"/>
          <w:rtl/>
        </w:rPr>
        <w:t>ه‌ا</w:t>
      </w:r>
      <w:r w:rsidRPr="00D844AA">
        <w:rPr>
          <w:rFonts w:ascii="NoorLotus" w:hAnsi="NoorLotus"/>
          <w:rtl/>
        </w:rPr>
        <w:t>ند.</w:t>
      </w:r>
    </w:p>
    <w:p w14:paraId="17F6C3F2" w14:textId="77777777" w:rsidR="007A21D7" w:rsidRPr="00D844AA" w:rsidRDefault="006B3A7F" w:rsidP="00D844AA">
      <w:pPr>
        <w:jc w:val="both"/>
        <w:rPr>
          <w:rFonts w:ascii="NoorLotus" w:hAnsi="NoorLotus"/>
          <w:rtl/>
        </w:rPr>
      </w:pPr>
      <w:r w:rsidRPr="00D844AA">
        <w:rPr>
          <w:rFonts w:ascii="NoorLotus" w:hAnsi="NoorLotus"/>
          <w:rtl/>
        </w:rPr>
        <w:t>بیان اول:</w:t>
      </w:r>
    </w:p>
    <w:p w14:paraId="70C7D881" w14:textId="77777777" w:rsidR="007A21D7" w:rsidRPr="00D844AA" w:rsidRDefault="006B3A7F" w:rsidP="00D44D5F">
      <w:pPr>
        <w:jc w:val="both"/>
        <w:rPr>
          <w:rFonts w:ascii="NoorLotus" w:hAnsi="NoorLotus"/>
          <w:rtl/>
        </w:rPr>
      </w:pPr>
      <w:r w:rsidRPr="00D844AA">
        <w:rPr>
          <w:rFonts w:ascii="NoorLotus" w:hAnsi="NoorLotus"/>
          <w:rtl/>
        </w:rPr>
        <w:t xml:space="preserve">سنخ قیام اماره مقام قطع </w:t>
      </w:r>
      <w:r w:rsidR="00C0284A">
        <w:rPr>
          <w:rFonts w:ascii="NoorLotus" w:hAnsi="NoorLotus" w:hint="cs"/>
          <w:rtl/>
        </w:rPr>
        <w:t>طریقی محض</w:t>
      </w:r>
      <w:r w:rsidRPr="00D844AA">
        <w:rPr>
          <w:rFonts w:ascii="NoorLotus" w:hAnsi="NoorLotus"/>
          <w:rtl/>
        </w:rPr>
        <w:t xml:space="preserve"> با سنخ قیام اماره مقام قطع موضوعی فرق دارد. سنخ قیام اماره مقام قطع طریقی محض ا</w:t>
      </w:r>
      <w:r w:rsidR="00C0284A">
        <w:rPr>
          <w:rFonts w:ascii="NoorLotus" w:hAnsi="NoorLotus"/>
          <w:rtl/>
        </w:rPr>
        <w:t>براز اهتمام به واقع در فرض قیا</w:t>
      </w:r>
      <w:r w:rsidR="00C0284A">
        <w:rPr>
          <w:rFonts w:ascii="NoorLotus" w:hAnsi="NoorLotus" w:hint="cs"/>
          <w:rtl/>
        </w:rPr>
        <w:t xml:space="preserve">م </w:t>
      </w:r>
      <w:r w:rsidRPr="00D844AA">
        <w:rPr>
          <w:rFonts w:ascii="NoorLotus" w:hAnsi="NoorLotus"/>
          <w:rtl/>
        </w:rPr>
        <w:t>خبر ثقه است که وارد بر قاعده‌ی قبح عقاب بلابیان می‌شود ولی سنخ قیام اماره مقام قطع موضوعی تنزیل در احکام قطع است و دلالت می‌کند بر این که جواز اخبار به علم در مورد خبر ثقه نیز جعل شده است یعنی آثار شرعی علم</w:t>
      </w:r>
      <w:r w:rsidR="00D44D5F">
        <w:rPr>
          <w:rFonts w:ascii="NoorLotus" w:hAnsi="NoorLotus"/>
          <w:rtl/>
        </w:rPr>
        <w:t xml:space="preserve"> برای خبر ثقه نیز ثابت است، و</w:t>
      </w:r>
      <w:r w:rsidRPr="00D844AA">
        <w:rPr>
          <w:rFonts w:ascii="NoorLotus" w:hAnsi="NoorLotus"/>
          <w:rtl/>
        </w:rPr>
        <w:t xml:space="preserve"> حکومت تنزیلیه دارد بر خطابی که علم در موضوع آن اخذ شده است. جمع بین این دو سنخ در یک خطاب شبیه استعمال لفظ در اکثر از یک معنا است و این خلاف متفاهم عرفی است. </w:t>
      </w:r>
    </w:p>
    <w:p w14:paraId="3DC9B28B" w14:textId="77777777" w:rsidR="007A21D7" w:rsidRPr="00D844AA" w:rsidRDefault="006B3A7F" w:rsidP="00D844AA">
      <w:pPr>
        <w:jc w:val="both"/>
        <w:rPr>
          <w:rFonts w:ascii="NoorLotus" w:hAnsi="NoorLotus"/>
          <w:rtl/>
        </w:rPr>
      </w:pPr>
      <w:r w:rsidRPr="00D844AA">
        <w:rPr>
          <w:rFonts w:ascii="NoorLotus" w:hAnsi="NoorLotus"/>
          <w:rtl/>
        </w:rPr>
        <w:t>بررسی بیان اول</w:t>
      </w:r>
    </w:p>
    <w:p w14:paraId="7DD344B3" w14:textId="77777777" w:rsidR="007A21D7" w:rsidRPr="00D844AA" w:rsidRDefault="006B3A7F" w:rsidP="00D844AA">
      <w:pPr>
        <w:jc w:val="both"/>
        <w:rPr>
          <w:rFonts w:ascii="NoorLotus" w:hAnsi="NoorLotus"/>
          <w:rtl/>
        </w:rPr>
      </w:pPr>
      <w:r w:rsidRPr="00D844AA">
        <w:rPr>
          <w:rFonts w:ascii="NoorLotus" w:hAnsi="NoorLotus"/>
          <w:rtl/>
        </w:rPr>
        <w:t>جواب نقضی</w:t>
      </w:r>
    </w:p>
    <w:p w14:paraId="2CFF8ECD" w14:textId="77777777" w:rsidR="007A21D7" w:rsidRPr="00D844AA" w:rsidRDefault="006B3A7F" w:rsidP="00D44D5F">
      <w:pPr>
        <w:jc w:val="both"/>
        <w:rPr>
          <w:rFonts w:ascii="NoorLotus" w:hAnsi="NoorLotus"/>
          <w:rtl/>
        </w:rPr>
      </w:pPr>
      <w:r w:rsidRPr="00D844AA">
        <w:rPr>
          <w:rFonts w:ascii="NoorLotus" w:hAnsi="NoorLotus"/>
          <w:rtl/>
        </w:rPr>
        <w:t xml:space="preserve">شما نسبت به «شکک لیس بشیء» که مفاد قاعده‌ی تجاوز است قائل شدید به این که </w:t>
      </w:r>
      <w:r w:rsidR="00D44D5F">
        <w:rPr>
          <w:rFonts w:ascii="NoorLotus" w:hAnsi="NoorLotus" w:hint="cs"/>
          <w:rtl/>
        </w:rPr>
        <w:t xml:space="preserve">هم </w:t>
      </w:r>
      <w:r w:rsidRPr="00D844AA">
        <w:rPr>
          <w:rFonts w:ascii="NoorLotus" w:hAnsi="NoorLotus"/>
          <w:rtl/>
        </w:rPr>
        <w:t xml:space="preserve">از آن معذریت استفاده می‌شود </w:t>
      </w:r>
      <w:r w:rsidR="00D44D5F">
        <w:rPr>
          <w:rFonts w:ascii="NoorLotus" w:hAnsi="NoorLotus" w:hint="cs"/>
          <w:rtl/>
        </w:rPr>
        <w:t>-</w:t>
      </w:r>
      <w:r w:rsidRPr="00D844AA">
        <w:rPr>
          <w:rFonts w:ascii="NoorLotus" w:hAnsi="NoorLotus"/>
          <w:rtl/>
        </w:rPr>
        <w:t>لذا دلالت دارد بر این که در مورد شک در سجدتین بعد از قیام اعتناء به شک نمی‌شود و آن معذر است</w:t>
      </w:r>
      <w:r w:rsidR="00D44D5F">
        <w:rPr>
          <w:rFonts w:ascii="NoorLotus" w:hAnsi="NoorLotus" w:hint="cs"/>
          <w:rtl/>
        </w:rPr>
        <w:t>-</w:t>
      </w:r>
      <w:r w:rsidRPr="00D844AA">
        <w:rPr>
          <w:rFonts w:ascii="NoorLotus" w:hAnsi="NoorLotus"/>
          <w:rtl/>
        </w:rPr>
        <w:t xml:space="preserve"> و هم حکومت بر قاعده‌ی شک در </w:t>
      </w:r>
      <w:r w:rsidRPr="00D844AA">
        <w:rPr>
          <w:rFonts w:ascii="NoorLotus" w:hAnsi="NoorLotus"/>
          <w:rtl/>
        </w:rPr>
        <w:lastRenderedPageBreak/>
        <w:t>رکعات یعنی «اذا شککت فی الاولیین فاعد الصلاة»</w:t>
      </w:r>
      <w:r w:rsidRPr="00D844AA">
        <w:rPr>
          <w:rStyle w:val="FootnoteReference"/>
          <w:rFonts w:ascii="NoorLotus" w:eastAsia="Batang" w:hAnsi="NoorLotus"/>
          <w:sz w:val="28"/>
          <w:rtl/>
        </w:rPr>
        <w:footnoteReference w:id="8"/>
      </w:r>
      <w:r w:rsidRPr="00D844AA">
        <w:rPr>
          <w:rFonts w:ascii="NoorLotus" w:hAnsi="NoorLotus"/>
          <w:rtl/>
        </w:rPr>
        <w:t xml:space="preserve"> و «اذا شککت بین الثلاث و الاربع فابن علی الاربع ثم إئت بصلاة الاحتیاط»</w:t>
      </w:r>
      <w:r w:rsidRPr="00D844AA">
        <w:rPr>
          <w:rStyle w:val="FootnoteReference"/>
          <w:rFonts w:ascii="NoorLotus" w:eastAsia="Batang" w:hAnsi="NoorLotus"/>
          <w:sz w:val="28"/>
          <w:rtl/>
        </w:rPr>
        <w:footnoteReference w:id="9"/>
      </w:r>
      <w:r w:rsidRPr="00D844AA">
        <w:rPr>
          <w:rFonts w:ascii="NoorLotus" w:hAnsi="NoorLotus"/>
          <w:rtl/>
        </w:rPr>
        <w:t xml:space="preserve"> استفاده </w:t>
      </w:r>
      <w:r w:rsidR="00D44D5F">
        <w:rPr>
          <w:rFonts w:ascii="NoorLotus" w:hAnsi="NoorLotus" w:hint="cs"/>
          <w:rtl/>
        </w:rPr>
        <w:t>می‌شود</w:t>
      </w:r>
      <w:r w:rsidRPr="00D844AA">
        <w:rPr>
          <w:rFonts w:ascii="NoorLotus" w:hAnsi="NoorLotus"/>
          <w:rtl/>
        </w:rPr>
        <w:t xml:space="preserve">، در این جا نیز قاعده‌ی تجاوز قائم مقام </w:t>
      </w:r>
      <w:r w:rsidR="00D44D5F" w:rsidRPr="00D844AA">
        <w:rPr>
          <w:rFonts w:ascii="NoorLotus" w:hAnsi="NoorLotus"/>
          <w:rtl/>
        </w:rPr>
        <w:t xml:space="preserve">هم </w:t>
      </w:r>
      <w:r w:rsidRPr="00D844AA">
        <w:rPr>
          <w:rFonts w:ascii="NoorLotus" w:hAnsi="NoorLotus"/>
          <w:rtl/>
        </w:rPr>
        <w:t xml:space="preserve">قطع طریقی محض و هم قطع موضوعی می‌شود زیرا در عدد رکعات باید یقین پیدا شود و الا در صورت شک در رکعات اول و دوم نماز باطل است ودر </w:t>
      </w:r>
      <w:r w:rsidR="00752FC4">
        <w:rPr>
          <w:rFonts w:ascii="NoorLotus" w:hAnsi="NoorLotus" w:hint="cs"/>
          <w:rtl/>
        </w:rPr>
        <w:t xml:space="preserve">شک در </w:t>
      </w:r>
      <w:r w:rsidRPr="00D844AA">
        <w:rPr>
          <w:rFonts w:ascii="NoorLotus" w:hAnsi="NoorLotus"/>
          <w:rtl/>
        </w:rPr>
        <w:t>رکعت سوم و چهارم نماز احتیاط لازم است.</w:t>
      </w:r>
    </w:p>
    <w:p w14:paraId="6316070B" w14:textId="77777777" w:rsidR="007A21D7" w:rsidRPr="00D844AA" w:rsidRDefault="006B3A7F" w:rsidP="00D844AA">
      <w:pPr>
        <w:jc w:val="both"/>
        <w:rPr>
          <w:rFonts w:ascii="NoorLotus" w:hAnsi="NoorLotus"/>
          <w:rtl/>
        </w:rPr>
      </w:pPr>
      <w:r w:rsidRPr="00D844AA">
        <w:rPr>
          <w:rFonts w:ascii="NoorLotus" w:hAnsi="NoorLotus"/>
          <w:rtl/>
        </w:rPr>
        <w:t xml:space="preserve">جواب حلی </w:t>
      </w:r>
    </w:p>
    <w:p w14:paraId="5F191027" w14:textId="77777777" w:rsidR="007A21D7" w:rsidRPr="00D844AA" w:rsidRDefault="006B3A7F" w:rsidP="00D844AA">
      <w:pPr>
        <w:jc w:val="both"/>
        <w:rPr>
          <w:rFonts w:ascii="NoorLotus" w:hAnsi="NoorLotus"/>
          <w:rtl/>
        </w:rPr>
      </w:pPr>
      <w:r w:rsidRPr="00D844AA">
        <w:rPr>
          <w:rFonts w:ascii="NoorLotus" w:hAnsi="NoorLotus"/>
          <w:rtl/>
        </w:rPr>
        <w:t xml:space="preserve">انصافا عرف از لسان «خبرالثقة علم» یا «اذا خرجت من شیء و دخلت فی غیره فشکک لیس بشیء» بنا بر این که به معنای «لاشک لک» باشد (یعنی تعبد به علم کند)، اطلاق استفاده می‌کند (تمام احکام علم را بر آن مترتب می‌کند) و اختلاف سنخ مراد جدی در قیام اماره مقام قطع طریقی محض با مراد جدی در قیام اماره مقام قطع موضوعی موجب تعدد مدلول استعمالی نمی‌شود و استعمال لفظ در بیش از یک معنا در مواردی است که مدلول استعمالی متعدد شود ولی در مقام مدلول استعمالی واحد است. </w:t>
      </w:r>
    </w:p>
    <w:p w14:paraId="5F8D9C3B" w14:textId="77777777" w:rsidR="007A21D7" w:rsidRPr="00D844AA" w:rsidRDefault="006B3A7F" w:rsidP="00D844AA">
      <w:pPr>
        <w:jc w:val="both"/>
        <w:rPr>
          <w:rFonts w:ascii="NoorLotus" w:hAnsi="NoorLotus"/>
          <w:rtl/>
        </w:rPr>
      </w:pPr>
      <w:r w:rsidRPr="00D844AA">
        <w:rPr>
          <w:rFonts w:ascii="NoorLotus" w:hAnsi="NoorLotus"/>
          <w:rtl/>
        </w:rPr>
        <w:t>بیان دوم</w:t>
      </w:r>
    </w:p>
    <w:p w14:paraId="56AF6B22" w14:textId="77777777" w:rsidR="007A21D7" w:rsidRPr="00D844AA" w:rsidRDefault="006B3A7F" w:rsidP="00340F32">
      <w:pPr>
        <w:jc w:val="both"/>
        <w:rPr>
          <w:rFonts w:ascii="NoorLotus" w:hAnsi="NoorLotus"/>
          <w:rtl/>
        </w:rPr>
      </w:pPr>
      <w:r w:rsidRPr="00D844AA">
        <w:rPr>
          <w:rFonts w:ascii="NoorLotus" w:hAnsi="NoorLotus"/>
          <w:rtl/>
        </w:rPr>
        <w:t>ما یک تنزیل داریم و یک اعتبار و نباید آن دو با هم خلط شوند. در تنزیل در حکومت توسعه‌ای احکام منزّل علیه برای منزّل جعل می‌شوند و لسان اثباتی آن</w:t>
      </w:r>
      <w:r w:rsidR="006D380C">
        <w:rPr>
          <w:rFonts w:ascii="NoorLotus" w:hAnsi="NoorLotus" w:hint="cs"/>
          <w:rtl/>
        </w:rPr>
        <w:t xml:space="preserve"> مانند</w:t>
      </w:r>
      <w:r w:rsidRPr="00D844AA">
        <w:rPr>
          <w:rFonts w:ascii="NoorLotus" w:hAnsi="NoorLotus"/>
          <w:rtl/>
        </w:rPr>
        <w:t xml:space="preserve"> «الطواف بالبیت صلاة» و «الفقاع خمر» است. و در حکومت تضییقی احکام طبیعت از این فرد</w:t>
      </w:r>
      <w:r w:rsidR="00340F32">
        <w:rPr>
          <w:rFonts w:ascii="NoorLotus" w:hAnsi="NoorLotus"/>
          <w:rtl/>
        </w:rPr>
        <w:t xml:space="preserve"> که ادعاء </w:t>
      </w:r>
      <w:r w:rsidR="00340F32">
        <w:rPr>
          <w:rFonts w:ascii="NoorLotus" w:hAnsi="NoorLotus" w:hint="cs"/>
          <w:rtl/>
        </w:rPr>
        <w:t>می‌شود</w:t>
      </w:r>
      <w:r w:rsidRPr="00D844AA">
        <w:rPr>
          <w:rFonts w:ascii="NoorLotus" w:hAnsi="NoorLotus"/>
          <w:rtl/>
        </w:rPr>
        <w:t xml:space="preserve"> مصداق طبیعت نیست، نفی می‌شود مثل «لاشک لکثیر الشک» ولی در اعتبار</w:t>
      </w:r>
      <w:r w:rsidR="00340F32">
        <w:rPr>
          <w:rFonts w:ascii="NoorLotus" w:hAnsi="NoorLotus" w:hint="cs"/>
          <w:rtl/>
        </w:rPr>
        <w:t>،</w:t>
      </w:r>
      <w:r w:rsidRPr="00D844AA">
        <w:rPr>
          <w:rFonts w:ascii="NoorLotus" w:hAnsi="NoorLotus"/>
          <w:rtl/>
        </w:rPr>
        <w:t xml:space="preserve"> معتبر یک ماهیت اعتباریه را خلق می‌کند و خود به خود آثار شرعیه آن ماهیت اعتباریه بر آن مترتب می‌شود. مثل این که شارع در عقد موقت بعد از قرائت صیغه عقد</w:t>
      </w:r>
      <w:r w:rsidR="00340F32">
        <w:rPr>
          <w:rFonts w:ascii="NoorLotus" w:hAnsi="NoorLotus" w:hint="cs"/>
          <w:rtl/>
        </w:rPr>
        <w:t>،</w:t>
      </w:r>
      <w:r w:rsidRPr="00D844AA">
        <w:rPr>
          <w:rFonts w:ascii="NoorLotus" w:hAnsi="NoorLotus"/>
          <w:rtl/>
        </w:rPr>
        <w:t xml:space="preserve"> زوجیت را بین این زن و مرد اع</w:t>
      </w:r>
      <w:r w:rsidR="00340F32">
        <w:rPr>
          <w:rFonts w:ascii="NoorLotus" w:hAnsi="NoorLotus"/>
          <w:rtl/>
        </w:rPr>
        <w:t>تبار می‌کند</w:t>
      </w:r>
      <w:r w:rsidR="00340F32">
        <w:rPr>
          <w:rFonts w:ascii="NoorLotus" w:hAnsi="NoorLotus" w:hint="cs"/>
          <w:rtl/>
        </w:rPr>
        <w:t xml:space="preserve"> و</w:t>
      </w:r>
      <w:r w:rsidRPr="00D844AA">
        <w:rPr>
          <w:rFonts w:ascii="NoorLotus" w:hAnsi="NoorLotus"/>
          <w:rtl/>
        </w:rPr>
        <w:t xml:space="preserve"> دلیل اعتبار ماهیت</w:t>
      </w:r>
      <w:r w:rsidR="00340F32">
        <w:rPr>
          <w:rFonts w:ascii="NoorLotus" w:hAnsi="NoorLotus" w:hint="cs"/>
          <w:rtl/>
        </w:rPr>
        <w:t>،</w:t>
      </w:r>
      <w:r w:rsidRPr="00D844AA">
        <w:rPr>
          <w:rFonts w:ascii="NoorLotus" w:hAnsi="NoorLotus"/>
          <w:rtl/>
        </w:rPr>
        <w:t xml:space="preserve"> ناظر به یک منزل علیهی نیست که بخواهد جمیع احکام آن را بر این فرد مترتب کند زیرا شارع وقتی زوجیت را بین این زن و مرد اعتبار می‌کند مرادش تنزیل  این زن و مرد به منزله‌ی زوج تکوینی نیست. زیرا زوج تکوینی اثری ندارد که شارع بخواهد همان اثر را برای این زن و مرد اعتبار کند. بلکه خود زوجیت اعتباریه یک ماهیت اعتباری است و موضوع احکامی است که شارع مصداق آن را در این زن و مرد اعتبار می‌کند. ولی در تنزیل منزّل علیه دارای احکام شرعی است و به مقداری که دلیل حاکم اطلاق داشته باشد آن احکام از منزّل علیه به منزّل سرایت داده می‌شوند.</w:t>
      </w:r>
    </w:p>
    <w:p w14:paraId="22ADE02E" w14:textId="77777777" w:rsidR="007A21D7" w:rsidRPr="00D844AA" w:rsidRDefault="006B3A7F" w:rsidP="00C71806">
      <w:pPr>
        <w:jc w:val="both"/>
        <w:rPr>
          <w:rFonts w:ascii="NoorLotus" w:hAnsi="NoorLotus"/>
          <w:rtl/>
        </w:rPr>
      </w:pPr>
      <w:r w:rsidRPr="00D844AA">
        <w:rPr>
          <w:rFonts w:ascii="NoorLotus" w:hAnsi="NoorLotus"/>
          <w:rtl/>
        </w:rPr>
        <w:lastRenderedPageBreak/>
        <w:t xml:space="preserve"> و در مقام «خبر الثقة علم» در مورد قیام اماره مقام قطع طریقی محض اعتبار است نه تنزیل زیرا قطع طریقی محض اثر شرعی ندارد بلکه</w:t>
      </w:r>
      <w:r w:rsidRPr="00D844AA">
        <w:rPr>
          <w:rFonts w:ascii="NoorLotus" w:hAnsi="NoorLotus"/>
        </w:rPr>
        <w:t xml:space="preserve"> </w:t>
      </w:r>
      <w:r w:rsidRPr="00D844AA">
        <w:rPr>
          <w:rFonts w:ascii="NoorLotus" w:hAnsi="NoorLotus"/>
          <w:rtl/>
        </w:rPr>
        <w:t xml:space="preserve">شارع </w:t>
      </w:r>
      <w:r w:rsidR="00C71806">
        <w:rPr>
          <w:rFonts w:ascii="NoorLotus" w:hAnsi="NoorLotus"/>
          <w:rtl/>
        </w:rPr>
        <w:t>تعبد می‌کند</w:t>
      </w:r>
      <w:r w:rsidR="00C71806">
        <w:rPr>
          <w:rFonts w:ascii="NoorLotus" w:hAnsi="NoorLotus" w:hint="cs"/>
          <w:rtl/>
        </w:rPr>
        <w:t xml:space="preserve"> که خبر ثقه علم است </w:t>
      </w:r>
      <w:r w:rsidRPr="00D844AA">
        <w:rPr>
          <w:rFonts w:ascii="NoorLotus" w:hAnsi="NoorLotus"/>
          <w:rtl/>
        </w:rPr>
        <w:t xml:space="preserve">و آثار علم وجدانی که </w:t>
      </w:r>
      <w:r w:rsidR="00C71806">
        <w:rPr>
          <w:rFonts w:ascii="NoorLotus" w:hAnsi="NoorLotus" w:hint="cs"/>
          <w:rtl/>
        </w:rPr>
        <w:t>منجزیت</w:t>
      </w:r>
      <w:r w:rsidRPr="00D844AA">
        <w:rPr>
          <w:rFonts w:ascii="NoorLotus" w:hAnsi="NoorLotus"/>
          <w:rtl/>
        </w:rPr>
        <w:t xml:space="preserve"> و معذریت است را بر آن مترتب می‌کند. ولی ترتب آثار قطع موضوعی بر اماره نیاز به تنزیل دارید یعنی باید لحاظ شود که قطع</w:t>
      </w:r>
      <w:r w:rsidR="00C71806">
        <w:rPr>
          <w:rFonts w:ascii="NoorLotus" w:hAnsi="NoorLotus" w:hint="cs"/>
          <w:rtl/>
        </w:rPr>
        <w:t>،</w:t>
      </w:r>
      <w:r w:rsidRPr="00D844AA">
        <w:rPr>
          <w:rFonts w:ascii="NoorLotus" w:hAnsi="NoorLotus"/>
          <w:rtl/>
        </w:rPr>
        <w:t xml:space="preserve"> موضوع برای احکامی </w:t>
      </w:r>
      <w:r w:rsidR="00C71806">
        <w:rPr>
          <w:rFonts w:ascii="NoorLotus" w:hAnsi="NoorLotus" w:hint="cs"/>
          <w:rtl/>
        </w:rPr>
        <w:t>مانند</w:t>
      </w:r>
      <w:r w:rsidRPr="00D844AA">
        <w:rPr>
          <w:rFonts w:ascii="NoorLotus" w:hAnsi="NoorLotus"/>
          <w:rtl/>
        </w:rPr>
        <w:t xml:space="preserve"> جواز اخبار است و آن احکام را برای خبر ثقه نیز تنزیل کند و لذا می‌گوید «خبر الثقة حجة». </w:t>
      </w:r>
    </w:p>
    <w:p w14:paraId="037DFC9D" w14:textId="77777777" w:rsidR="007A21D7" w:rsidRPr="00D844AA" w:rsidRDefault="006B3A7F" w:rsidP="00641203">
      <w:pPr>
        <w:jc w:val="both"/>
        <w:rPr>
          <w:rFonts w:ascii="NoorLotus" w:hAnsi="NoorLotus"/>
          <w:rtl/>
        </w:rPr>
      </w:pPr>
      <w:r w:rsidRPr="00D844AA">
        <w:rPr>
          <w:rFonts w:ascii="NoorLotus" w:hAnsi="NoorLotus"/>
          <w:rtl/>
        </w:rPr>
        <w:t xml:space="preserve">ایشان در ادامه فرموده‌اند: اگر مفاد خطاب دلیل اعتبار اماره «خبر الثقة علم» باشد این ظهور در اعتبار دارد و قدر متیقن از قیام امارات این است که قائم مقام قطع طریقی محض می‌شوند او نیاز به اعتبار علمیت برای خبر ثقه </w:t>
      </w:r>
      <w:r w:rsidR="00641203">
        <w:rPr>
          <w:rFonts w:ascii="NoorLotus" w:hAnsi="NoorLotus"/>
          <w:rtl/>
        </w:rPr>
        <w:t xml:space="preserve">دارد و ظهور در تنزیل </w:t>
      </w:r>
      <w:r w:rsidRPr="00D844AA">
        <w:rPr>
          <w:rFonts w:ascii="NoorLotus" w:hAnsi="NoorLotus"/>
          <w:rtl/>
        </w:rPr>
        <w:t>و اسراء احکام شرعی علم به خبر ثقه ندارد. و همین اعتبار علمیت برای آن کافی است که جانشین قطع طریقی محض شود و نیاز به تنزیل ندارد. و عدم تنزیل موجب لغویت آن نمی‌شود زیرا  ترتب قدر متیقن از اثر آن که قیام مقام قطع طریقی محض است کافی است برای عدم لغویت</w:t>
      </w:r>
      <w:r w:rsidRPr="00D844AA">
        <w:rPr>
          <w:rStyle w:val="FootnoteReference"/>
          <w:rFonts w:ascii="NoorLotus" w:hAnsi="NoorLotus"/>
          <w:rtl/>
        </w:rPr>
        <w:footnoteReference w:id="10"/>
      </w:r>
      <w:r w:rsidRPr="00D844AA">
        <w:rPr>
          <w:rFonts w:ascii="NoorLotus" w:hAnsi="NoorLotus"/>
          <w:rtl/>
        </w:rPr>
        <w:t xml:space="preserve">. </w:t>
      </w:r>
    </w:p>
    <w:p w14:paraId="1350B37B" w14:textId="77777777" w:rsidR="007A21D7" w:rsidRPr="00D844AA" w:rsidRDefault="006B3A7F" w:rsidP="00D844AA">
      <w:pPr>
        <w:jc w:val="both"/>
        <w:rPr>
          <w:rFonts w:ascii="NoorLotus" w:hAnsi="NoorLotus"/>
          <w:rtl/>
        </w:rPr>
      </w:pPr>
      <w:r w:rsidRPr="00D844AA">
        <w:rPr>
          <w:rFonts w:ascii="NoorLotus" w:hAnsi="NoorLotus"/>
          <w:rtl/>
        </w:rPr>
        <w:t>بررسی بیان دوم</w:t>
      </w:r>
    </w:p>
    <w:p w14:paraId="1A02421D" w14:textId="77777777" w:rsidR="007A21D7" w:rsidRPr="00D844AA" w:rsidRDefault="006B3A7F" w:rsidP="00AB22FE">
      <w:pPr>
        <w:jc w:val="both"/>
        <w:rPr>
          <w:rFonts w:ascii="NoorLotus" w:hAnsi="NoorLotus"/>
          <w:rtl/>
        </w:rPr>
      </w:pPr>
      <w:r w:rsidRPr="00D844AA">
        <w:rPr>
          <w:rFonts w:ascii="NoorLotus" w:hAnsi="NoorLotus"/>
          <w:rtl/>
        </w:rPr>
        <w:t>این که اعتبار با تنزیل فرق دارد درست است ولی انصافا وقتی گفته می‌شود «خبر الثقة علم» ظهور دارد در این که خبر ثقه به لحاظ جمیع آثار</w:t>
      </w:r>
      <w:r w:rsidR="00641203">
        <w:rPr>
          <w:rFonts w:ascii="NoorLotus" w:hAnsi="NoorLotus" w:hint="cs"/>
          <w:rtl/>
        </w:rPr>
        <w:t>،</w:t>
      </w:r>
      <w:r w:rsidRPr="00D844AA">
        <w:rPr>
          <w:rFonts w:ascii="NoorLotus" w:hAnsi="NoorLotus"/>
          <w:rtl/>
        </w:rPr>
        <w:t xml:space="preserve"> علم است و ظهور در تنزیل دارد. و لسان شارع نسبت به قیام اماره مقام قطع طریقی محض نیز می‌تواند لسان تنزیل باشد. یعنی با همین خطاب «خبر الثقة علم» می‌گوید: اثر منجزیت و معذریت علم برای خبر ثقه است و خود همین</w:t>
      </w:r>
      <w:r w:rsidR="00641203">
        <w:rPr>
          <w:rFonts w:ascii="NoorLotus" w:hAnsi="NoorLotus" w:hint="cs"/>
          <w:rtl/>
        </w:rPr>
        <w:t>،</w:t>
      </w:r>
      <w:r w:rsidRPr="00D844AA">
        <w:rPr>
          <w:rFonts w:ascii="NoorLotus" w:hAnsi="NoorLotus"/>
          <w:rtl/>
        </w:rPr>
        <w:t xml:space="preserve"> بیان است و موضوع قاعده‌ی قبح عقاب بلابیان را از بین می‌برد. و عرفا بین «خبر الثقة علم» و «الطواف بالبیت صلاة» فرق وجود ندارد و هر دو ظهور در ترتب جمیع آثار منزّل علیه بر منزّل دارند.</w:t>
      </w:r>
    </w:p>
    <w:p w14:paraId="63AF1080" w14:textId="77777777" w:rsidR="007A21D7" w:rsidRPr="00D844AA" w:rsidRDefault="006B3A7F" w:rsidP="00AB22FE">
      <w:pPr>
        <w:jc w:val="both"/>
        <w:rPr>
          <w:rFonts w:ascii="NoorLotus" w:hAnsi="NoorLotus"/>
          <w:rtl/>
        </w:rPr>
      </w:pPr>
      <w:r w:rsidRPr="00D844AA">
        <w:rPr>
          <w:rFonts w:ascii="NoorLotus" w:hAnsi="NoorLotus"/>
          <w:rtl/>
        </w:rPr>
        <w:t>علاوه بر این که علم یک ماهیت اعتباریه نیست بلکه یک امر تکوینی است و با زوجیت و ملکیت فرق دارد، زیرا در ملکیت و زوجیت</w:t>
      </w:r>
      <w:r w:rsidR="00AB22FE">
        <w:rPr>
          <w:rFonts w:ascii="NoorLotus" w:hAnsi="NoorLotus" w:hint="cs"/>
          <w:rtl/>
        </w:rPr>
        <w:t>،</w:t>
      </w:r>
      <w:r w:rsidRPr="00D844AA">
        <w:rPr>
          <w:rFonts w:ascii="NoorLotus" w:hAnsi="NoorLotus"/>
          <w:rtl/>
        </w:rPr>
        <w:t xml:space="preserve"> مجعول</w:t>
      </w:r>
      <w:r w:rsidR="00AB22FE">
        <w:rPr>
          <w:rFonts w:ascii="NoorLotus" w:hAnsi="NoorLotus" w:hint="cs"/>
          <w:rtl/>
        </w:rPr>
        <w:t>،</w:t>
      </w:r>
      <w:r w:rsidRPr="00D844AA">
        <w:rPr>
          <w:rFonts w:ascii="NoorLotus" w:hAnsi="NoorLotus"/>
          <w:rtl/>
        </w:rPr>
        <w:t xml:space="preserve"> ماهیت اعتباریه است و شارع فقط جعل موضوع برای زوجیت می‌کند و ترتب آثار ماهیت اعتباریه زوجیت بر این فرد </w:t>
      </w:r>
      <w:r w:rsidR="00AB22FE">
        <w:rPr>
          <w:rFonts w:ascii="NoorLotus" w:hAnsi="NoorLotus" w:hint="cs"/>
          <w:rtl/>
        </w:rPr>
        <w:t>(قهرا صورت می‌پذیرد)</w:t>
      </w:r>
      <w:r w:rsidRPr="00D844AA">
        <w:rPr>
          <w:rFonts w:ascii="NoorLotus" w:hAnsi="NoorLotus"/>
          <w:rtl/>
        </w:rPr>
        <w:t>. ولی علم مثل آب و خمر است که ماهیت اعتباریه ندارد لذا گفته می‌شود «الفقاع خمر» ظهور در تنزیل دارد بنابراین «خبر الثقة علم» نیز ظهور در تنزیل دارد. و مقام ثبوت مهم نیست بلکه مهم مقام اثبات و ظهور عرفی است و این که گفته شود برای قیام امارات مقا</w:t>
      </w:r>
      <w:r w:rsidR="00AB22FE">
        <w:rPr>
          <w:rFonts w:ascii="NoorLotus" w:hAnsi="NoorLotus"/>
          <w:rtl/>
        </w:rPr>
        <w:t>م قطع موضوعی محض نیز باید حتما</w:t>
      </w:r>
      <w:r w:rsidR="00AB22FE">
        <w:rPr>
          <w:rFonts w:ascii="NoorLotus" w:hAnsi="NoorLotus" w:hint="cs"/>
          <w:rtl/>
        </w:rPr>
        <w:t xml:space="preserve"> </w:t>
      </w:r>
      <w:r w:rsidRPr="00D844AA">
        <w:rPr>
          <w:rFonts w:ascii="NoorLotus" w:hAnsi="NoorLotus"/>
          <w:rtl/>
        </w:rPr>
        <w:t xml:space="preserve">در مقام ثبوت نیز شارع </w:t>
      </w:r>
      <w:r w:rsidRPr="00D844AA">
        <w:rPr>
          <w:rFonts w:ascii="NoorLotus" w:hAnsi="NoorLotus"/>
          <w:rtl/>
        </w:rPr>
        <w:lastRenderedPageBreak/>
        <w:t>برای خبر ثقه اعتبار علم تعبدی کند مربوط به مقام ثبوت است که برهان آن را اقتضا کرده است و ما آن را نیز لازم نمی‌دانیم و</w:t>
      </w:r>
      <w:r w:rsidR="00531A67">
        <w:rPr>
          <w:rFonts w:ascii="NoorLotus" w:hAnsi="NoorLotus" w:hint="cs"/>
          <w:rtl/>
        </w:rPr>
        <w:t xml:space="preserve"> در </w:t>
      </w:r>
      <w:r w:rsidRPr="00D844AA">
        <w:rPr>
          <w:rFonts w:ascii="NoorLotus" w:hAnsi="NoorLotus"/>
          <w:rtl/>
        </w:rPr>
        <w:t>همین بیان اثباتی «خبر الثقة</w:t>
      </w:r>
      <w:r w:rsidR="00AB22FE">
        <w:rPr>
          <w:rFonts w:ascii="NoorLotus" w:hAnsi="NoorLotus" w:hint="cs"/>
          <w:rtl/>
        </w:rPr>
        <w:t xml:space="preserve"> علم</w:t>
      </w:r>
      <w:r w:rsidRPr="00D844AA">
        <w:rPr>
          <w:rFonts w:ascii="NoorLotus" w:hAnsi="NoorLotus"/>
          <w:rtl/>
        </w:rPr>
        <w:t>» که لسان آن تنزیل است اطلاق تنزیل کافی است که در فرض قیام خبر ثقه بیان بر تکلیف واقعی درست کند.</w:t>
      </w:r>
    </w:p>
    <w:p w14:paraId="4E18E0A8" w14:textId="77777777" w:rsidR="007A21D7" w:rsidRPr="00D844AA" w:rsidRDefault="006B3A7F" w:rsidP="00D844AA">
      <w:pPr>
        <w:jc w:val="both"/>
        <w:rPr>
          <w:rFonts w:ascii="NoorLotus" w:hAnsi="NoorLotus"/>
          <w:rtl/>
        </w:rPr>
      </w:pPr>
      <w:r w:rsidRPr="00D844AA">
        <w:rPr>
          <w:rFonts w:ascii="NoorLotus" w:hAnsi="NoorLotus"/>
          <w:rtl/>
        </w:rPr>
        <w:t>ولی اشکال اساسی این تقریب این است که دلیل لفظی بر «خبر الثقة علم» وجود ندارد. مرحوم نایینی</w:t>
      </w:r>
      <w:r w:rsidRPr="00D844AA">
        <w:rPr>
          <w:rStyle w:val="FootnoteReference"/>
          <w:rFonts w:ascii="NoorLotus" w:hAnsi="NoorLotus"/>
          <w:rtl/>
        </w:rPr>
        <w:footnoteReference w:id="11"/>
      </w:r>
      <w:r w:rsidRPr="00D844AA">
        <w:rPr>
          <w:rFonts w:ascii="NoorLotus" w:hAnsi="NoorLotus"/>
          <w:rtl/>
        </w:rPr>
        <w:t xml:space="preserve"> و مرحوم خویی</w:t>
      </w:r>
      <w:r w:rsidRPr="00D844AA">
        <w:rPr>
          <w:rStyle w:val="FootnoteReference"/>
          <w:rFonts w:ascii="NoorLotus" w:hAnsi="NoorLotus"/>
          <w:rtl/>
        </w:rPr>
        <w:footnoteReference w:id="12"/>
      </w:r>
      <w:r w:rsidRPr="00D844AA">
        <w:rPr>
          <w:rFonts w:ascii="NoorLotus" w:hAnsi="NoorLotus"/>
          <w:rtl/>
        </w:rPr>
        <w:t xml:space="preserve"> رحمهما الله نیز ادعای وجود دلیل لفظی نکردند بلکه ادعا کردند عقلاء خبر ثقه را علم به واقع اعتبار کردند. نه این که آن را مصداق تکوینی علم به واقع بدانند بلکه مصداق تکوینی علم همان قطع وجدانی است ولی برای خبر ثقه علمیت اعتبار و ادعاء می‌کنند. و شارع نیز با سکوت خود این اعتبار و ارتکاز عقلاء را امضاء کرده است. تایید و امضاء شارع نیز مثل دلیل لفظی است و حاکم بر ادله</w:t>
      </w:r>
      <w:r w:rsidR="00531A67">
        <w:rPr>
          <w:rFonts w:ascii="NoorLotus" w:hAnsi="NoorLotus" w:hint="cs"/>
          <w:rtl/>
        </w:rPr>
        <w:t>‌ا</w:t>
      </w:r>
      <w:r w:rsidR="00531A67">
        <w:rPr>
          <w:rFonts w:ascii="NoorLotus" w:hAnsi="NoorLotus"/>
          <w:rtl/>
        </w:rPr>
        <w:t>‌ی م</w:t>
      </w:r>
      <w:r w:rsidR="00531A67">
        <w:rPr>
          <w:rFonts w:ascii="NoorLotus" w:hAnsi="NoorLotus" w:hint="cs"/>
          <w:rtl/>
        </w:rPr>
        <w:t>انند</w:t>
      </w:r>
      <w:r w:rsidRPr="00D844AA">
        <w:rPr>
          <w:rFonts w:ascii="NoorLotus" w:hAnsi="NoorLotus"/>
          <w:rtl/>
        </w:rPr>
        <w:t xml:space="preserve"> «جواز افتاء به علم» است.</w:t>
      </w:r>
    </w:p>
    <w:sectPr w:rsidR="007A21D7" w:rsidRPr="00D844AA">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0408" w14:textId="77777777" w:rsidR="006B3A7F" w:rsidRDefault="006B3A7F">
      <w:pPr>
        <w:spacing w:after="0"/>
      </w:pPr>
      <w:r>
        <w:separator/>
      </w:r>
    </w:p>
  </w:endnote>
  <w:endnote w:type="continuationSeparator" w:id="0">
    <w:p w14:paraId="1655104A" w14:textId="77777777" w:rsidR="006B3A7F" w:rsidRDefault="006B3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4BF0" w14:textId="77777777" w:rsidR="007A21D7" w:rsidRDefault="006B3A7F">
    <w:pPr>
      <w:pStyle w:val="Footer"/>
      <w:jc w:val="center"/>
    </w:pPr>
    <w:r>
      <w:rPr>
        <w:rFonts w:hint="cs"/>
        <w:rtl/>
      </w:rPr>
      <w:t>3</w:t>
    </w:r>
  </w:p>
  <w:p w14:paraId="3B201BF1" w14:textId="77777777" w:rsidR="007A21D7" w:rsidRDefault="007A21D7">
    <w:pPr>
      <w:pStyle w:val="Footer"/>
    </w:pPr>
  </w:p>
  <w:p w14:paraId="59DCB9CD" w14:textId="77777777" w:rsidR="007A21D7" w:rsidRDefault="007A2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64EC" w14:textId="77777777" w:rsidR="006B3A7F" w:rsidRDefault="006B3A7F">
      <w:pPr>
        <w:spacing w:after="0"/>
      </w:pPr>
      <w:r>
        <w:separator/>
      </w:r>
    </w:p>
  </w:footnote>
  <w:footnote w:type="continuationSeparator" w:id="0">
    <w:p w14:paraId="177933CF" w14:textId="77777777" w:rsidR="006B3A7F" w:rsidRDefault="006B3A7F">
      <w:pPr>
        <w:spacing w:after="0"/>
      </w:pPr>
      <w:r>
        <w:continuationSeparator/>
      </w:r>
    </w:p>
  </w:footnote>
  <w:footnote w:id="1">
    <w:p w14:paraId="1CD2997E" w14:textId="77777777" w:rsidR="007A21D7" w:rsidRPr="0065058F" w:rsidRDefault="006B3A7F" w:rsidP="0065058F">
      <w:pPr>
        <w:jc w:val="both"/>
      </w:pPr>
      <w:r w:rsidRPr="0065058F">
        <w:rPr>
          <w:rStyle w:val="FootnoteReference"/>
          <w:b/>
          <w:rtl/>
        </w:rPr>
        <w:footnoteRef/>
      </w:r>
      <w:r w:rsidRPr="0065058F">
        <w:rPr>
          <w:rStyle w:val="FootnoteReference"/>
          <w:b/>
          <w:rtl/>
        </w:rPr>
        <w:t xml:space="preserve"> </w:t>
      </w:r>
      <w:r w:rsidRPr="0065058F">
        <w:rPr>
          <w:rtl/>
        </w:rPr>
        <w:t xml:space="preserve"> الرافد في علم الأصول، ص61.</w:t>
      </w:r>
    </w:p>
  </w:footnote>
  <w:footnote w:id="2">
    <w:p w14:paraId="56572C59" w14:textId="77777777" w:rsidR="007A21D7" w:rsidRPr="0065058F" w:rsidRDefault="006B3A7F" w:rsidP="0065058F">
      <w:pPr>
        <w:jc w:val="both"/>
        <w:rPr>
          <w:rtl/>
        </w:rPr>
      </w:pPr>
      <w:r w:rsidRPr="0065058F">
        <w:rPr>
          <w:rStyle w:val="FootnoteReference"/>
        </w:rPr>
        <w:footnoteRef/>
      </w:r>
      <w:r w:rsidRPr="0065058F">
        <w:rPr>
          <w:rtl/>
        </w:rPr>
        <w:t xml:space="preserve"> </w:t>
      </w:r>
      <w:r w:rsidRPr="0065058F">
        <w:rPr>
          <w:rFonts w:hint="cs"/>
          <w:rtl/>
        </w:rPr>
        <w:t>اصول الفقه (طبع انتشارات اسلامی)، مظفر، محمد رضا، ج3، ص78.</w:t>
      </w:r>
    </w:p>
  </w:footnote>
  <w:footnote w:id="3">
    <w:p w14:paraId="694D274C" w14:textId="77777777" w:rsidR="007A21D7" w:rsidRPr="0065058F" w:rsidRDefault="006B3A7F" w:rsidP="0065058F">
      <w:pPr>
        <w:jc w:val="both"/>
      </w:pPr>
      <w:r w:rsidRPr="0065058F">
        <w:rPr>
          <w:rStyle w:val="FootnoteReference"/>
        </w:rPr>
        <w:footnoteRef/>
      </w:r>
      <w:r w:rsidRPr="0065058F">
        <w:rPr>
          <w:rtl/>
        </w:rPr>
        <w:t xml:space="preserve"> </w:t>
      </w:r>
      <w:r w:rsidRPr="0065058F">
        <w:rPr>
          <w:rFonts w:hint="cs"/>
          <w:rtl/>
        </w:rPr>
        <w:t>یونس:36.</w:t>
      </w:r>
    </w:p>
  </w:footnote>
  <w:footnote w:id="4">
    <w:p w14:paraId="4FE98E10" w14:textId="77777777" w:rsidR="007A21D7" w:rsidRPr="0065058F" w:rsidRDefault="006B3A7F" w:rsidP="0065058F">
      <w:pPr>
        <w:jc w:val="both"/>
      </w:pPr>
      <w:r w:rsidRPr="0065058F">
        <w:rPr>
          <w:rStyle w:val="FootnoteReference"/>
        </w:rPr>
        <w:footnoteRef/>
      </w:r>
      <w:r w:rsidRPr="0065058F">
        <w:rPr>
          <w:rtl/>
        </w:rPr>
        <w:t xml:space="preserve"> </w:t>
      </w:r>
      <w:r w:rsidRPr="0065058F">
        <w:rPr>
          <w:rFonts w:hint="cs"/>
          <w:rtl/>
        </w:rPr>
        <w:t>الکافی (ط- الاسلامیة)، کلینی، محمد بن یعقوب، ج1، ص329، ح1.</w:t>
      </w:r>
    </w:p>
  </w:footnote>
  <w:footnote w:id="5">
    <w:p w14:paraId="4DFBD487" w14:textId="77777777" w:rsidR="007A21D7" w:rsidRPr="0065058F" w:rsidRDefault="006B3A7F" w:rsidP="0065058F">
      <w:pPr>
        <w:jc w:val="both"/>
        <w:rPr>
          <w:rtl/>
        </w:rPr>
      </w:pPr>
      <w:r w:rsidRPr="0065058F">
        <w:rPr>
          <w:rStyle w:val="FootnoteReference"/>
          <w:rtl/>
        </w:rPr>
        <w:footnoteRef/>
      </w:r>
      <w:r w:rsidRPr="0065058F">
        <w:rPr>
          <w:rStyle w:val="FootnoteReference"/>
          <w:rtl/>
        </w:rPr>
        <w:t xml:space="preserve"> </w:t>
      </w:r>
      <w:r w:rsidRPr="0065058F">
        <w:rPr>
          <w:rtl/>
        </w:rPr>
        <w:t>وسائل الشيعة</w:t>
      </w:r>
      <w:r w:rsidRPr="0065058F">
        <w:rPr>
          <w:rFonts w:hint="cs"/>
          <w:rtl/>
        </w:rPr>
        <w:t xml:space="preserve">، شیخ حر عاملی، محمد بن حسن، </w:t>
      </w:r>
      <w:r w:rsidRPr="0065058F">
        <w:rPr>
          <w:rtl/>
        </w:rPr>
        <w:t>ج‌</w:t>
      </w:r>
      <w:r w:rsidRPr="0065058F">
        <w:rPr>
          <w:rFonts w:hint="cs"/>
          <w:rtl/>
        </w:rPr>
        <w:t>1،</w:t>
      </w:r>
      <w:r w:rsidRPr="0065058F">
        <w:rPr>
          <w:rtl/>
        </w:rPr>
        <w:t xml:space="preserve"> ص470</w:t>
      </w:r>
      <w:r w:rsidRPr="0065058F">
        <w:rPr>
          <w:rFonts w:hint="cs"/>
          <w:rtl/>
        </w:rPr>
        <w:t>.</w:t>
      </w:r>
    </w:p>
  </w:footnote>
  <w:footnote w:id="6">
    <w:p w14:paraId="51151B47" w14:textId="77777777" w:rsidR="007A21D7" w:rsidRPr="0065058F" w:rsidRDefault="006B3A7F" w:rsidP="0065058F">
      <w:pPr>
        <w:jc w:val="both"/>
        <w:rPr>
          <w:rtl/>
        </w:rPr>
      </w:pPr>
      <w:r w:rsidRPr="0065058F">
        <w:rPr>
          <w:rStyle w:val="FootnoteReference"/>
          <w:rtl/>
        </w:rPr>
        <w:footnoteRef/>
      </w:r>
      <w:r w:rsidRPr="0065058F">
        <w:rPr>
          <w:rStyle w:val="FootnoteReference"/>
          <w:rtl/>
        </w:rPr>
        <w:t xml:space="preserve"> </w:t>
      </w:r>
      <w:r w:rsidRPr="0065058F">
        <w:rPr>
          <w:rtl/>
        </w:rPr>
        <w:t>وسائل الشيعة</w:t>
      </w:r>
      <w:r w:rsidRPr="0065058F">
        <w:rPr>
          <w:rFonts w:hint="cs"/>
          <w:rtl/>
        </w:rPr>
        <w:t xml:space="preserve">، شیخ حر عاملی، محمد بن حسن، </w:t>
      </w:r>
      <w:r w:rsidRPr="0065058F">
        <w:rPr>
          <w:rtl/>
        </w:rPr>
        <w:t>ج‌</w:t>
      </w:r>
      <w:r w:rsidRPr="0065058F">
        <w:rPr>
          <w:rFonts w:hint="cs"/>
          <w:rtl/>
        </w:rPr>
        <w:t>1،</w:t>
      </w:r>
      <w:r w:rsidRPr="0065058F">
        <w:rPr>
          <w:rtl/>
        </w:rPr>
        <w:t xml:space="preserve"> ص</w:t>
      </w:r>
      <w:r w:rsidRPr="0065058F">
        <w:rPr>
          <w:rFonts w:hint="cs"/>
          <w:rtl/>
        </w:rPr>
        <w:t>101.</w:t>
      </w:r>
    </w:p>
  </w:footnote>
  <w:footnote w:id="7">
    <w:p w14:paraId="31C463A3" w14:textId="77777777" w:rsidR="00466C3A" w:rsidRPr="0065058F" w:rsidRDefault="00466C3A" w:rsidP="004D10D9">
      <w:pPr>
        <w:pStyle w:val="NormalWeb"/>
        <w:bidi/>
        <w:jc w:val="both"/>
      </w:pPr>
      <w:r w:rsidRPr="004D10D9">
        <w:rPr>
          <w:rStyle w:val="FootnoteReference"/>
          <w:rFonts w:ascii="NoorLotus" w:hAnsi="NoorLotus" w:cs="NoorLotus"/>
        </w:rPr>
        <w:footnoteRef/>
      </w:r>
      <w:r w:rsidRPr="004D10D9">
        <w:rPr>
          <w:rFonts w:ascii="NoorLotus" w:hAnsi="NoorLotus" w:cs="NoorLotus"/>
          <w:rtl/>
        </w:rPr>
        <w:t xml:space="preserve"> منهاج الصالحين (المحشى للحكيم)؛ ج‌1، ص: 323</w:t>
      </w:r>
      <w:r w:rsidR="0065058F" w:rsidRPr="004D10D9">
        <w:rPr>
          <w:rFonts w:ascii="NoorLotus" w:hAnsi="NoorLotus" w:cs="NoorLotus"/>
          <w:rtl/>
        </w:rPr>
        <w:t>؛ مقرر: در ذیل مسألة 17 منهاج الصالحین که مرحوم آقای حکیم</w:t>
      </w:r>
      <w:r w:rsidRPr="004D10D9">
        <w:rPr>
          <w:rFonts w:ascii="NoorLotus" w:hAnsi="NoorLotus" w:cs="NoorLotus"/>
          <w:rtl/>
        </w:rPr>
        <w:t xml:space="preserve"> </w:t>
      </w:r>
      <w:r w:rsidR="0065058F" w:rsidRPr="004D10D9">
        <w:rPr>
          <w:rFonts w:ascii="NoorLotus" w:hAnsi="NoorLotus" w:cs="NoorLotus"/>
          <w:rtl/>
        </w:rPr>
        <w:t xml:space="preserve">فرموده است: </w:t>
      </w:r>
      <w:r w:rsidRPr="004D10D9">
        <w:rPr>
          <w:rFonts w:ascii="NoorLotus" w:hAnsi="NoorLotus" w:cs="NoorLotus"/>
          <w:rtl/>
        </w:rPr>
        <w:t>إذا شك المصلي في عدد الركعات</w:t>
      </w:r>
      <w:r w:rsidRPr="004D10D9">
        <w:rPr>
          <w:rFonts w:ascii="NoorLotus" w:hAnsi="NoorLotus" w:cs="NoorLotus"/>
        </w:rPr>
        <w:t>‌</w:t>
      </w:r>
      <w:r w:rsidR="0065058F" w:rsidRPr="004D10D9">
        <w:rPr>
          <w:rFonts w:ascii="NoorLotus" w:hAnsi="NoorLotus" w:cs="NoorLotus"/>
          <w:rtl/>
        </w:rPr>
        <w:t xml:space="preserve"> </w:t>
      </w:r>
      <w:r w:rsidRPr="004D10D9">
        <w:rPr>
          <w:rFonts w:ascii="NoorLotus" w:hAnsi="NoorLotus" w:cs="NoorLotus"/>
          <w:rtl/>
        </w:rPr>
        <w:t>فالأحوط له التروي‌</w:t>
      </w:r>
      <w:r w:rsidR="0065058F" w:rsidRPr="004D10D9">
        <w:rPr>
          <w:rFonts w:ascii="NoorLotus" w:hAnsi="NoorLotus" w:cs="NoorLotus"/>
          <w:rtl/>
        </w:rPr>
        <w:t xml:space="preserve"> يسيرا بل لعله الأقوى</w:t>
      </w:r>
      <w:r w:rsidRPr="004D10D9">
        <w:rPr>
          <w:rFonts w:ascii="NoorLotus" w:hAnsi="NoorLotus" w:cs="NoorLotus"/>
          <w:rtl/>
        </w:rPr>
        <w:t xml:space="preserve"> إذا كان الشك مبطلا- كما في الثنائية أو الثلاثية أو الأوليين من الرباعية- فإن استقر الشك و كان في الثنائية أو الثلاثية أو الأوليين من الرباعية بطلت </w:t>
      </w:r>
      <w:r w:rsidR="0065058F" w:rsidRPr="004D10D9">
        <w:rPr>
          <w:rFonts w:ascii="NoorLotus" w:hAnsi="NoorLotus" w:cs="NoorLotus"/>
          <w:rtl/>
        </w:rPr>
        <w:t xml:space="preserve">مرحوم شهید صدر چنین فرموده است: </w:t>
      </w:r>
      <w:r w:rsidR="004D10D9" w:rsidRPr="004D10D9">
        <w:rPr>
          <w:rFonts w:ascii="NoorLotus" w:hAnsi="NoorLotus" w:cs="NoorLotus"/>
          <w:rtl/>
          <w:lang w:bidi="fa-IR"/>
        </w:rPr>
        <w:t>إلا إذا أمكن تصحيح الصلاة بقاعدة التجاوز، كما إذا وجد نفسه في التشهد و شك في أنه هل أكمل الركعتين أو أنه لا يزال في الركعة الأولى و ان التشهد في غير محله ففي هذه الصورة لا تبطل صلاته بل يبني على وقوع ركعتين منه و على صحة تشهده.</w:t>
      </w:r>
    </w:p>
  </w:footnote>
  <w:footnote w:id="8">
    <w:p w14:paraId="562F2CD2" w14:textId="77777777" w:rsidR="007A21D7" w:rsidRPr="0065058F" w:rsidRDefault="006B3A7F" w:rsidP="0065058F">
      <w:pPr>
        <w:jc w:val="both"/>
        <w:rPr>
          <w:rtl/>
        </w:rPr>
      </w:pPr>
      <w:r w:rsidRPr="0065058F">
        <w:rPr>
          <w:rStyle w:val="FootnoteReference"/>
          <w:rtl/>
        </w:rPr>
        <w:footnoteRef/>
      </w:r>
      <w:r w:rsidRPr="0065058F">
        <w:rPr>
          <w:rStyle w:val="FootnoteReference"/>
          <w:rtl/>
        </w:rPr>
        <w:t xml:space="preserve"> </w:t>
      </w:r>
      <w:r w:rsidRPr="0065058F">
        <w:rPr>
          <w:rtl/>
        </w:rPr>
        <w:t xml:space="preserve"> </w:t>
      </w:r>
      <w:r w:rsidRPr="0065058F">
        <w:rPr>
          <w:rFonts w:hint="cs"/>
          <w:rtl/>
        </w:rPr>
        <w:t>تهذیب الاحکام (تحقیق خراسان)، طوسی، محمد بن الحسن، ج2، ص176، ح4.</w:t>
      </w:r>
    </w:p>
  </w:footnote>
  <w:footnote w:id="9">
    <w:p w14:paraId="6AD74E80" w14:textId="77777777" w:rsidR="007A21D7" w:rsidRPr="0065058F" w:rsidRDefault="006B3A7F" w:rsidP="0065058F">
      <w:pPr>
        <w:jc w:val="both"/>
        <w:rPr>
          <w:rtl/>
        </w:rPr>
      </w:pPr>
      <w:r w:rsidRPr="0065058F">
        <w:rPr>
          <w:rStyle w:val="FootnoteReference"/>
          <w:rtl/>
        </w:rPr>
        <w:footnoteRef/>
      </w:r>
      <w:r w:rsidRPr="0065058F">
        <w:rPr>
          <w:rStyle w:val="FootnoteReference"/>
          <w:rtl/>
        </w:rPr>
        <w:t xml:space="preserve"> </w:t>
      </w:r>
      <w:r w:rsidRPr="0065058F">
        <w:rPr>
          <w:rtl/>
        </w:rPr>
        <w:t xml:space="preserve"> </w:t>
      </w:r>
      <w:r w:rsidRPr="0065058F">
        <w:rPr>
          <w:rFonts w:hint="cs"/>
          <w:rtl/>
        </w:rPr>
        <w:t>تهذیب الاحکام (تحقیق خراسان)، طوسی، محمد بن الحسن، ج2، ص184، ح34..</w:t>
      </w:r>
    </w:p>
  </w:footnote>
  <w:footnote w:id="10">
    <w:p w14:paraId="60EB7903" w14:textId="77777777" w:rsidR="007A21D7" w:rsidRPr="0065058F" w:rsidRDefault="006B3A7F" w:rsidP="0065058F">
      <w:pPr>
        <w:jc w:val="both"/>
      </w:pPr>
      <w:r w:rsidRPr="0065058F">
        <w:rPr>
          <w:rStyle w:val="FootnoteReference"/>
        </w:rPr>
        <w:footnoteRef/>
      </w:r>
      <w:r w:rsidRPr="0065058F">
        <w:rPr>
          <w:rtl/>
        </w:rPr>
        <w:t xml:space="preserve"> </w:t>
      </w:r>
      <w:r w:rsidRPr="0065058F">
        <w:rPr>
          <w:rFonts w:hint="cs"/>
          <w:rtl/>
        </w:rPr>
        <w:t>بحوث فی علم الاصول، صدر، محمد باقر، ج4، ص82-83.</w:t>
      </w:r>
    </w:p>
  </w:footnote>
  <w:footnote w:id="11">
    <w:p w14:paraId="448E5350" w14:textId="77777777" w:rsidR="007A21D7" w:rsidRPr="0065058F" w:rsidRDefault="006B3A7F" w:rsidP="0065058F">
      <w:pPr>
        <w:jc w:val="both"/>
      </w:pPr>
      <w:r w:rsidRPr="0065058F">
        <w:rPr>
          <w:rStyle w:val="FootnoteReference"/>
        </w:rPr>
        <w:footnoteRef/>
      </w:r>
      <w:r w:rsidRPr="0065058F">
        <w:rPr>
          <w:rtl/>
        </w:rPr>
        <w:t xml:space="preserve"> </w:t>
      </w:r>
      <w:r w:rsidRPr="0065058F">
        <w:rPr>
          <w:rFonts w:hint="cs"/>
          <w:rtl/>
        </w:rPr>
        <w:t>اجود التقریرات، نائینی، محمد حسین، ج3، ص19؛ فوائد الاصول، نائینی، محمد حسین، ج3، ص21.</w:t>
      </w:r>
    </w:p>
  </w:footnote>
  <w:footnote w:id="12">
    <w:p w14:paraId="231EFB22" w14:textId="77777777" w:rsidR="007A21D7" w:rsidRPr="0065058F" w:rsidRDefault="006B3A7F" w:rsidP="0065058F">
      <w:pPr>
        <w:jc w:val="both"/>
      </w:pPr>
      <w:r w:rsidRPr="0065058F">
        <w:rPr>
          <w:rStyle w:val="FootnoteReference"/>
        </w:rPr>
        <w:footnoteRef/>
      </w:r>
      <w:r w:rsidRPr="0065058F">
        <w:rPr>
          <w:rtl/>
        </w:rPr>
        <w:t xml:space="preserve"> </w:t>
      </w:r>
      <w:r w:rsidRPr="0065058F">
        <w:rPr>
          <w:rFonts w:hint="cs"/>
          <w:rtl/>
        </w:rPr>
        <w:t>مصباح الاصول(طبع موسسة احیاء آثار السید الخوئی)، ج1، ص39.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003A" w14:textId="77777777" w:rsidR="007A21D7" w:rsidRDefault="007A21D7">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b/>
        <w:bCs/>
        <w:sz w:val="20"/>
        <w:szCs w:val="20"/>
        <w:rtl/>
      </w:rPr>
    </w:pPr>
  </w:p>
  <w:p w14:paraId="1E347FBF" w14:textId="77777777" w:rsidR="007A21D7" w:rsidRDefault="006B3A7F">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Pr>
        <w:rFonts w:ascii="NoorLotus" w:hAnsi="NoorLotus" w:cs="NoorLotus"/>
        <w:b/>
        <w:bCs/>
        <w:sz w:val="20"/>
        <w:szCs w:val="20"/>
        <w:rtl/>
      </w:rPr>
      <w:t>درس خارج اصول استاد شهیدی پور حفظه الله(دوره سوم، سال4)</w:t>
    </w:r>
    <w:r>
      <w:rPr>
        <w:rFonts w:ascii="NoorLotus" w:hAnsi="NoorLotus" w:cs="NoorLotus"/>
        <w:sz w:val="20"/>
        <w:szCs w:val="20"/>
        <w:rtl/>
      </w:rPr>
      <w:t xml:space="preserve"> </w:t>
    </w:r>
    <w:r>
      <w:rPr>
        <w:rFonts w:ascii="NoorLotus" w:hAnsi="NoorLotus" w:cs="NoorLotus"/>
        <w:sz w:val="20"/>
        <w:szCs w:val="20"/>
        <w:rtl/>
      </w:rPr>
      <w:tab/>
    </w:r>
    <w:r>
      <w:rPr>
        <w:rFonts w:ascii="NoorLotus" w:hAnsi="NoorLotus" w:cs="NoorLotus"/>
        <w:sz w:val="20"/>
        <w:szCs w:val="20"/>
        <w:rtl/>
      </w:rPr>
      <w:tab/>
    </w:r>
    <w:r>
      <w:rPr>
        <w:rFonts w:ascii="NoorLotus" w:hAnsi="NoorLotus" w:cs="NoorLotus"/>
        <w:sz w:val="20"/>
        <w:szCs w:val="20"/>
      </w:rPr>
      <w:t xml:space="preserve"> </w:t>
    </w:r>
    <w:r>
      <w:rPr>
        <w:rFonts w:ascii="NoorLotus" w:hAnsi="NoorLotus" w:cs="NoorLotus"/>
        <w:sz w:val="20"/>
        <w:szCs w:val="20"/>
      </w:rPr>
      <w:tab/>
    </w:r>
    <w:r>
      <w:rPr>
        <w:rFonts w:ascii="NoorLotus" w:hAnsi="NoorLotus" w:cs="NoorLotus"/>
        <w:sz w:val="20"/>
        <w:szCs w:val="20"/>
        <w:rtl/>
      </w:rPr>
      <w:t>جلسه</w:t>
    </w:r>
    <w:r>
      <w:rPr>
        <w:rFonts w:ascii="NoorLotus" w:hAnsi="NoorLotus" w:cs="NoorLotus"/>
        <w:sz w:val="20"/>
        <w:szCs w:val="20"/>
      </w:rPr>
      <w:t>:</w:t>
    </w:r>
    <w:r>
      <w:rPr>
        <w:rFonts w:ascii="NoorLotus" w:hAnsi="NoorLotus" w:cs="NoorLotus" w:hint="cs"/>
        <w:sz w:val="20"/>
        <w:szCs w:val="20"/>
        <w:rtl/>
        <w:lang w:bidi="fa-IR"/>
      </w:rPr>
      <w:t>140</w:t>
    </w:r>
    <w:r>
      <w:rPr>
        <w:rFonts w:ascii="NoorLotus" w:hAnsi="NoorLotus" w:cs="NoorLotus"/>
        <w:sz w:val="20"/>
        <w:szCs w:val="20"/>
        <w:rtl/>
      </w:rPr>
      <w:t xml:space="preserve"> (تاریخ:</w:t>
    </w:r>
    <w:r>
      <w:rPr>
        <w:rFonts w:ascii="NoorLotus" w:hAnsi="NoorLotus" w:cs="NoorLotus" w:hint="cs"/>
        <w:sz w:val="20"/>
        <w:szCs w:val="20"/>
        <w:rtl/>
      </w:rPr>
      <w:t>17</w:t>
    </w:r>
    <w:r>
      <w:rPr>
        <w:rFonts w:ascii="NoorLotus" w:hAnsi="NoorLotus" w:cs="NoorLotus"/>
        <w:sz w:val="20"/>
        <w:szCs w:val="20"/>
        <w:rtl/>
      </w:rPr>
      <w:t>/3/1402)</w:t>
    </w:r>
  </w:p>
  <w:p w14:paraId="5F159196" w14:textId="77777777" w:rsidR="007A21D7" w:rsidRDefault="007A2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1D7"/>
    <w:rsid w:val="001A2E3C"/>
    <w:rsid w:val="002B7425"/>
    <w:rsid w:val="00323361"/>
    <w:rsid w:val="00340F32"/>
    <w:rsid w:val="00466C3A"/>
    <w:rsid w:val="004D10D9"/>
    <w:rsid w:val="00531A67"/>
    <w:rsid w:val="00553AAA"/>
    <w:rsid w:val="005D3EDC"/>
    <w:rsid w:val="005D7BC0"/>
    <w:rsid w:val="00641203"/>
    <w:rsid w:val="0065058F"/>
    <w:rsid w:val="006B3A7F"/>
    <w:rsid w:val="006D380C"/>
    <w:rsid w:val="00752FC4"/>
    <w:rsid w:val="007A21D7"/>
    <w:rsid w:val="007D1DF3"/>
    <w:rsid w:val="008D6E6A"/>
    <w:rsid w:val="009630E4"/>
    <w:rsid w:val="00AB22FE"/>
    <w:rsid w:val="00C0284A"/>
    <w:rsid w:val="00C71806"/>
    <w:rsid w:val="00D44D5F"/>
    <w:rsid w:val="00D844AA"/>
    <w:rsid w:val="00E0373E"/>
    <w:rsid w:val="00E15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119C"/>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40" w:lineRule="auto"/>
    </w:pPr>
    <w:rPr>
      <w:rFonts w:cs="NoorLotus"/>
      <w:szCs w:val="28"/>
      <w:lang w:bidi="fa-IR"/>
    </w:rPr>
  </w:style>
  <w:style w:type="paragraph" w:styleId="Heading1">
    <w:name w:val="heading 1"/>
    <w:basedOn w:val="Normal"/>
    <w:next w:val="Normal"/>
    <w:link w:val="Heading1Char"/>
    <w:uiPriority w:val="9"/>
    <w:qFormat/>
    <w:pPr>
      <w:spacing w:line="256" w:lineRule="auto"/>
      <w:outlineLvl w:val="0"/>
    </w:pPr>
    <w:rPr>
      <w:rFonts w:ascii="NoorLotus" w:hAnsi="NoorLotus"/>
      <w:b/>
      <w:bCs/>
      <w:color w:val="00B0F0"/>
      <w:sz w:val="32"/>
      <w:szCs w:val="32"/>
    </w:rPr>
  </w:style>
  <w:style w:type="paragraph" w:styleId="Heading2">
    <w:name w:val="heading 2"/>
    <w:basedOn w:val="Normal"/>
    <w:next w:val="Normal"/>
    <w:link w:val="Heading2Char"/>
    <w:uiPriority w:val="9"/>
    <w:qFormat/>
    <w:pPr>
      <w:keepNext/>
      <w:keepLines/>
      <w:spacing w:before="200" w:after="0"/>
      <w:outlineLvl w:val="1"/>
    </w:pPr>
    <w:rPr>
      <w:rFonts w:ascii="NoorLotus" w:eastAsia="SimSun" w:hAnsi="NoorLotus"/>
      <w:b/>
      <w:bCs/>
      <w:color w:val="00B0F0"/>
      <w:sz w:val="30"/>
      <w:szCs w:val="32"/>
    </w:rPr>
  </w:style>
  <w:style w:type="paragraph" w:styleId="Heading3">
    <w:name w:val="heading 3"/>
    <w:basedOn w:val="Normal"/>
    <w:next w:val="Normal"/>
    <w:link w:val="Heading3Char"/>
    <w:uiPriority w:val="9"/>
    <w:qFormat/>
    <w:rsid w:val="00D844AA"/>
    <w:pPr>
      <w:keepNext/>
      <w:keepLines/>
      <w:spacing w:before="200" w:after="0"/>
      <w:outlineLvl w:val="2"/>
    </w:pPr>
    <w:rPr>
      <w:rFonts w:ascii="Cambria" w:eastAsia="SimSun" w:hAnsi="Cambria"/>
      <w:b/>
      <w:bCs/>
      <w:color w:val="00B0F0"/>
      <w:szCs w:val="32"/>
    </w:rPr>
  </w:style>
  <w:style w:type="paragraph" w:styleId="Heading4">
    <w:name w:val="heading 4"/>
    <w:basedOn w:val="Normal"/>
    <w:next w:val="Normal"/>
    <w:link w:val="Heading4Char"/>
    <w:uiPriority w:val="9"/>
    <w:qFormat/>
    <w:pPr>
      <w:keepNext/>
      <w:keepLines/>
      <w:spacing w:before="200" w:after="0"/>
      <w:outlineLvl w:val="3"/>
    </w:pPr>
    <w:rPr>
      <w:rFonts w:ascii="NoorLotus" w:eastAsia="SimSun"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NoorLotus" w:eastAsia="Calibri" w:hAnsi="NoorLotus" w:cs="NoorLotus"/>
      <w:b/>
      <w:bCs/>
      <w:color w:val="00B0F0"/>
      <w:sz w:val="32"/>
      <w:szCs w:val="32"/>
      <w:lang w:bidi="fa-IR"/>
    </w:rPr>
  </w:style>
  <w:style w:type="character" w:customStyle="1" w:styleId="Heading2Char">
    <w:name w:val="Heading 2 Char"/>
    <w:basedOn w:val="DefaultParagraphFont"/>
    <w:link w:val="Heading2"/>
    <w:uiPriority w:val="9"/>
    <w:rPr>
      <w:rFonts w:ascii="NoorLotus" w:eastAsia="SimSun" w:hAnsi="NoorLotus" w:cs="NoorLotus"/>
      <w:b/>
      <w:bCs/>
      <w:color w:val="00B0F0"/>
      <w:sz w:val="30"/>
      <w:szCs w:val="32"/>
      <w:lang w:bidi="fa-IR"/>
    </w:rPr>
  </w:style>
  <w:style w:type="character" w:customStyle="1" w:styleId="Heading4Char">
    <w:name w:val="Heading 4 Char"/>
    <w:basedOn w:val="DefaultParagraphFont"/>
    <w:link w:val="Heading4"/>
    <w:uiPriority w:val="9"/>
    <w:rPr>
      <w:rFonts w:ascii="NoorLotus" w:eastAsia="SimSun" w:hAnsi="NoorLotus" w:cs="NoorLotus"/>
      <w:b/>
      <w:bCs/>
      <w:color w:val="00B0F0"/>
      <w:sz w:val="28"/>
      <w:szCs w:val="28"/>
      <w:lang w:bidi="fa-IR"/>
    </w:rPr>
  </w:style>
  <w:style w:type="character" w:customStyle="1" w:styleId="Heading3Char">
    <w:name w:val="Heading 3 Char"/>
    <w:basedOn w:val="DefaultParagraphFont"/>
    <w:link w:val="Heading3"/>
    <w:uiPriority w:val="9"/>
    <w:rsid w:val="00D844AA"/>
    <w:rPr>
      <w:rFonts w:ascii="Cambria" w:eastAsia="SimSun" w:hAnsi="Cambria" w:cs="NoorLotus"/>
      <w:b/>
      <w:bCs/>
      <w:color w:val="00B0F0"/>
      <w:szCs w:val="32"/>
      <w:lang w:bidi="fa-IR"/>
    </w:rPr>
  </w:style>
  <w:style w:type="paragraph" w:styleId="Header">
    <w:name w:val="header"/>
    <w:basedOn w:val="Normal"/>
    <w:link w:val="HeaderChar"/>
    <w:uiPriority w:val="99"/>
    <w:pPr>
      <w:tabs>
        <w:tab w:val="center" w:pos="4680"/>
        <w:tab w:val="right" w:pos="9360"/>
      </w:tabs>
      <w:bidi w:val="0"/>
      <w:spacing w:after="0"/>
    </w:pPr>
    <w:rPr>
      <w:rFonts w:cs="Arial"/>
      <w:szCs w:val="22"/>
      <w:lang w:bidi="ar-SA"/>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bidi w:val="0"/>
      <w:spacing w:after="0"/>
    </w:pPr>
    <w:rPr>
      <w:rFonts w:cs="Arial"/>
      <w:szCs w:val="22"/>
      <w:lang w:bidi="ar-SA"/>
    </w:r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pPr>
      <w:spacing w:after="0"/>
    </w:pPr>
    <w:rPr>
      <w:sz w:val="20"/>
      <w:szCs w:val="20"/>
    </w:rPr>
  </w:style>
  <w:style w:type="character" w:customStyle="1" w:styleId="FootnoteTextChar">
    <w:name w:val="Footnote Text Char"/>
    <w:basedOn w:val="DefaultParagraphFont"/>
    <w:link w:val="FootnoteText"/>
    <w:uiPriority w:val="99"/>
    <w:rPr>
      <w:rFonts w:ascii="Calibri" w:eastAsia="Calibri" w:hAnsi="Calibri" w:cs="NoorLotus"/>
      <w:sz w:val="20"/>
      <w:szCs w:val="20"/>
      <w:lang w:bidi="fa-IR"/>
    </w:rPr>
  </w:style>
  <w:style w:type="character" w:styleId="FootnoteReference">
    <w:name w:val="footnote reference"/>
    <w:basedOn w:val="DefaultParagraphFont"/>
    <w:uiPriority w:val="99"/>
    <w:rPr>
      <w:vertAlign w:val="superscript"/>
    </w:rPr>
  </w:style>
  <w:style w:type="paragraph" w:styleId="TOCHeading">
    <w:name w:val="TOC Heading"/>
    <w:basedOn w:val="Heading1"/>
    <w:next w:val="Normal"/>
    <w:uiPriority w:val="39"/>
    <w:qFormat/>
    <w:pPr>
      <w:keepNext/>
      <w:keepLines/>
      <w:bidi w:val="0"/>
      <w:spacing w:before="480" w:after="0" w:line="276" w:lineRule="auto"/>
      <w:outlineLvl w:val="9"/>
    </w:pPr>
    <w:rPr>
      <w:rFonts w:ascii="Cambria" w:eastAsia="SimSun" w:hAnsi="Cambria" w:cs="Times New Roman"/>
      <w:color w:val="365F91"/>
      <w:sz w:val="28"/>
      <w:szCs w:val="28"/>
      <w:lang w:eastAsia="ja-JP" w:bidi="ar-SA"/>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spacing w:after="100"/>
    </w:p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bidi="fa-IR"/>
    </w:rPr>
  </w:style>
  <w:style w:type="paragraph" w:styleId="NormalWeb">
    <w:name w:val="Normal (Web)"/>
    <w:basedOn w:val="Normal"/>
    <w:uiPriority w:val="99"/>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016697">
      <w:bodyDiv w:val="1"/>
      <w:marLeft w:val="0"/>
      <w:marRight w:val="0"/>
      <w:marTop w:val="0"/>
      <w:marBottom w:val="0"/>
      <w:divBdr>
        <w:top w:val="none" w:sz="0" w:space="0" w:color="auto"/>
        <w:left w:val="none" w:sz="0" w:space="0" w:color="auto"/>
        <w:bottom w:val="none" w:sz="0" w:space="0" w:color="auto"/>
        <w:right w:val="none" w:sz="0" w:space="0" w:color="auto"/>
      </w:divBdr>
    </w:div>
    <w:div w:id="169083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C8BD-DFFA-41D5-9189-C6B06F87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7</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14</cp:revision>
  <cp:lastPrinted>2023-06-08T16:26:00Z</cp:lastPrinted>
  <dcterms:created xsi:type="dcterms:W3CDTF">2023-06-08T09:55:00Z</dcterms:created>
  <dcterms:modified xsi:type="dcterms:W3CDTF">2023-08-02T11:02:00Z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18642ad6abab48be8de961a3a4633151</vt:lpwstr>
  </property>
</Properties>
</file>