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A62B" w14:textId="77777777" w:rsidR="006803BF" w:rsidRDefault="006803BF" w:rsidP="006803BF">
      <w:bookmarkStart w:id="0" w:name="_Toc128380652"/>
      <w:bookmarkStart w:id="1" w:name="_Toc128164385"/>
      <w:bookmarkStart w:id="2" w:name="_Toc127702355"/>
      <w:bookmarkStart w:id="3" w:name="_Toc127342410"/>
      <w:bookmarkStart w:id="4" w:name="_Toc126752092"/>
      <w:bookmarkStart w:id="5" w:name="_Toc126661539"/>
      <w:bookmarkStart w:id="6" w:name="_Toc126054866"/>
      <w:bookmarkStart w:id="7" w:name="_Toc126012355"/>
      <w:bookmarkStart w:id="8" w:name="_Toc125884590"/>
      <w:bookmarkStart w:id="9" w:name="_Toc125794736"/>
      <w:bookmarkStart w:id="10" w:name="_Toc125648834"/>
      <w:bookmarkStart w:id="11" w:name="_Toc125365744"/>
      <w:bookmarkStart w:id="12" w:name="_Toc125282039"/>
      <w:bookmarkStart w:id="13" w:name="_Toc125196409"/>
      <w:bookmarkStart w:id="14" w:name="_Toc124933202"/>
      <w:bookmarkStart w:id="15" w:name="_Toc124932555"/>
      <w:bookmarkStart w:id="16" w:name="_Toc124845370"/>
      <w:bookmarkStart w:id="17" w:name="_Toc124760957"/>
      <w:bookmarkStart w:id="18" w:name="_Toc124675265"/>
      <w:bookmarkStart w:id="19" w:name="_Toc124607848"/>
      <w:bookmarkStart w:id="20" w:name="_Toc124329404"/>
      <w:bookmarkStart w:id="21" w:name="_Toc124239827"/>
      <w:bookmarkStart w:id="22" w:name="_Toc124161631"/>
      <w:bookmarkStart w:id="23" w:name="_Toc123984743"/>
      <w:bookmarkStart w:id="24" w:name="_Toc123723398"/>
      <w:bookmarkStart w:id="25" w:name="_Toc123635181"/>
      <w:bookmarkStart w:id="26" w:name="_Toc123552023"/>
      <w:bookmarkStart w:id="27" w:name="_Toc123540424"/>
      <w:bookmarkStart w:id="28" w:name="_Toc123375995"/>
      <w:bookmarkStart w:id="29" w:name="_Toc122510130"/>
      <w:bookmarkStart w:id="30" w:name="_Toc122426904"/>
      <w:bookmarkStart w:id="31" w:name="_Toc122347039"/>
      <w:bookmarkStart w:id="32" w:name="_Toc121910451"/>
      <w:bookmarkStart w:id="33" w:name="_Toc121819651"/>
      <w:bookmarkStart w:id="34" w:name="_Toc121765202"/>
      <w:bookmarkStart w:id="35" w:name="_Toc121650003"/>
      <w:bookmarkStart w:id="36" w:name="_Toc121225443"/>
      <w:bookmarkStart w:id="37" w:name="_Toc121149875"/>
      <w:bookmarkStart w:id="38" w:name="_Toc121045457"/>
      <w:bookmarkStart w:id="39" w:name="_Toc120961212"/>
      <w:bookmarkStart w:id="40" w:name="_Toc120700783"/>
      <w:bookmarkStart w:id="41" w:name="_Toc120700237"/>
      <w:bookmarkStart w:id="42" w:name="_Toc120632885"/>
      <w:bookmarkStart w:id="43" w:name="_Toc120542567"/>
      <w:bookmarkStart w:id="44" w:name="_Toc120438588"/>
      <w:bookmarkStart w:id="45" w:name="_Toc120438549"/>
      <w:bookmarkStart w:id="46" w:name="_Toc120352603"/>
      <w:bookmarkStart w:id="47" w:name="_Toc120091707"/>
      <w:bookmarkStart w:id="48" w:name="_Toc120007117"/>
      <w:bookmarkStart w:id="49" w:name="_Toc119940039"/>
      <w:bookmarkStart w:id="50" w:name="_Toc119924875"/>
      <w:bookmarkStart w:id="51" w:name="_Toc119832361"/>
      <w:bookmarkStart w:id="52" w:name="_Toc119832128"/>
      <w:bookmarkStart w:id="53" w:name="_Toc119746433"/>
      <w:bookmarkStart w:id="54" w:name="_Toc119488652"/>
      <w:bookmarkStart w:id="55" w:name="_Toc119401922"/>
      <w:bookmarkStart w:id="56" w:name="_Toc119333367"/>
      <w:bookmarkStart w:id="57" w:name="_Toc119230126"/>
      <w:bookmarkStart w:id="58" w:name="_Toc119145668"/>
      <w:bookmarkStart w:id="59" w:name="_Toc118884041"/>
      <w:bookmarkStart w:id="60" w:name="_Toc118799201"/>
      <w:bookmarkStart w:id="61" w:name="_Toc118718547"/>
      <w:bookmarkStart w:id="62" w:name="_Toc118718488"/>
      <w:bookmarkStart w:id="63" w:name="_Toc118651146"/>
      <w:bookmarkStart w:id="64" w:name="_Toc118383155"/>
      <w:bookmarkStart w:id="65" w:name="_Toc118193618"/>
      <w:bookmarkStart w:id="66" w:name="_Toc118193501"/>
      <w:bookmarkStart w:id="67" w:name="_Toc118112945"/>
      <w:bookmarkStart w:id="68" w:name="_Toc118027193"/>
      <w:bookmarkStart w:id="69" w:name="_Toc117935035"/>
      <w:bookmarkStart w:id="70" w:name="_Toc117694293"/>
      <w:bookmarkStart w:id="71" w:name="_Toc117668531"/>
      <w:bookmarkStart w:id="72" w:name="_Toc117508630"/>
      <w:bookmarkStart w:id="73" w:name="_Toc117431209"/>
      <w:bookmarkStart w:id="74" w:name="_Toc117327392"/>
      <w:bookmarkStart w:id="75" w:name="_Toc117068470"/>
      <w:bookmarkStart w:id="76" w:name="_Toc116899939"/>
      <w:bookmarkStart w:id="77" w:name="_Toc116732138"/>
      <w:bookmarkStart w:id="78" w:name="_Toc116472638"/>
      <w:r>
        <w:rPr>
          <w:rtl/>
        </w:rPr>
        <w:t>بسمه تعالی</w:t>
      </w:r>
    </w:p>
    <w:p w14:paraId="6E178022" w14:textId="77777777" w:rsidR="006803BF" w:rsidRDefault="006803BF" w:rsidP="006803BF">
      <w:r>
        <w:rPr>
          <w:color w:val="FF0000"/>
          <w:rtl/>
        </w:rPr>
        <w:t xml:space="preserve">موضوع: </w:t>
      </w:r>
      <w:r>
        <w:rPr>
          <w:rtl/>
        </w:rPr>
        <w:t>قیام امارات</w:t>
      </w:r>
      <w:r>
        <w:rPr>
          <w:rFonts w:hint="cs"/>
          <w:rtl/>
        </w:rPr>
        <w:t xml:space="preserve"> و اصول</w:t>
      </w:r>
      <w:r>
        <w:rPr>
          <w:rtl/>
        </w:rPr>
        <w:t xml:space="preserve"> مقام قطع / مباحث قطع</w:t>
      </w:r>
    </w:p>
    <w:p w14:paraId="1928C2AF" w14:textId="77777777" w:rsidR="00844730" w:rsidRDefault="00844730" w:rsidP="004C6C03">
      <w:pPr>
        <w:pStyle w:val="Heading2"/>
        <w:jc w:val="both"/>
        <w:rPr>
          <w:rtl/>
        </w:rPr>
      </w:pPr>
      <w:bookmarkStart w:id="79" w:name="_Toc137434526"/>
      <w:bookmarkStart w:id="80" w:name="_Toc137899425"/>
      <w:r>
        <w:rPr>
          <w:rFonts w:hint="cs"/>
          <w:rtl/>
        </w:rPr>
        <w:t>قیام امارات و اصول مقام قطع</w:t>
      </w:r>
      <w:bookmarkEnd w:id="79"/>
      <w:bookmarkEnd w:id="80"/>
    </w:p>
    <w:p w14:paraId="4BC17D27" w14:textId="77777777" w:rsidR="00844730" w:rsidRDefault="00844730" w:rsidP="004C6C03">
      <w:pPr>
        <w:pStyle w:val="Heading2"/>
        <w:jc w:val="both"/>
        <w:rPr>
          <w:rtl/>
        </w:rPr>
      </w:pPr>
      <w:bookmarkStart w:id="81" w:name="_Toc137434527"/>
      <w:bookmarkStart w:id="82" w:name="_Toc1378994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cs"/>
          <w:rtl/>
        </w:rPr>
        <w:t>ادامه بررسی تقریب سوم</w:t>
      </w:r>
      <w:bookmarkEnd w:id="81"/>
      <w:bookmarkEnd w:id="82"/>
    </w:p>
    <w:p w14:paraId="58EB293E" w14:textId="77777777" w:rsidR="00844730" w:rsidRDefault="00844730" w:rsidP="004C6C03">
      <w:pPr>
        <w:jc w:val="both"/>
        <w:rPr>
          <w:rtl/>
        </w:rPr>
      </w:pPr>
      <w:r>
        <w:rPr>
          <w:rFonts w:hint="cs"/>
          <w:rtl/>
        </w:rPr>
        <w:t xml:space="preserve">بحث در تقریب سوم قیام امارات مقام قطع موضوعی بود که مرحوم صاحب کفایه رحمه الله در حاشیه رسائل آن را ذکر </w:t>
      </w:r>
      <w:r w:rsidR="004C6C03">
        <w:rPr>
          <w:rFonts w:hint="cs"/>
          <w:rtl/>
        </w:rPr>
        <w:t>و</w:t>
      </w:r>
      <w:r>
        <w:rPr>
          <w:rFonts w:hint="cs"/>
          <w:rtl/>
        </w:rPr>
        <w:t xml:space="preserve"> در کفایه آن را رد کردند.</w:t>
      </w:r>
      <w:r>
        <w:rPr>
          <w:rFonts w:hint="cs"/>
          <w:rtl/>
        </w:rPr>
        <w:tab/>
      </w:r>
    </w:p>
    <w:p w14:paraId="509A14D3" w14:textId="77777777" w:rsidR="0047095C" w:rsidRDefault="00844730" w:rsidP="004C6C03">
      <w:pPr>
        <w:jc w:val="both"/>
        <w:rPr>
          <w:rtl/>
        </w:rPr>
      </w:pPr>
      <w:r>
        <w:rPr>
          <w:rFonts w:hint="cs"/>
          <w:rtl/>
        </w:rPr>
        <w:t xml:space="preserve">ایشان در حاشیه رسائل فرموده‌اند: دلیل اعتبار اماره </w:t>
      </w:r>
      <w:r w:rsidR="00A07258">
        <w:rPr>
          <w:rFonts w:hint="cs"/>
          <w:rtl/>
        </w:rPr>
        <w:t>مثل «</w:t>
      </w:r>
      <w:r>
        <w:rPr>
          <w:rFonts w:hint="cs"/>
          <w:rtl/>
        </w:rPr>
        <w:t xml:space="preserve">خبر </w:t>
      </w:r>
      <w:r w:rsidR="004C6C03">
        <w:rPr>
          <w:rFonts w:hint="cs"/>
          <w:rtl/>
        </w:rPr>
        <w:t>الثقة</w:t>
      </w:r>
      <w:r>
        <w:rPr>
          <w:rFonts w:hint="cs"/>
          <w:rtl/>
        </w:rPr>
        <w:t xml:space="preserve"> علم</w:t>
      </w:r>
      <w:r w:rsidR="00A07258">
        <w:rPr>
          <w:rFonts w:hint="cs"/>
          <w:rtl/>
        </w:rPr>
        <w:t>»</w:t>
      </w:r>
      <w:r>
        <w:rPr>
          <w:rFonts w:hint="cs"/>
          <w:rtl/>
        </w:rPr>
        <w:t xml:space="preserve"> </w:t>
      </w:r>
      <w:r w:rsidR="00A07258">
        <w:rPr>
          <w:rFonts w:hint="cs"/>
          <w:rtl/>
        </w:rPr>
        <w:t xml:space="preserve">دارای یک مدلول مطابقی و یک مدلول التزامی است مدلول مطابقی آن </w:t>
      </w:r>
      <w:r w:rsidR="004C6C03">
        <w:rPr>
          <w:rFonts w:hint="cs"/>
          <w:rtl/>
        </w:rPr>
        <w:t>ظهور دارد</w:t>
      </w:r>
      <w:r w:rsidR="00A07258">
        <w:rPr>
          <w:rFonts w:hint="cs"/>
          <w:rtl/>
        </w:rPr>
        <w:t xml:space="preserve"> که </w:t>
      </w:r>
      <w:r w:rsidR="004C6C03">
        <w:rPr>
          <w:rFonts w:hint="cs"/>
          <w:rtl/>
        </w:rPr>
        <w:t xml:space="preserve">مولی </w:t>
      </w:r>
      <w:r w:rsidR="00A07258">
        <w:rPr>
          <w:rFonts w:hint="cs"/>
          <w:rtl/>
        </w:rPr>
        <w:t xml:space="preserve">خبر ثقه و علم </w:t>
      </w:r>
      <w:r w:rsidR="004C6C03">
        <w:rPr>
          <w:rFonts w:hint="cs"/>
          <w:rtl/>
        </w:rPr>
        <w:t xml:space="preserve">را </w:t>
      </w:r>
      <w:r w:rsidR="00A07258">
        <w:rPr>
          <w:rFonts w:hint="cs"/>
          <w:rtl/>
        </w:rPr>
        <w:t xml:space="preserve">به نحو </w:t>
      </w:r>
      <w:r w:rsidR="004C6C03">
        <w:rPr>
          <w:rFonts w:hint="cs"/>
          <w:rtl/>
        </w:rPr>
        <w:t>آلی</w:t>
      </w:r>
      <w:r w:rsidR="00A07258">
        <w:rPr>
          <w:rFonts w:hint="cs"/>
          <w:rtl/>
        </w:rPr>
        <w:t xml:space="preserve"> لحاظ </w:t>
      </w:r>
      <w:r w:rsidR="004C6C03">
        <w:rPr>
          <w:rFonts w:hint="cs"/>
          <w:rtl/>
        </w:rPr>
        <w:t>کرده است</w:t>
      </w:r>
      <w:r w:rsidR="00A07258">
        <w:rPr>
          <w:rFonts w:hint="cs"/>
          <w:rtl/>
        </w:rPr>
        <w:t xml:space="preserve"> یعنی وقتی گفته می‌شود «</w:t>
      </w:r>
      <w:r>
        <w:rPr>
          <w:rFonts w:hint="cs"/>
          <w:rtl/>
        </w:rPr>
        <w:t>خبر الثقة</w:t>
      </w:r>
      <w:r w:rsidR="00A07258">
        <w:rPr>
          <w:rFonts w:hint="cs"/>
          <w:rtl/>
        </w:rPr>
        <w:t>»</w:t>
      </w:r>
      <w:r>
        <w:rPr>
          <w:rFonts w:hint="cs"/>
          <w:rtl/>
        </w:rPr>
        <w:t xml:space="preserve"> یعنی </w:t>
      </w:r>
      <w:r w:rsidR="00A07258">
        <w:rPr>
          <w:rFonts w:hint="cs"/>
          <w:rtl/>
        </w:rPr>
        <w:t>«</w:t>
      </w:r>
      <w:r>
        <w:rPr>
          <w:rFonts w:hint="cs"/>
          <w:rtl/>
        </w:rPr>
        <w:t>مؤدی خبر الثقة</w:t>
      </w:r>
      <w:r w:rsidR="00A07258">
        <w:rPr>
          <w:rFonts w:hint="cs"/>
          <w:rtl/>
        </w:rPr>
        <w:t>»</w:t>
      </w:r>
      <w:r>
        <w:rPr>
          <w:rFonts w:hint="cs"/>
          <w:rtl/>
        </w:rPr>
        <w:t xml:space="preserve"> </w:t>
      </w:r>
      <w:r w:rsidR="00A07258">
        <w:rPr>
          <w:rFonts w:hint="cs"/>
          <w:rtl/>
        </w:rPr>
        <w:t xml:space="preserve">و </w:t>
      </w:r>
      <w:r>
        <w:rPr>
          <w:rFonts w:hint="cs"/>
          <w:rtl/>
        </w:rPr>
        <w:t>وقتی</w:t>
      </w:r>
      <w:r w:rsidR="00A07258">
        <w:rPr>
          <w:rFonts w:hint="cs"/>
          <w:rtl/>
        </w:rPr>
        <w:t xml:space="preserve"> گفته می‌شود «</w:t>
      </w:r>
      <w:r>
        <w:rPr>
          <w:rFonts w:hint="cs"/>
          <w:rtl/>
        </w:rPr>
        <w:t>علم</w:t>
      </w:r>
      <w:r w:rsidR="00A07258">
        <w:rPr>
          <w:rFonts w:hint="cs"/>
          <w:rtl/>
        </w:rPr>
        <w:t>»</w:t>
      </w:r>
      <w:r>
        <w:rPr>
          <w:rFonts w:hint="cs"/>
          <w:rtl/>
        </w:rPr>
        <w:t xml:space="preserve"> یعنی واقع </w:t>
      </w:r>
      <w:r w:rsidR="00A07258">
        <w:rPr>
          <w:rFonts w:hint="cs"/>
          <w:rtl/>
        </w:rPr>
        <w:t xml:space="preserve"> و معنای «خبر الثقة علم» یعنی «</w:t>
      </w:r>
      <w:r>
        <w:rPr>
          <w:rFonts w:hint="cs"/>
          <w:rtl/>
        </w:rPr>
        <w:t>مودی خبر الثقة هو الواقع، ما قام خبر الثقة علی انه خمر فهو خمر</w:t>
      </w:r>
      <w:r w:rsidR="00A07258">
        <w:rPr>
          <w:rFonts w:hint="cs"/>
          <w:rtl/>
        </w:rPr>
        <w:t xml:space="preserve">». که این </w:t>
      </w:r>
      <w:r>
        <w:rPr>
          <w:rFonts w:hint="cs"/>
          <w:rtl/>
        </w:rPr>
        <w:t>مسلک تنزیل المؤدی منزلة الواقع</w:t>
      </w:r>
      <w:r w:rsidR="00A07258">
        <w:rPr>
          <w:rFonts w:hint="cs"/>
          <w:rtl/>
        </w:rPr>
        <w:t xml:space="preserve"> است</w:t>
      </w:r>
      <w:r>
        <w:rPr>
          <w:rFonts w:hint="cs"/>
          <w:rtl/>
        </w:rPr>
        <w:t xml:space="preserve"> </w:t>
      </w:r>
      <w:r w:rsidR="00A07258">
        <w:rPr>
          <w:rFonts w:hint="cs"/>
          <w:rtl/>
        </w:rPr>
        <w:t xml:space="preserve">‌که منسوب به مشهور </w:t>
      </w:r>
      <w:r w:rsidR="004C6C03">
        <w:rPr>
          <w:rFonts w:hint="cs"/>
          <w:rtl/>
        </w:rPr>
        <w:t>است</w:t>
      </w:r>
      <w:r w:rsidR="00A07258">
        <w:rPr>
          <w:rFonts w:hint="cs"/>
          <w:rtl/>
        </w:rPr>
        <w:t xml:space="preserve"> و گاهی از آن</w:t>
      </w:r>
      <w:r>
        <w:rPr>
          <w:rFonts w:hint="cs"/>
          <w:rtl/>
        </w:rPr>
        <w:t xml:space="preserve"> تعبیر</w:t>
      </w:r>
      <w:r w:rsidR="00A07258">
        <w:rPr>
          <w:rFonts w:hint="cs"/>
          <w:rtl/>
        </w:rPr>
        <w:t xml:space="preserve"> به </w:t>
      </w:r>
      <w:r w:rsidR="004C6C03">
        <w:rPr>
          <w:rFonts w:hint="cs"/>
          <w:rtl/>
        </w:rPr>
        <w:t xml:space="preserve">جعل </w:t>
      </w:r>
      <w:r w:rsidR="00A07258">
        <w:rPr>
          <w:rFonts w:hint="cs"/>
          <w:rtl/>
        </w:rPr>
        <w:t>حکم مماثل می‌شود</w:t>
      </w:r>
      <w:r>
        <w:rPr>
          <w:rFonts w:hint="cs"/>
          <w:rtl/>
        </w:rPr>
        <w:t xml:space="preserve"> چون تنزیل المؤدی منزلة الواقع یعنی جعل </w:t>
      </w:r>
      <w:r w:rsidR="004C6C03">
        <w:rPr>
          <w:rFonts w:hint="cs"/>
          <w:rtl/>
        </w:rPr>
        <w:t xml:space="preserve">مماثل </w:t>
      </w:r>
      <w:r>
        <w:rPr>
          <w:rFonts w:hint="cs"/>
          <w:rtl/>
        </w:rPr>
        <w:t>حکم واقع</w:t>
      </w:r>
      <w:r w:rsidR="00A07258">
        <w:rPr>
          <w:rFonts w:hint="cs"/>
          <w:rtl/>
        </w:rPr>
        <w:t>ی</w:t>
      </w:r>
      <w:r w:rsidR="004C6C03">
        <w:rPr>
          <w:rFonts w:hint="cs"/>
          <w:rtl/>
        </w:rPr>
        <w:t xml:space="preserve"> (مانند حرمت شرب خمر)</w:t>
      </w:r>
      <w:r w:rsidR="00A07258">
        <w:rPr>
          <w:rFonts w:hint="cs"/>
          <w:rtl/>
        </w:rPr>
        <w:t xml:space="preserve"> به عنوان حکم ظاهری برای این مؤدی، و </w:t>
      </w:r>
      <w:r>
        <w:rPr>
          <w:rFonts w:hint="cs"/>
          <w:rtl/>
        </w:rPr>
        <w:t>نتیجه</w:t>
      </w:r>
      <w:r w:rsidR="00A07258">
        <w:rPr>
          <w:rFonts w:hint="cs"/>
          <w:rtl/>
        </w:rPr>
        <w:t>‌ آن</w:t>
      </w:r>
      <w:r>
        <w:rPr>
          <w:rFonts w:hint="cs"/>
          <w:rtl/>
        </w:rPr>
        <w:t xml:space="preserve"> قیام اماره مقام قطع طریقی محض به لحاظ اثر تنجیز و تعذیر</w:t>
      </w:r>
      <w:r w:rsidR="00A07258">
        <w:rPr>
          <w:rFonts w:hint="cs"/>
          <w:rtl/>
        </w:rPr>
        <w:t xml:space="preserve"> است</w:t>
      </w:r>
      <w:r>
        <w:rPr>
          <w:rFonts w:hint="cs"/>
          <w:rtl/>
        </w:rPr>
        <w:t>.</w:t>
      </w:r>
      <w:r w:rsidR="0047095C">
        <w:t xml:space="preserve"> </w:t>
      </w:r>
    </w:p>
    <w:p w14:paraId="421DD2AC" w14:textId="77777777" w:rsidR="00844730" w:rsidRDefault="0047095C" w:rsidP="004C6C03">
      <w:pPr>
        <w:jc w:val="both"/>
        <w:rPr>
          <w:rtl/>
        </w:rPr>
      </w:pPr>
      <w:r>
        <w:rPr>
          <w:rFonts w:hint="cs"/>
          <w:rtl/>
        </w:rPr>
        <w:t xml:space="preserve">و علم به این خبر ثقه </w:t>
      </w:r>
      <w:r w:rsidR="004C6C03">
        <w:rPr>
          <w:rFonts w:hint="cs"/>
          <w:rtl/>
        </w:rPr>
        <w:t xml:space="preserve">که </w:t>
      </w:r>
      <w:r>
        <w:rPr>
          <w:rFonts w:hint="cs"/>
          <w:rtl/>
        </w:rPr>
        <w:t xml:space="preserve">«هذا خمر» موجب علم به خمر تنزیلی می‌شود و چون عرف به این که </w:t>
      </w:r>
      <w:r w:rsidR="00844730">
        <w:rPr>
          <w:rFonts w:hint="cs"/>
          <w:rtl/>
        </w:rPr>
        <w:t>علم به خمر تنزیلی غیر از علم به خمر حقیقی است،</w:t>
      </w:r>
      <w:r>
        <w:rPr>
          <w:rFonts w:hint="cs"/>
          <w:rtl/>
        </w:rPr>
        <w:t xml:space="preserve"> توجه ندارد لذا</w:t>
      </w:r>
      <w:r w:rsidR="00844730">
        <w:rPr>
          <w:rFonts w:hint="cs"/>
          <w:rtl/>
        </w:rPr>
        <w:t xml:space="preserve"> استظهار عرفی</w:t>
      </w:r>
      <w:r>
        <w:rPr>
          <w:rFonts w:hint="cs"/>
          <w:rtl/>
        </w:rPr>
        <w:t xml:space="preserve"> این است که علم به خمر تنزیلی نیز</w:t>
      </w:r>
      <w:r w:rsidR="00844730">
        <w:rPr>
          <w:rFonts w:hint="cs"/>
          <w:rtl/>
        </w:rPr>
        <w:t xml:space="preserve"> همان احکام علم به خمر حقیقی را دارد، </w:t>
      </w:r>
      <w:r>
        <w:rPr>
          <w:rFonts w:hint="cs"/>
          <w:rtl/>
        </w:rPr>
        <w:t>و این</w:t>
      </w:r>
      <w:r w:rsidR="00844730">
        <w:rPr>
          <w:rFonts w:hint="cs"/>
          <w:rtl/>
        </w:rPr>
        <w:t xml:space="preserve"> مدلول التزامی خطاب</w:t>
      </w:r>
      <w:r>
        <w:rPr>
          <w:rFonts w:hint="cs"/>
          <w:rtl/>
        </w:rPr>
        <w:t xml:space="preserve"> است</w:t>
      </w:r>
      <w:r w:rsidR="00844730">
        <w:rPr>
          <w:rFonts w:hint="cs"/>
          <w:rtl/>
        </w:rPr>
        <w:t xml:space="preserve"> که از آن قیام اماره مقام قطع موضوعی استفاده می‌‌شود.</w:t>
      </w:r>
    </w:p>
    <w:p w14:paraId="0D27D92B" w14:textId="77777777" w:rsidR="00281DB1" w:rsidRDefault="00281DB1" w:rsidP="004C6C03">
      <w:pPr>
        <w:jc w:val="both"/>
        <w:rPr>
          <w:rtl/>
        </w:rPr>
      </w:pPr>
      <w:r>
        <w:rPr>
          <w:rFonts w:hint="cs"/>
          <w:rtl/>
        </w:rPr>
        <w:t xml:space="preserve">ان قلت: </w:t>
      </w:r>
      <w:r w:rsidR="004C6C03">
        <w:rPr>
          <w:rFonts w:hint="cs"/>
          <w:rtl/>
        </w:rPr>
        <w:t>این جمع بین لحاظ آلی و استقلالی است که</w:t>
      </w:r>
      <w:r>
        <w:rPr>
          <w:rFonts w:hint="cs"/>
          <w:rtl/>
        </w:rPr>
        <w:t xml:space="preserve"> محال است زیرا «</w:t>
      </w:r>
      <w:r w:rsidR="00844730">
        <w:rPr>
          <w:rFonts w:hint="cs"/>
          <w:rtl/>
        </w:rPr>
        <w:t>خبر الثقة علم</w:t>
      </w:r>
      <w:r>
        <w:rPr>
          <w:rFonts w:hint="cs"/>
          <w:rtl/>
        </w:rPr>
        <w:t xml:space="preserve">» برای این که قائم مقام قطع طریقی محض </w:t>
      </w:r>
      <w:r w:rsidR="00844730">
        <w:rPr>
          <w:rFonts w:hint="cs"/>
          <w:rtl/>
        </w:rPr>
        <w:t>شود</w:t>
      </w:r>
      <w:r w:rsidR="004C6C03">
        <w:rPr>
          <w:rFonts w:hint="cs"/>
          <w:rtl/>
        </w:rPr>
        <w:t>،</w:t>
      </w:r>
      <w:r>
        <w:rPr>
          <w:rFonts w:hint="cs"/>
          <w:rtl/>
        </w:rPr>
        <w:t xml:space="preserve"> خبر و علم </w:t>
      </w:r>
      <w:r w:rsidR="004C6C03">
        <w:rPr>
          <w:rFonts w:hint="cs"/>
          <w:rtl/>
        </w:rPr>
        <w:t xml:space="preserve">در آن </w:t>
      </w:r>
      <w:r>
        <w:rPr>
          <w:rFonts w:hint="cs"/>
          <w:rtl/>
        </w:rPr>
        <w:t>به نحو آلی لحاظ می‌شوند و برای تعبد</w:t>
      </w:r>
      <w:r w:rsidR="00844730">
        <w:rPr>
          <w:rFonts w:hint="cs"/>
          <w:rtl/>
        </w:rPr>
        <w:t xml:space="preserve"> به قیام خبر ثقه مقام قطع موضوعی باید</w:t>
      </w:r>
      <w:r>
        <w:rPr>
          <w:rFonts w:hint="cs"/>
          <w:rtl/>
        </w:rPr>
        <w:t xml:space="preserve"> خبر و علم به نحو</w:t>
      </w:r>
      <w:r w:rsidR="00844730">
        <w:rPr>
          <w:rFonts w:hint="cs"/>
          <w:rtl/>
        </w:rPr>
        <w:t xml:space="preserve"> استقلالی</w:t>
      </w:r>
      <w:r>
        <w:rPr>
          <w:rFonts w:hint="cs"/>
          <w:rtl/>
        </w:rPr>
        <w:t xml:space="preserve"> لحاظ شوند</w:t>
      </w:r>
      <w:r w:rsidR="00844730">
        <w:rPr>
          <w:rFonts w:hint="cs"/>
          <w:rtl/>
        </w:rPr>
        <w:t xml:space="preserve"> چون اثر خود علم است</w:t>
      </w:r>
      <w:r>
        <w:rPr>
          <w:rFonts w:hint="cs"/>
          <w:rtl/>
        </w:rPr>
        <w:t xml:space="preserve"> که</w:t>
      </w:r>
      <w:r w:rsidR="00844730">
        <w:rPr>
          <w:rFonts w:hint="cs"/>
          <w:rtl/>
        </w:rPr>
        <w:t xml:space="preserve"> می‌‌</w:t>
      </w:r>
      <w:r>
        <w:rPr>
          <w:rFonts w:hint="cs"/>
          <w:rtl/>
        </w:rPr>
        <w:t>خواهد بر</w:t>
      </w:r>
      <w:r w:rsidR="00844730">
        <w:rPr>
          <w:rFonts w:hint="cs"/>
          <w:rtl/>
        </w:rPr>
        <w:t xml:space="preserve"> خبر </w:t>
      </w:r>
      <w:r>
        <w:rPr>
          <w:rFonts w:hint="cs"/>
          <w:rtl/>
        </w:rPr>
        <w:t>مترتب شود</w:t>
      </w:r>
      <w:r w:rsidR="00844730">
        <w:rPr>
          <w:rFonts w:hint="cs"/>
          <w:rtl/>
        </w:rPr>
        <w:t xml:space="preserve"> و این محال است. </w:t>
      </w:r>
    </w:p>
    <w:p w14:paraId="4CC30170" w14:textId="77777777" w:rsidR="00281DB1" w:rsidRDefault="00281DB1" w:rsidP="004C6C03">
      <w:pPr>
        <w:jc w:val="both"/>
        <w:rPr>
          <w:rtl/>
        </w:rPr>
      </w:pPr>
      <w:r>
        <w:rPr>
          <w:rFonts w:hint="cs"/>
          <w:rtl/>
        </w:rPr>
        <w:t xml:space="preserve">قلت: در </w:t>
      </w:r>
      <w:r w:rsidR="00844730">
        <w:rPr>
          <w:rFonts w:hint="cs"/>
          <w:rtl/>
        </w:rPr>
        <w:t xml:space="preserve">مدلول مطابقی </w:t>
      </w:r>
      <w:r>
        <w:rPr>
          <w:rFonts w:hint="cs"/>
          <w:rtl/>
        </w:rPr>
        <w:t>«</w:t>
      </w:r>
      <w:r w:rsidR="00844730">
        <w:rPr>
          <w:rFonts w:hint="cs"/>
          <w:rtl/>
        </w:rPr>
        <w:t>خبر الثقة علم</w:t>
      </w:r>
      <w:r>
        <w:rPr>
          <w:rFonts w:hint="cs"/>
          <w:rtl/>
        </w:rPr>
        <w:t>» خبر ثقه و علم فقط به نحو آلی لحاظ می‌شوند، مدلول التزامی آن تنزیل دوم ا</w:t>
      </w:r>
      <w:r w:rsidR="00844730">
        <w:rPr>
          <w:rFonts w:hint="cs"/>
          <w:rtl/>
        </w:rPr>
        <w:t>ست که نتیجه</w:t>
      </w:r>
      <w:r>
        <w:rPr>
          <w:rFonts w:hint="cs"/>
          <w:rtl/>
        </w:rPr>
        <w:t>‌‌ی آن</w:t>
      </w:r>
      <w:r w:rsidR="00844730">
        <w:rPr>
          <w:rFonts w:hint="cs"/>
          <w:rtl/>
        </w:rPr>
        <w:t xml:space="preserve"> </w:t>
      </w:r>
      <w:r>
        <w:rPr>
          <w:rFonts w:hint="cs"/>
          <w:rtl/>
        </w:rPr>
        <w:t>قیام اماره</w:t>
      </w:r>
      <w:r w:rsidR="00844730">
        <w:rPr>
          <w:rFonts w:hint="cs"/>
          <w:rtl/>
        </w:rPr>
        <w:t xml:space="preserve"> مقام قطع موضوعی طریقی</w:t>
      </w:r>
      <w:r>
        <w:rPr>
          <w:rFonts w:hint="cs"/>
          <w:rtl/>
        </w:rPr>
        <w:t xml:space="preserve"> است</w:t>
      </w:r>
      <w:r w:rsidR="00844730">
        <w:rPr>
          <w:rFonts w:hint="cs"/>
          <w:rtl/>
        </w:rPr>
        <w:t>.</w:t>
      </w:r>
    </w:p>
    <w:p w14:paraId="701B1614" w14:textId="77777777" w:rsidR="00281DB1" w:rsidRDefault="00281DB1" w:rsidP="004C6C03">
      <w:pPr>
        <w:jc w:val="both"/>
        <w:rPr>
          <w:rtl/>
        </w:rPr>
      </w:pPr>
      <w:r>
        <w:rPr>
          <w:rFonts w:hint="cs"/>
          <w:rtl/>
        </w:rPr>
        <w:t xml:space="preserve">و وجه این که مدلول مطابقی خطاب مذکور قیام خبر ثقه مقام قطع طریقی محض است این است که اولا: </w:t>
      </w:r>
      <w:r w:rsidR="00844730">
        <w:rPr>
          <w:rFonts w:hint="cs"/>
          <w:rtl/>
        </w:rPr>
        <w:t>ظهور این الفاظ در طریقیت است،  لفظ علم</w:t>
      </w:r>
      <w:r>
        <w:rPr>
          <w:rFonts w:hint="cs"/>
          <w:rtl/>
        </w:rPr>
        <w:t xml:space="preserve"> ظهور در طریقت و </w:t>
      </w:r>
      <w:r>
        <w:rPr>
          <w:rFonts w:hint="cs"/>
          <w:rtl/>
        </w:rPr>
        <w:lastRenderedPageBreak/>
        <w:t>لحاظ آلی دارد</w:t>
      </w:r>
      <w:r w:rsidR="00844730">
        <w:rPr>
          <w:rFonts w:hint="cs"/>
          <w:rtl/>
        </w:rPr>
        <w:t xml:space="preserve"> نه در موضوعیت</w:t>
      </w:r>
      <w:r>
        <w:rPr>
          <w:rFonts w:hint="cs"/>
          <w:rtl/>
        </w:rPr>
        <w:t xml:space="preserve"> و لحاظ استقلالی. ثانیا: </w:t>
      </w:r>
      <w:r w:rsidR="00844730">
        <w:rPr>
          <w:rFonts w:hint="cs"/>
          <w:rtl/>
        </w:rPr>
        <w:t xml:space="preserve">قدرمتیقن از ادله اعتبار اماره این است که می‌‌خواهد </w:t>
      </w:r>
      <w:r>
        <w:rPr>
          <w:rFonts w:hint="cs"/>
          <w:rtl/>
        </w:rPr>
        <w:t xml:space="preserve">اماره </w:t>
      </w:r>
      <w:r w:rsidR="004C6C03">
        <w:rPr>
          <w:rFonts w:hint="cs"/>
          <w:rtl/>
        </w:rPr>
        <w:t xml:space="preserve">را </w:t>
      </w:r>
      <w:r>
        <w:rPr>
          <w:rFonts w:hint="cs"/>
          <w:rtl/>
        </w:rPr>
        <w:t xml:space="preserve">به لحاظ اثر منجزیت و معذریت </w:t>
      </w:r>
      <w:r w:rsidR="00844730">
        <w:rPr>
          <w:rFonts w:hint="cs"/>
          <w:rtl/>
        </w:rPr>
        <w:t>قائم مقام قطع طر</w:t>
      </w:r>
      <w:r>
        <w:rPr>
          <w:rFonts w:hint="cs"/>
          <w:rtl/>
        </w:rPr>
        <w:t xml:space="preserve">یقی محض </w:t>
      </w:r>
      <w:r w:rsidR="004C6C03">
        <w:rPr>
          <w:rFonts w:hint="cs"/>
          <w:rtl/>
        </w:rPr>
        <w:t>کند</w:t>
      </w:r>
      <w:r w:rsidR="00844730">
        <w:rPr>
          <w:rFonts w:hint="cs"/>
          <w:rtl/>
        </w:rPr>
        <w:t xml:space="preserve"> چون</w:t>
      </w:r>
      <w:r>
        <w:rPr>
          <w:rFonts w:hint="cs"/>
          <w:rtl/>
        </w:rPr>
        <w:t xml:space="preserve"> در شرع</w:t>
      </w:r>
      <w:r w:rsidR="00844730">
        <w:rPr>
          <w:rFonts w:hint="cs"/>
          <w:rtl/>
        </w:rPr>
        <w:t xml:space="preserve"> قطع موضوعی</w:t>
      </w:r>
      <w:r>
        <w:rPr>
          <w:rFonts w:hint="cs"/>
          <w:rtl/>
        </w:rPr>
        <w:t xml:space="preserve"> زیاد وجود ندارد</w:t>
      </w:r>
      <w:r w:rsidR="00B85F76">
        <w:rPr>
          <w:rStyle w:val="FootnoteReference"/>
          <w:rtl/>
        </w:rPr>
        <w:footnoteReference w:id="1"/>
      </w:r>
      <w:r>
        <w:rPr>
          <w:rFonts w:hint="cs"/>
          <w:rtl/>
        </w:rPr>
        <w:t xml:space="preserve">. </w:t>
      </w:r>
    </w:p>
    <w:p w14:paraId="5A2AE8C9" w14:textId="77777777" w:rsidR="00300113" w:rsidRDefault="00281DB1" w:rsidP="00565BA0">
      <w:pPr>
        <w:jc w:val="both"/>
        <w:rPr>
          <w:rtl/>
        </w:rPr>
      </w:pPr>
      <w:r>
        <w:rPr>
          <w:rFonts w:hint="cs"/>
          <w:rtl/>
        </w:rPr>
        <w:t xml:space="preserve">ولی ایشان </w:t>
      </w:r>
      <w:r w:rsidR="00844730">
        <w:rPr>
          <w:rFonts w:hint="cs"/>
          <w:rtl/>
        </w:rPr>
        <w:t>در کفایه فرمود</w:t>
      </w:r>
      <w:r>
        <w:rPr>
          <w:rFonts w:hint="cs"/>
          <w:rtl/>
        </w:rPr>
        <w:t>ه‌اند:</w:t>
      </w:r>
      <w:r w:rsidR="00844730">
        <w:rPr>
          <w:rFonts w:hint="cs"/>
          <w:rtl/>
        </w:rPr>
        <w:t xml:space="preserve"> </w:t>
      </w:r>
      <w:r>
        <w:rPr>
          <w:rFonts w:hint="cs"/>
          <w:rtl/>
        </w:rPr>
        <w:t>این بیان خالی از</w:t>
      </w:r>
      <w:r w:rsidR="00844730">
        <w:rPr>
          <w:rFonts w:hint="cs"/>
          <w:rtl/>
        </w:rPr>
        <w:t xml:space="preserve"> تکلف بلکه تعسف نیست</w:t>
      </w:r>
      <w:r w:rsidR="00300113">
        <w:rPr>
          <w:rFonts w:hint="cs"/>
          <w:rtl/>
        </w:rPr>
        <w:t>.</w:t>
      </w:r>
      <w:r w:rsidR="00565BA0">
        <w:rPr>
          <w:rStyle w:val="FootnoteReference"/>
          <w:rtl/>
        </w:rPr>
        <w:footnoteReference w:id="2"/>
      </w:r>
      <w:r w:rsidR="00844730">
        <w:rPr>
          <w:rFonts w:hint="cs"/>
          <w:rtl/>
        </w:rPr>
        <w:t xml:space="preserve"> که </w:t>
      </w:r>
      <w:r w:rsidR="00300113">
        <w:rPr>
          <w:rFonts w:hint="cs"/>
          <w:rtl/>
        </w:rPr>
        <w:t xml:space="preserve">ان‌شاء الله آن را </w:t>
      </w:r>
      <w:r w:rsidR="00844730">
        <w:rPr>
          <w:rFonts w:hint="cs"/>
          <w:rtl/>
        </w:rPr>
        <w:t xml:space="preserve">بعدا </w:t>
      </w:r>
      <w:r w:rsidR="00300113">
        <w:rPr>
          <w:rFonts w:hint="cs"/>
          <w:rtl/>
        </w:rPr>
        <w:t xml:space="preserve">توضیح خواهیم داد. </w:t>
      </w:r>
    </w:p>
    <w:p w14:paraId="3B315A09" w14:textId="77777777" w:rsidR="00844730" w:rsidRDefault="00300113" w:rsidP="004C6C03">
      <w:pPr>
        <w:pStyle w:val="Heading3"/>
        <w:jc w:val="both"/>
        <w:rPr>
          <w:rtl/>
        </w:rPr>
      </w:pPr>
      <w:bookmarkStart w:id="83" w:name="_Toc137434528"/>
      <w:bookmarkStart w:id="84" w:name="_Toc137899427"/>
      <w:r>
        <w:rPr>
          <w:rFonts w:hint="cs"/>
          <w:rtl/>
        </w:rPr>
        <w:t>بررسی کلام صاحب کفایه رحمه الله در حاشیه رسائل</w:t>
      </w:r>
      <w:bookmarkEnd w:id="83"/>
      <w:bookmarkEnd w:id="84"/>
    </w:p>
    <w:p w14:paraId="6F57DE23" w14:textId="77777777" w:rsidR="00844730" w:rsidRDefault="00300113" w:rsidP="004C6C03">
      <w:pPr>
        <w:pStyle w:val="Heading4"/>
        <w:jc w:val="both"/>
        <w:rPr>
          <w:rtl/>
        </w:rPr>
      </w:pPr>
      <w:r>
        <w:rPr>
          <w:rFonts w:hint="cs"/>
          <w:rtl/>
        </w:rPr>
        <w:t>اشکال اول:</w:t>
      </w:r>
    </w:p>
    <w:p w14:paraId="18F1E0E0" w14:textId="77777777" w:rsidR="00EB5AE2" w:rsidRDefault="00844730" w:rsidP="004C6C03">
      <w:pPr>
        <w:jc w:val="both"/>
        <w:rPr>
          <w:rtl/>
        </w:rPr>
      </w:pPr>
      <w:r>
        <w:rPr>
          <w:rFonts w:hint="cs"/>
          <w:rtl/>
        </w:rPr>
        <w:t>این تقریب طبق مسلک تنزیل المؤدی منزلة الواقع است، ‌</w:t>
      </w:r>
      <w:r w:rsidR="00300113">
        <w:rPr>
          <w:rFonts w:hint="cs"/>
          <w:rtl/>
        </w:rPr>
        <w:t>و این تقریب ولو منسوب به مشهور است ولی مخالف با مبنای خود مرحوم صاحب کفایه رحمه الله است.</w:t>
      </w:r>
      <w:r w:rsidR="00EB5AE2">
        <w:rPr>
          <w:rFonts w:hint="cs"/>
          <w:rtl/>
        </w:rPr>
        <w:t xml:space="preserve"> زیرا</w:t>
      </w:r>
      <w:r w:rsidR="00300113">
        <w:rPr>
          <w:rFonts w:hint="cs"/>
          <w:rtl/>
        </w:rPr>
        <w:t xml:space="preserve"> ایشان</w:t>
      </w:r>
      <w:r w:rsidR="00EB5AE2">
        <w:rPr>
          <w:rFonts w:hint="cs"/>
          <w:rtl/>
        </w:rPr>
        <w:t xml:space="preserve"> قائل به این هستند که مجعول در امارات انشاء منجزیت و معذریت است و</w:t>
      </w:r>
      <w:r>
        <w:rPr>
          <w:rFonts w:hint="cs"/>
          <w:rtl/>
        </w:rPr>
        <w:t xml:space="preserve"> صریحا در بحث اجتهاد و تقلید </w:t>
      </w:r>
      <w:r w:rsidR="00EB5AE2">
        <w:rPr>
          <w:rFonts w:hint="cs"/>
          <w:rtl/>
        </w:rPr>
        <w:t>فرموده‌اند:</w:t>
      </w:r>
      <w:r>
        <w:rPr>
          <w:rFonts w:hint="cs"/>
          <w:rtl/>
        </w:rPr>
        <w:t xml:space="preserve"> </w:t>
      </w:r>
      <w:r w:rsidR="00EB5AE2">
        <w:rPr>
          <w:rFonts w:hint="cs"/>
          <w:rtl/>
        </w:rPr>
        <w:t>«</w:t>
      </w:r>
      <w:r>
        <w:rPr>
          <w:rFonts w:hint="cs"/>
          <w:rtl/>
        </w:rPr>
        <w:t>جواز التقلید لایقتضی ازید من تنجز ما اصابه و العذر فیما اخطأ علی ما هو التحقیق من ان قضیة الحجیة شرعا لیس الا ذلک لا انشاء احکام شرعیة علی طبق المؤدی</w:t>
      </w:r>
      <w:r w:rsidR="00EB5AE2">
        <w:rPr>
          <w:rFonts w:hint="cs"/>
          <w:rtl/>
        </w:rPr>
        <w:t>.»</w:t>
      </w:r>
      <w:r w:rsidR="00EB5AE2">
        <w:rPr>
          <w:rStyle w:val="FootnoteReference"/>
          <w:rtl/>
        </w:rPr>
        <w:footnoteReference w:id="3"/>
      </w:r>
    </w:p>
    <w:p w14:paraId="124CA41B" w14:textId="77777777" w:rsidR="00EB5AE2" w:rsidRDefault="00EB5AE2" w:rsidP="004C6C03">
      <w:pPr>
        <w:jc w:val="both"/>
        <w:rPr>
          <w:rtl/>
        </w:rPr>
      </w:pPr>
      <w:r>
        <w:rPr>
          <w:rFonts w:hint="cs"/>
          <w:rtl/>
        </w:rPr>
        <w:t xml:space="preserve">آیت الله وحید دام ظله فرموده‌اند: مسلک صاحب کفایه رحمه الله </w:t>
      </w:r>
      <w:r w:rsidR="00844730">
        <w:rPr>
          <w:rFonts w:hint="cs"/>
          <w:rtl/>
        </w:rPr>
        <w:t>منجزیت و معذریت نیست، بلکه انشاء یک امری است که لازم</w:t>
      </w:r>
      <w:r>
        <w:rPr>
          <w:rFonts w:hint="cs"/>
          <w:rtl/>
        </w:rPr>
        <w:t>ه‌ی</w:t>
      </w:r>
      <w:r w:rsidR="00844730">
        <w:rPr>
          <w:rFonts w:hint="cs"/>
          <w:rtl/>
        </w:rPr>
        <w:t xml:space="preserve"> آن تنجز و تعذر است، </w:t>
      </w:r>
      <w:r>
        <w:rPr>
          <w:rFonts w:hint="cs"/>
          <w:rtl/>
        </w:rPr>
        <w:t xml:space="preserve">زیرا ایشان در بحث </w:t>
      </w:r>
      <w:r w:rsidR="00844730">
        <w:rPr>
          <w:rFonts w:hint="cs"/>
          <w:rtl/>
        </w:rPr>
        <w:t xml:space="preserve">جمع حکم ظاهری و واقعی </w:t>
      </w:r>
      <w:r>
        <w:rPr>
          <w:rFonts w:hint="cs"/>
          <w:rtl/>
        </w:rPr>
        <w:t>فرموده‌اند:</w:t>
      </w:r>
      <w:r w:rsidR="00844730">
        <w:rPr>
          <w:rFonts w:hint="cs"/>
          <w:rtl/>
        </w:rPr>
        <w:t xml:space="preserve"> </w:t>
      </w:r>
      <w:r>
        <w:rPr>
          <w:rFonts w:hint="cs"/>
          <w:rtl/>
        </w:rPr>
        <w:t>«</w:t>
      </w:r>
      <w:r w:rsidR="00844730">
        <w:rPr>
          <w:rFonts w:hint="cs"/>
          <w:rtl/>
        </w:rPr>
        <w:t>الحجیة ‌المجعولة‌ تکون موجبة لتنجز التکلیف اذا اصاب و الاعتذار اذا اخطأ</w:t>
      </w:r>
      <w:r>
        <w:rPr>
          <w:rFonts w:hint="cs"/>
          <w:rtl/>
        </w:rPr>
        <w:t>»</w:t>
      </w:r>
      <w:r w:rsidR="00565BA0">
        <w:rPr>
          <w:rStyle w:val="FootnoteReference"/>
          <w:rtl/>
        </w:rPr>
        <w:footnoteReference w:id="4"/>
      </w:r>
      <w:r>
        <w:rPr>
          <w:rFonts w:hint="cs"/>
          <w:rtl/>
        </w:rPr>
        <w:t xml:space="preserve"> که ظاهر آن این است که حجیت موجب تنجز است نه این که خودش تنجز باشد. </w:t>
      </w:r>
    </w:p>
    <w:p w14:paraId="2140522A" w14:textId="77777777" w:rsidR="00844730" w:rsidRDefault="00EB5AE2" w:rsidP="00565BA0">
      <w:pPr>
        <w:jc w:val="both"/>
        <w:rPr>
          <w:rtl/>
        </w:rPr>
      </w:pPr>
      <w:r>
        <w:rPr>
          <w:rFonts w:hint="cs"/>
          <w:rtl/>
        </w:rPr>
        <w:t xml:space="preserve">ولی این بیان تمام نیست زیرا این عبارت با توجه به تصریح ایشان در بحث اجتهاد و تقلید باید به نحو دیگری معنا شود، و مراد از آن این است که </w:t>
      </w:r>
      <w:r w:rsidR="00844730">
        <w:rPr>
          <w:rFonts w:hint="cs"/>
          <w:rtl/>
        </w:rPr>
        <w:t>حجیت</w:t>
      </w:r>
      <w:r w:rsidR="00565BA0">
        <w:rPr>
          <w:rFonts w:hint="cs"/>
          <w:rtl/>
        </w:rPr>
        <w:t>،</w:t>
      </w:r>
      <w:r w:rsidR="00844730">
        <w:rPr>
          <w:rFonts w:hint="cs"/>
          <w:rtl/>
        </w:rPr>
        <w:t xml:space="preserve"> انشاء </w:t>
      </w:r>
      <w:r w:rsidR="00565BA0">
        <w:rPr>
          <w:rFonts w:hint="cs"/>
          <w:rtl/>
        </w:rPr>
        <w:t>«</w:t>
      </w:r>
      <w:r w:rsidR="00844730">
        <w:rPr>
          <w:rFonts w:hint="cs"/>
          <w:rtl/>
        </w:rPr>
        <w:t>عنوان منجزیت و معذریت</w:t>
      </w:r>
      <w:r w:rsidR="00565BA0">
        <w:rPr>
          <w:rFonts w:hint="cs"/>
          <w:rtl/>
        </w:rPr>
        <w:t>»</w:t>
      </w:r>
      <w:r w:rsidR="00844730">
        <w:rPr>
          <w:rFonts w:hint="cs"/>
          <w:rtl/>
        </w:rPr>
        <w:t xml:space="preserve"> است و این</w:t>
      </w:r>
      <w:r>
        <w:rPr>
          <w:rFonts w:hint="cs"/>
          <w:rtl/>
        </w:rPr>
        <w:t xml:space="preserve"> وقتی واصل به مکلف شود موجب حدوث تنجز و تعذر عقلی می‌شود. زیرا واقع تنجز حکم عقل است و ایجاد آن به دست شارع نیست و شارع فقط می‌تواند عنوان تعذر را انشاء کند، و وقتی شارع می‌گوید «جعلت خبر الثقة منجزا و معذرا» </w:t>
      </w:r>
      <w:r w:rsidR="00565BA0">
        <w:rPr>
          <w:rFonts w:hint="cs"/>
          <w:rtl/>
        </w:rPr>
        <w:t>-مانند روایتی که فرموده است</w:t>
      </w:r>
      <w:r>
        <w:rPr>
          <w:rFonts w:hint="cs"/>
          <w:rtl/>
        </w:rPr>
        <w:t xml:space="preserve"> «</w:t>
      </w:r>
      <w:r w:rsidR="00844730">
        <w:rPr>
          <w:rFonts w:hint="cs"/>
          <w:rtl/>
        </w:rPr>
        <w:t>انهم حجتی علیکم</w:t>
      </w:r>
      <w:r>
        <w:rPr>
          <w:rFonts w:hint="cs"/>
          <w:rtl/>
        </w:rPr>
        <w:t>»</w:t>
      </w:r>
      <w:r w:rsidR="00565BA0">
        <w:rPr>
          <w:rFonts w:hint="cs"/>
          <w:rtl/>
        </w:rPr>
        <w:t>-</w:t>
      </w:r>
      <w:r>
        <w:rPr>
          <w:rFonts w:hint="cs"/>
          <w:rtl/>
        </w:rPr>
        <w:t xml:space="preserve"> عنوان منجز و معذر بودن را انشاء می‌کند و وقتی به مکلف واصل شود </w:t>
      </w:r>
      <w:r w:rsidR="00844730">
        <w:rPr>
          <w:rFonts w:hint="cs"/>
          <w:rtl/>
        </w:rPr>
        <w:t xml:space="preserve">عقل حکم به تنجیز و تعذیر می‌‌کند. </w:t>
      </w:r>
      <w:r w:rsidR="00844730" w:rsidRPr="00D1581A">
        <w:rPr>
          <w:rtl/>
        </w:rPr>
        <w:t>پ</w:t>
      </w:r>
      <w:r>
        <w:rPr>
          <w:rFonts w:hint="cs"/>
          <w:rtl/>
        </w:rPr>
        <w:t xml:space="preserve">س </w:t>
      </w:r>
      <w:r w:rsidR="00844730">
        <w:rPr>
          <w:rFonts w:hint="cs"/>
          <w:rtl/>
        </w:rPr>
        <w:t>این عبارت منافات با مسلک جعل منجزیت و معذریت برای امارات ندارد.</w:t>
      </w:r>
    </w:p>
    <w:p w14:paraId="3B9CCB22" w14:textId="77777777" w:rsidR="00844730" w:rsidRDefault="00EB5AE2" w:rsidP="004C6C03">
      <w:pPr>
        <w:jc w:val="both"/>
        <w:rPr>
          <w:rtl/>
        </w:rPr>
      </w:pPr>
      <w:r>
        <w:rPr>
          <w:rFonts w:hint="cs"/>
          <w:rtl/>
        </w:rPr>
        <w:lastRenderedPageBreak/>
        <w:t xml:space="preserve">و </w:t>
      </w:r>
      <w:r w:rsidR="00844730">
        <w:rPr>
          <w:rFonts w:hint="cs"/>
          <w:rtl/>
        </w:rPr>
        <w:t xml:space="preserve">طبق </w:t>
      </w:r>
      <w:r w:rsidR="00565BA0">
        <w:rPr>
          <w:rFonts w:hint="cs"/>
          <w:rtl/>
        </w:rPr>
        <w:t xml:space="preserve">این </w:t>
      </w:r>
      <w:r w:rsidR="00844730">
        <w:rPr>
          <w:rFonts w:hint="cs"/>
          <w:rtl/>
        </w:rPr>
        <w:t>مسلک</w:t>
      </w:r>
      <w:r w:rsidR="00565BA0">
        <w:rPr>
          <w:rFonts w:hint="cs"/>
          <w:rtl/>
        </w:rPr>
        <w:t>،</w:t>
      </w:r>
      <w:r>
        <w:rPr>
          <w:rFonts w:hint="cs"/>
          <w:rtl/>
        </w:rPr>
        <w:t xml:space="preserve"> لحاظ</w:t>
      </w:r>
      <w:r w:rsidR="00844730">
        <w:rPr>
          <w:rFonts w:hint="cs"/>
          <w:rtl/>
        </w:rPr>
        <w:t xml:space="preserve"> </w:t>
      </w:r>
      <w:r>
        <w:rPr>
          <w:rFonts w:hint="cs"/>
          <w:rtl/>
        </w:rPr>
        <w:t>«خبر الثقة علم» حتی در قیام قطع طریقی محض نیز</w:t>
      </w:r>
      <w:r w:rsidR="00844730">
        <w:rPr>
          <w:rFonts w:hint="cs"/>
          <w:rtl/>
        </w:rPr>
        <w:t xml:space="preserve"> استقلالی است </w:t>
      </w:r>
      <w:r>
        <w:rPr>
          <w:rFonts w:hint="cs"/>
          <w:rtl/>
        </w:rPr>
        <w:t>زیرا</w:t>
      </w:r>
      <w:r w:rsidR="00844730">
        <w:rPr>
          <w:rFonts w:hint="cs"/>
          <w:rtl/>
        </w:rPr>
        <w:t xml:space="preserve"> اثر خود قطع را که منجزیت و معذریت است می‌‌خواهد</w:t>
      </w:r>
      <w:r w:rsidR="00BB1B5B">
        <w:rPr>
          <w:rFonts w:hint="cs"/>
          <w:rtl/>
        </w:rPr>
        <w:t xml:space="preserve"> برای خبر ثقه انشاء کند.</w:t>
      </w:r>
    </w:p>
    <w:p w14:paraId="0929A1D5" w14:textId="77777777" w:rsidR="00844730" w:rsidRDefault="00844730" w:rsidP="004C6C03">
      <w:pPr>
        <w:pStyle w:val="Heading4"/>
        <w:jc w:val="both"/>
        <w:rPr>
          <w:rtl/>
        </w:rPr>
      </w:pPr>
      <w:r>
        <w:rPr>
          <w:rFonts w:hint="cs"/>
          <w:rtl/>
        </w:rPr>
        <w:t>اضطراب در کلمات مرحوم شیخ در رسائل</w:t>
      </w:r>
    </w:p>
    <w:p w14:paraId="1D3230FD" w14:textId="77777777" w:rsidR="00FF0F09" w:rsidRPr="00D62F0F" w:rsidRDefault="00565BA0" w:rsidP="008D3D6B">
      <w:pPr>
        <w:pStyle w:val="NormalWeb"/>
        <w:bidi/>
        <w:jc w:val="both"/>
        <w:rPr>
          <w:rFonts w:ascii="NoorLotus" w:hAnsi="NoorLotus" w:cs="NoorLotus"/>
          <w:sz w:val="28"/>
          <w:szCs w:val="28"/>
          <w:rtl/>
        </w:rPr>
      </w:pPr>
      <w:r w:rsidRPr="00D62F0F">
        <w:rPr>
          <w:rFonts w:ascii="NoorLotus" w:hAnsi="NoorLotus" w:cs="NoorLotus"/>
          <w:sz w:val="28"/>
          <w:szCs w:val="28"/>
          <w:rtl/>
        </w:rPr>
        <w:t xml:space="preserve">ما در جلسه قبل توجیه کردیم که شاید مرحوم صاحب کفایه در اینجا خواسته اند مسلک شیخ انصاری را رعایت کنند اما </w:t>
      </w:r>
      <w:r w:rsidR="006B55A6" w:rsidRPr="00D62F0F">
        <w:rPr>
          <w:rFonts w:ascii="NoorLotus" w:hAnsi="NoorLotus" w:cs="NoorLotus"/>
          <w:sz w:val="28"/>
          <w:szCs w:val="28"/>
          <w:rtl/>
        </w:rPr>
        <w:t>کلام مرحوم شیخ انصاری رحمه الله مجمل است. ظاهر کلام ایشان در چند مورد</w:t>
      </w:r>
      <w:r w:rsidRPr="00D62F0F">
        <w:rPr>
          <w:rFonts w:ascii="NoorLotus" w:hAnsi="NoorLotus" w:cs="NoorLotus"/>
          <w:sz w:val="28"/>
          <w:szCs w:val="28"/>
          <w:rtl/>
        </w:rPr>
        <w:t xml:space="preserve"> در جلد اول،</w:t>
      </w:r>
      <w:r w:rsidR="006B55A6" w:rsidRPr="00D62F0F">
        <w:rPr>
          <w:rFonts w:ascii="NoorLotus" w:hAnsi="NoorLotus" w:cs="NoorLotus"/>
          <w:sz w:val="28"/>
          <w:szCs w:val="28"/>
          <w:rtl/>
        </w:rPr>
        <w:t xml:space="preserve"> همین مسلک جعل حکم مماثل است زیرا ایشان فرموده‌اند: «مظنون الخمریة یجب الاجتناب عنه شرعا»</w:t>
      </w:r>
      <w:r w:rsidR="00EF7ECD" w:rsidRPr="00D62F0F">
        <w:rPr>
          <w:rStyle w:val="FootnoteReference"/>
          <w:rFonts w:ascii="NoorLotus" w:hAnsi="NoorLotus" w:cs="NoorLotus"/>
          <w:sz w:val="28"/>
          <w:szCs w:val="28"/>
          <w:rtl/>
        </w:rPr>
        <w:footnoteReference w:id="5"/>
      </w:r>
      <w:r w:rsidR="006B55A6" w:rsidRPr="00D62F0F">
        <w:rPr>
          <w:rFonts w:ascii="NoorLotus" w:hAnsi="NoorLotus" w:cs="NoorLotus"/>
          <w:sz w:val="28"/>
          <w:szCs w:val="28"/>
          <w:rtl/>
        </w:rPr>
        <w:t xml:space="preserve"> و مراد از مظنون الخمریة ظن نوعی بر اساس خبر ثقه است. ولی در بعضی از عبارات دیگر ایشان ممکن است مسلک جعل علمیت و طریقیت استظهار شود زیرا فرموده‌اند: «اذا کان فی مورد الشک امارة تزیل الشک»</w:t>
      </w:r>
      <w:r w:rsidR="00EF7ECD" w:rsidRPr="00D62F0F">
        <w:rPr>
          <w:rStyle w:val="FootnoteReference"/>
          <w:rFonts w:ascii="NoorLotus" w:hAnsi="NoorLotus" w:cs="NoorLotus"/>
          <w:sz w:val="28"/>
          <w:szCs w:val="28"/>
          <w:rtl/>
        </w:rPr>
        <w:footnoteReference w:id="6"/>
      </w:r>
      <w:r w:rsidR="00FF0F09" w:rsidRPr="00D62F0F">
        <w:rPr>
          <w:rFonts w:ascii="NoorLotus" w:hAnsi="NoorLotus" w:cs="NoorLotus"/>
          <w:sz w:val="28"/>
          <w:szCs w:val="28"/>
          <w:rtl/>
        </w:rPr>
        <w:t xml:space="preserve"> و </w:t>
      </w:r>
      <w:r w:rsidRPr="00D62F0F">
        <w:rPr>
          <w:rFonts w:ascii="NoorLotus" w:hAnsi="NoorLotus" w:cs="NoorLotus"/>
          <w:sz w:val="28"/>
          <w:szCs w:val="28"/>
          <w:rtl/>
        </w:rPr>
        <w:t>نقول قد جعل الشارع للشي‏ء المحتمل للحل و الحرمة حكما شرعيا أعني الحل ثم حكم بأن الأمارة الفلانية كخبر العادل الدال على حرمة العصير حجة بمعنى أنه لا يعبأ باحتمال‏ مخالفة مؤداه‏ للواقع فاحتمال حلية العصير المخالف للأمارة بمنزلة العدم لا يترتب عليه حكم شرعي كأن يترتب عليه لو لا هذه الأمارة و هو ما ذكرنا من الحكم بالحلية الظاهرية فمؤدى الأمارات بحكم الشارع كالمعلوم‏</w:t>
      </w:r>
      <w:r w:rsidRPr="00D62F0F">
        <w:rPr>
          <w:rStyle w:val="FootnoteReference"/>
          <w:rFonts w:ascii="NoorLotus" w:eastAsiaTheme="majorEastAsia" w:hAnsi="NoorLotus" w:cs="NoorLotus"/>
          <w:sz w:val="28"/>
          <w:szCs w:val="28"/>
          <w:rtl/>
        </w:rPr>
        <w:footnoteReference w:id="7"/>
      </w:r>
      <w:r w:rsidR="008D3D6B" w:rsidRPr="00D62F0F">
        <w:rPr>
          <w:rFonts w:ascii="NoorLotus" w:hAnsi="NoorLotus" w:cs="NoorLotus"/>
          <w:sz w:val="28"/>
          <w:szCs w:val="28"/>
          <w:rtl/>
        </w:rPr>
        <w:t xml:space="preserve"> </w:t>
      </w:r>
      <w:r w:rsidRPr="00D62F0F">
        <w:rPr>
          <w:rFonts w:ascii="NoorLotus" w:hAnsi="NoorLotus" w:cs="NoorLotus"/>
          <w:sz w:val="28"/>
          <w:szCs w:val="28"/>
          <w:rtl/>
        </w:rPr>
        <w:t xml:space="preserve"> </w:t>
      </w:r>
      <w:r w:rsidR="00FF0F09" w:rsidRPr="00D62F0F">
        <w:rPr>
          <w:rFonts w:ascii="NoorLotus" w:hAnsi="NoorLotus" w:cs="NoorLotus"/>
          <w:sz w:val="28"/>
          <w:szCs w:val="28"/>
          <w:rtl/>
        </w:rPr>
        <w:t>که ظاهر آن جعل طریقیت است. و کلام ایشان در جلد اول بنا بر مسلک مشهور بوده است.</w:t>
      </w:r>
    </w:p>
    <w:p w14:paraId="298E0DC3" w14:textId="77777777" w:rsidR="00FF0F09" w:rsidRDefault="00FF0F09" w:rsidP="004C6C03">
      <w:pPr>
        <w:jc w:val="both"/>
        <w:rPr>
          <w:rtl/>
        </w:rPr>
      </w:pPr>
      <w:r>
        <w:rPr>
          <w:rFonts w:hint="cs"/>
          <w:rtl/>
        </w:rPr>
        <w:t xml:space="preserve">بنابراین کلام مرحوم آخوند رحمه الله </w:t>
      </w:r>
      <w:r w:rsidR="008D3D6B">
        <w:rPr>
          <w:rFonts w:hint="cs"/>
          <w:rtl/>
        </w:rPr>
        <w:t xml:space="preserve">نه </w:t>
      </w:r>
      <w:r>
        <w:rPr>
          <w:rFonts w:hint="cs"/>
          <w:rtl/>
        </w:rPr>
        <w:t xml:space="preserve">طبق مسلک خود ایشان و </w:t>
      </w:r>
      <w:r w:rsidR="008D3D6B">
        <w:rPr>
          <w:rFonts w:hint="cs"/>
          <w:rtl/>
        </w:rPr>
        <w:t xml:space="preserve">نه طبق مسلک واضح </w:t>
      </w:r>
      <w:r>
        <w:rPr>
          <w:rFonts w:hint="cs"/>
          <w:rtl/>
        </w:rPr>
        <w:t xml:space="preserve">شیخ انصاری </w:t>
      </w:r>
      <w:r w:rsidR="008D3D6B">
        <w:rPr>
          <w:rFonts w:hint="cs"/>
          <w:rtl/>
        </w:rPr>
        <w:t>ر</w:t>
      </w:r>
      <w:r>
        <w:rPr>
          <w:rFonts w:hint="cs"/>
          <w:rtl/>
        </w:rPr>
        <w:t>حمه</w:t>
      </w:r>
      <w:r w:rsidR="008D3D6B">
        <w:rPr>
          <w:rFonts w:hint="cs"/>
          <w:rtl/>
        </w:rPr>
        <w:t>ما</w:t>
      </w:r>
      <w:r>
        <w:rPr>
          <w:rFonts w:hint="cs"/>
          <w:rtl/>
        </w:rPr>
        <w:t xml:space="preserve"> الله مطرح نمی‌شود. </w:t>
      </w:r>
    </w:p>
    <w:p w14:paraId="49B2BFFD" w14:textId="77777777" w:rsidR="00844730" w:rsidRDefault="00844730" w:rsidP="004C6C03">
      <w:pPr>
        <w:pStyle w:val="Heading4"/>
        <w:jc w:val="both"/>
        <w:rPr>
          <w:rtl/>
        </w:rPr>
      </w:pPr>
      <w:r>
        <w:rPr>
          <w:rFonts w:hint="cs"/>
          <w:rtl/>
        </w:rPr>
        <w:t>اشکال دوم</w:t>
      </w:r>
    </w:p>
    <w:p w14:paraId="697C380E" w14:textId="77777777" w:rsidR="00FF0F09" w:rsidRDefault="00FF0F09" w:rsidP="00435BCA">
      <w:pPr>
        <w:jc w:val="both"/>
        <w:rPr>
          <w:rtl/>
        </w:rPr>
      </w:pPr>
      <w:r w:rsidRPr="00B85F76">
        <w:rPr>
          <w:rFonts w:hint="cs"/>
          <w:rtl/>
        </w:rPr>
        <w:t>این بیان مبتنی بر وجود خطاب لفظی بر اعتبار اماره است در حالی که در نظر مشهور عمده دلیل اعتبار امارات سیره عقلاییه و متشرعیه است ولو ما سیره عقلاییه بر حجیت خبر ثقه‌ای که</w:t>
      </w:r>
      <w:r>
        <w:rPr>
          <w:rFonts w:hint="cs"/>
          <w:rtl/>
        </w:rPr>
        <w:t xml:space="preserve"> موجب وثوق نوعی نشود را احراز نکردیم و به صحیحه حمیری یعنی «فاسمع له و اطع فانه الثقة المأمون» که موثوق ‌الصدور بلکه قطعی الصدور است استدلال کردیم. </w:t>
      </w:r>
      <w:r w:rsidR="00125CB4">
        <w:rPr>
          <w:rFonts w:hint="cs"/>
          <w:rtl/>
        </w:rPr>
        <w:t xml:space="preserve">لذا بنابر نظر مشهور باید سیره عقلائیه و متشرعیه بررسی شود که آن‌ها با امارات چه معامله‌ای می‌کنند آیا اماره را </w:t>
      </w:r>
      <w:r w:rsidR="00435BCA">
        <w:rPr>
          <w:rFonts w:hint="cs"/>
          <w:rtl/>
        </w:rPr>
        <w:t xml:space="preserve">هم </w:t>
      </w:r>
      <w:r w:rsidR="00125CB4">
        <w:rPr>
          <w:rFonts w:hint="cs"/>
          <w:rtl/>
        </w:rPr>
        <w:t>قائم قطع طریقی محض و</w:t>
      </w:r>
      <w:r w:rsidR="00435BCA">
        <w:rPr>
          <w:rFonts w:hint="cs"/>
          <w:rtl/>
        </w:rPr>
        <w:t xml:space="preserve"> هم قائم مقام</w:t>
      </w:r>
      <w:r w:rsidR="00125CB4">
        <w:rPr>
          <w:rFonts w:hint="cs"/>
          <w:rtl/>
        </w:rPr>
        <w:t xml:space="preserve"> قطع موضوعی طریقی می‌کنند یا </w:t>
      </w:r>
      <w:r w:rsidR="00435BCA">
        <w:rPr>
          <w:rFonts w:hint="cs"/>
          <w:rtl/>
        </w:rPr>
        <w:t>تنها</w:t>
      </w:r>
      <w:r w:rsidR="00125CB4">
        <w:rPr>
          <w:rFonts w:hint="cs"/>
          <w:rtl/>
        </w:rPr>
        <w:t xml:space="preserve"> قائم مقام قطع طریقی محض می‌کنند، و در </w:t>
      </w:r>
      <w:r w:rsidR="00125CB4">
        <w:rPr>
          <w:rFonts w:hint="cs"/>
          <w:rtl/>
        </w:rPr>
        <w:lastRenderedPageBreak/>
        <w:t xml:space="preserve">صورت شک نیز </w:t>
      </w:r>
      <w:r w:rsidR="00435BCA">
        <w:rPr>
          <w:rFonts w:hint="cs"/>
          <w:rtl/>
        </w:rPr>
        <w:t xml:space="preserve">چون </w:t>
      </w:r>
      <w:r w:rsidR="00125CB4">
        <w:rPr>
          <w:rFonts w:hint="cs"/>
          <w:rtl/>
        </w:rPr>
        <w:t>دلیل</w:t>
      </w:r>
      <w:r w:rsidR="00435BCA">
        <w:rPr>
          <w:rFonts w:hint="cs"/>
          <w:rtl/>
        </w:rPr>
        <w:t>،</w:t>
      </w:r>
      <w:r w:rsidR="00125CB4">
        <w:rPr>
          <w:rFonts w:hint="cs"/>
          <w:rtl/>
        </w:rPr>
        <w:t xml:space="preserve"> لبی است و اطلاق ندارد به قدر متیقن آن که قائم مقام قطع طریقی محض است، اخذ می‌شود. </w:t>
      </w:r>
    </w:p>
    <w:p w14:paraId="5D7F678C" w14:textId="77777777" w:rsidR="00125CB4" w:rsidRDefault="00125CB4" w:rsidP="004C6C03">
      <w:pPr>
        <w:jc w:val="both"/>
        <w:rPr>
          <w:rtl/>
        </w:rPr>
      </w:pPr>
      <w:r>
        <w:rPr>
          <w:rFonts w:hint="cs"/>
          <w:rtl/>
        </w:rPr>
        <w:t xml:space="preserve">البته ما نیز که قائل به وجود دلیل لفظی مثل صحیحه حمیری بر اعتبار خبر واحد هستیم، فقط امر به اتباع خبر ثقه را از آن استفاده کردیم، و مفاد آن فقط بیان وثاقت یک شخص است نه تعبد تا از آن جعل علمیت یا جعل حکم مماثل استفاده شود. </w:t>
      </w:r>
    </w:p>
    <w:p w14:paraId="7BB4465D" w14:textId="77777777" w:rsidR="00844730" w:rsidRDefault="00844730" w:rsidP="004C6C03">
      <w:pPr>
        <w:pStyle w:val="Heading4"/>
        <w:jc w:val="both"/>
        <w:rPr>
          <w:rtl/>
        </w:rPr>
      </w:pPr>
      <w:r>
        <w:rPr>
          <w:rFonts w:hint="cs"/>
          <w:rtl/>
        </w:rPr>
        <w:t xml:space="preserve">مناقشه در تطبیق مسلک تنزیل المؤدی </w:t>
      </w:r>
      <w:r w:rsidR="00435BCA">
        <w:rPr>
          <w:rFonts w:hint="cs"/>
          <w:rtl/>
        </w:rPr>
        <w:t xml:space="preserve">منزلة الواقع </w:t>
      </w:r>
      <w:r>
        <w:rPr>
          <w:rFonts w:hint="cs"/>
          <w:rtl/>
        </w:rPr>
        <w:t>بر استصحاب و قاعده فراغ و تجاوز</w:t>
      </w:r>
    </w:p>
    <w:p w14:paraId="4DFC5C30" w14:textId="77777777" w:rsidR="00337C71" w:rsidRDefault="00337C71" w:rsidP="004C6C03">
      <w:pPr>
        <w:jc w:val="both"/>
        <w:rPr>
          <w:rtl/>
        </w:rPr>
      </w:pPr>
      <w:r>
        <w:rPr>
          <w:rFonts w:hint="cs"/>
          <w:rtl/>
        </w:rPr>
        <w:t xml:space="preserve">ان قلت: گرچه مبنای صاحب کفایه رحمه الله در امارات جعل منجزیت و معذریت است ولی ایشان در استصحاب قائل به جعل حکم مماثل و تنزیل المستصحب منزلة الواقع است یعنی شارع حکم واقع را برای شک در بقاء جعل می‌کند، و مدلول التزامی آن طبق این تقریب </w:t>
      </w:r>
      <w:r w:rsidR="00435BCA">
        <w:rPr>
          <w:rFonts w:hint="cs"/>
          <w:rtl/>
        </w:rPr>
        <w:t xml:space="preserve">ایشان در حاشیه رسائل، </w:t>
      </w:r>
      <w:r>
        <w:rPr>
          <w:rFonts w:hint="cs"/>
          <w:rtl/>
        </w:rPr>
        <w:t>تنزیل العلم بالواقع التنزیلی منزلة العلم بالواقع الحقیقی است. (لذا استصحاب جانشین قطع طریقی محض و طریقی موضوعی هر دو می‌شود، و به اولویت عرفیه امارات نیز جانشین هر دو قطع می‌شود.)</w:t>
      </w:r>
    </w:p>
    <w:p w14:paraId="656987C2" w14:textId="77777777" w:rsidR="00337C71" w:rsidRDefault="00337C71" w:rsidP="00E42DC0">
      <w:pPr>
        <w:jc w:val="both"/>
        <w:rPr>
          <w:rtl/>
        </w:rPr>
      </w:pPr>
      <w:r>
        <w:rPr>
          <w:rFonts w:hint="cs"/>
          <w:rtl/>
        </w:rPr>
        <w:t>قلت: اولا: این اولویت عرفیه ثابت نیست. ثانیا: به نظر ما مفاد دلیل اعتبار استصحاب تنزیل المستصحب منزلة‌ الواقع نیست بلکه مفاد آن نهی طریقی از نقض عملی یقین به شک است یعنی عملا یقین سابق را با شک لاحق نقض عملی نکنید</w:t>
      </w:r>
      <w:r w:rsidR="00E42DC0">
        <w:rPr>
          <w:rFonts w:hint="cs"/>
          <w:rtl/>
        </w:rPr>
        <w:t xml:space="preserve"> </w:t>
      </w:r>
      <w:r>
        <w:rPr>
          <w:rFonts w:hint="cs"/>
          <w:rtl/>
        </w:rPr>
        <w:t>و آثار یقین طریقی یعنی تنجیز و تعذیر هنوز هم باقی است.</w:t>
      </w:r>
    </w:p>
    <w:p w14:paraId="1C8A1404" w14:textId="77777777" w:rsidR="00BD48EF" w:rsidRDefault="00337C71" w:rsidP="00E42DC0">
      <w:pPr>
        <w:jc w:val="both"/>
        <w:rPr>
          <w:rtl/>
        </w:rPr>
      </w:pPr>
      <w:r>
        <w:rPr>
          <w:rFonts w:hint="cs"/>
          <w:rtl/>
        </w:rPr>
        <w:t>همچنین ظاهر</w:t>
      </w:r>
      <w:r w:rsidR="00844730">
        <w:rPr>
          <w:rFonts w:hint="cs"/>
          <w:rtl/>
        </w:rPr>
        <w:t xml:space="preserve"> قاعده فراغ و تجاوز</w:t>
      </w:r>
      <w:r>
        <w:rPr>
          <w:rFonts w:hint="cs"/>
          <w:rtl/>
        </w:rPr>
        <w:t xml:space="preserve"> نیز  بیش از اثبات</w:t>
      </w:r>
      <w:r w:rsidR="00844730">
        <w:rPr>
          <w:rFonts w:hint="cs"/>
          <w:rtl/>
        </w:rPr>
        <w:t xml:space="preserve"> منجزیت و معذریت</w:t>
      </w:r>
      <w:r>
        <w:rPr>
          <w:rFonts w:hint="cs"/>
          <w:rtl/>
        </w:rPr>
        <w:t xml:space="preserve"> نیست و از آن تنزیل استفاده نمی‌شود. زیرا وقتی شارع می‌گوید: «در مقام امتثال در صورت شک در رکوع مثلا بنا بر اتیان رکوع بگذارید» مراد این است که به شک خود اعتناء نکنید و معذور هستید و از آن «تنزیل الشک فی الرکوع بعد التجاوز منزلة الرکوع الواقعی» استفاده نمی‌شود </w:t>
      </w:r>
      <w:r w:rsidR="00BD48EF">
        <w:rPr>
          <w:rFonts w:hint="cs"/>
          <w:rtl/>
        </w:rPr>
        <w:t xml:space="preserve">زیرا رکوع اثر شرعی ندارد تا بخواهد با این تنزیل آن اثر را مترتب کند. علاوه بر این که ولو رکوع دارای اثر شرعی سقوط تکلیف </w:t>
      </w:r>
      <w:r w:rsidR="00E42DC0">
        <w:rPr>
          <w:rFonts w:hint="cs"/>
          <w:rtl/>
        </w:rPr>
        <w:t xml:space="preserve">به </w:t>
      </w:r>
      <w:r w:rsidR="0061790E">
        <w:rPr>
          <w:rFonts w:hint="cs"/>
          <w:rtl/>
        </w:rPr>
        <w:t>نماز است و شارع بتواند</w:t>
      </w:r>
      <w:r w:rsidR="00BD48EF">
        <w:rPr>
          <w:rFonts w:hint="cs"/>
          <w:rtl/>
        </w:rPr>
        <w:t xml:space="preserve"> این اثر</w:t>
      </w:r>
      <w:r w:rsidR="0061790E">
        <w:rPr>
          <w:rFonts w:hint="cs"/>
          <w:rtl/>
        </w:rPr>
        <w:t xml:space="preserve"> </w:t>
      </w:r>
      <w:r w:rsidR="00E42DC0">
        <w:rPr>
          <w:rFonts w:hint="cs"/>
          <w:rtl/>
        </w:rPr>
        <w:t xml:space="preserve">را </w:t>
      </w:r>
      <w:r w:rsidR="0061790E">
        <w:rPr>
          <w:rFonts w:hint="cs"/>
          <w:rtl/>
        </w:rPr>
        <w:t xml:space="preserve">برای مشکوک الرکوع نیز جعل کند که همین نیز محل بحث است و شهید صدر رحمه الله سقوط تکلیف را حکم </w:t>
      </w:r>
      <w:r w:rsidR="00E42DC0">
        <w:rPr>
          <w:rFonts w:hint="cs"/>
          <w:rtl/>
        </w:rPr>
        <w:t>عقل می‌دا</w:t>
      </w:r>
      <w:r w:rsidR="0061790E">
        <w:rPr>
          <w:rFonts w:hint="cs"/>
          <w:rtl/>
        </w:rPr>
        <w:t>ند که ربطی به شارع ندارد، ولی از «بلی قد رکعت» «تنزیل الشک فی الرکوع بعد التجاوز منزلة‌ الرکوع الواقعی» استفاده نمی‌شود. بلکه آن فقط یک بیان عرفی است که ظهور در عدم اعتناء به شک دارد.</w:t>
      </w:r>
    </w:p>
    <w:p w14:paraId="782E9E90" w14:textId="77777777" w:rsidR="00844730" w:rsidRDefault="00844730" w:rsidP="004C6C03">
      <w:pPr>
        <w:pStyle w:val="Heading4"/>
        <w:jc w:val="both"/>
        <w:rPr>
          <w:rtl/>
        </w:rPr>
      </w:pPr>
      <w:r>
        <w:rPr>
          <w:rFonts w:hint="cs"/>
          <w:rtl/>
        </w:rPr>
        <w:t>اشکال سوم</w:t>
      </w:r>
    </w:p>
    <w:p w14:paraId="2F85F499" w14:textId="77777777" w:rsidR="00844730" w:rsidRDefault="00125CB4" w:rsidP="00E42DC0">
      <w:pPr>
        <w:jc w:val="both"/>
        <w:rPr>
          <w:rtl/>
        </w:rPr>
      </w:pPr>
      <w:r>
        <w:rPr>
          <w:rFonts w:hint="cs"/>
          <w:rtl/>
        </w:rPr>
        <w:t xml:space="preserve">این </w:t>
      </w:r>
      <w:r w:rsidR="00683093">
        <w:rPr>
          <w:rFonts w:hint="cs"/>
          <w:rtl/>
        </w:rPr>
        <w:t xml:space="preserve">که </w:t>
      </w:r>
      <w:r w:rsidR="00E42DC0">
        <w:rPr>
          <w:rFonts w:hint="cs"/>
          <w:rtl/>
        </w:rPr>
        <w:t>صاحب کفایه در حاشیه رسائل فرمود:</w:t>
      </w:r>
      <w:r w:rsidR="00683093">
        <w:rPr>
          <w:rFonts w:hint="cs"/>
          <w:rtl/>
        </w:rPr>
        <w:t xml:space="preserve"> «شارع در مواردی که می‌خواهد خبر ثقه را قائم مقام قطع طریقی محض کند، علم را به نحو </w:t>
      </w:r>
      <w:r w:rsidR="00E42DC0">
        <w:rPr>
          <w:rFonts w:hint="cs"/>
          <w:rtl/>
        </w:rPr>
        <w:t>آلی</w:t>
      </w:r>
      <w:r w:rsidR="00683093">
        <w:rPr>
          <w:rFonts w:hint="cs"/>
          <w:rtl/>
        </w:rPr>
        <w:t xml:space="preserve"> لحاظ می‌کند. و ظاهر لفظ علم نیز همین است که به نحو </w:t>
      </w:r>
      <w:r w:rsidR="00E42DC0">
        <w:rPr>
          <w:rFonts w:hint="cs"/>
          <w:rtl/>
        </w:rPr>
        <w:t>آلی</w:t>
      </w:r>
      <w:r w:rsidR="00683093">
        <w:rPr>
          <w:rFonts w:hint="cs"/>
          <w:rtl/>
        </w:rPr>
        <w:t xml:space="preserve"> لحاظ شده است» خلط بین </w:t>
      </w:r>
      <w:r w:rsidR="00844730">
        <w:rPr>
          <w:rFonts w:hint="cs"/>
          <w:rtl/>
        </w:rPr>
        <w:t>مفهوم علم و واقع علم</w:t>
      </w:r>
      <w:r w:rsidR="00683093">
        <w:rPr>
          <w:rFonts w:hint="cs"/>
          <w:rtl/>
        </w:rPr>
        <w:t xml:space="preserve"> است، </w:t>
      </w:r>
      <w:r w:rsidR="00683093">
        <w:rPr>
          <w:rFonts w:hint="cs"/>
          <w:rtl/>
        </w:rPr>
        <w:lastRenderedPageBreak/>
        <w:t xml:space="preserve">شخص عالم عادتا به واقع علم خود لحاظ استقلالی ندارد و التفات تفصیلی به آن ندارد بلکه  ‌واقع معلوم را لحاظ می‌کند </w:t>
      </w:r>
      <w:r w:rsidR="00844730">
        <w:rPr>
          <w:rFonts w:hint="cs"/>
          <w:rtl/>
        </w:rPr>
        <w:t>ی</w:t>
      </w:r>
      <w:r w:rsidR="00683093">
        <w:rPr>
          <w:rFonts w:hint="cs"/>
          <w:rtl/>
        </w:rPr>
        <w:t xml:space="preserve">عنی صورت ذهنیه‌ خود </w:t>
      </w:r>
      <w:r w:rsidR="00844730">
        <w:rPr>
          <w:rFonts w:hint="cs"/>
          <w:rtl/>
        </w:rPr>
        <w:t>را فانی</w:t>
      </w:r>
      <w:r w:rsidR="00683093">
        <w:rPr>
          <w:rFonts w:hint="cs"/>
          <w:rtl/>
        </w:rPr>
        <w:t xml:space="preserve"> در واقع می‌‌بینید و تصورا فکر می‌کند آن چیزی که در ذهنش است همان واقع است. و این ربطی به مفهوم علم ندارد لذا وقتی گفته می‌شود «</w:t>
      </w:r>
      <w:r w:rsidR="00844730">
        <w:rPr>
          <w:rFonts w:hint="cs"/>
          <w:rtl/>
        </w:rPr>
        <w:t>ز گهواره تا گور دانش بجوی</w:t>
      </w:r>
      <w:r w:rsidR="00683093">
        <w:rPr>
          <w:rFonts w:hint="cs"/>
          <w:rtl/>
        </w:rPr>
        <w:t xml:space="preserve">» این «دانش» به نحو آلی لحاظ نشده است بلکه استقلالا به آن لحاظ شده است و مراد طلب </w:t>
      </w:r>
      <w:r w:rsidR="006D30C8">
        <w:rPr>
          <w:rFonts w:hint="cs"/>
          <w:rtl/>
        </w:rPr>
        <w:t xml:space="preserve">خود علم و دانش است نه طلب واقع، اصلا </w:t>
      </w:r>
      <w:r w:rsidR="00E42DC0">
        <w:rPr>
          <w:rFonts w:hint="cs"/>
          <w:rtl/>
        </w:rPr>
        <w:t xml:space="preserve">در </w:t>
      </w:r>
      <w:r w:rsidR="006D30C8">
        <w:rPr>
          <w:rFonts w:hint="cs"/>
          <w:rtl/>
        </w:rPr>
        <w:t>مفهوم علم و خبر ثقه</w:t>
      </w:r>
      <w:r w:rsidR="00844730">
        <w:rPr>
          <w:rFonts w:hint="cs"/>
          <w:rtl/>
        </w:rPr>
        <w:t xml:space="preserve"> لحاظ آلی </w:t>
      </w:r>
      <w:r w:rsidR="006D30C8">
        <w:rPr>
          <w:rFonts w:hint="cs"/>
          <w:rtl/>
        </w:rPr>
        <w:t xml:space="preserve">در واقع و در مؤدی </w:t>
      </w:r>
      <w:r w:rsidR="00844730">
        <w:rPr>
          <w:rFonts w:hint="cs"/>
          <w:rtl/>
        </w:rPr>
        <w:t>نمی‌شو</w:t>
      </w:r>
      <w:r w:rsidR="006D30C8">
        <w:rPr>
          <w:rFonts w:hint="cs"/>
          <w:rtl/>
        </w:rPr>
        <w:t>ن</w:t>
      </w:r>
      <w:r w:rsidR="00844730">
        <w:rPr>
          <w:rFonts w:hint="cs"/>
          <w:rtl/>
        </w:rPr>
        <w:t xml:space="preserve">د </w:t>
      </w:r>
      <w:r w:rsidR="006D30C8">
        <w:rPr>
          <w:rFonts w:hint="cs"/>
          <w:rtl/>
        </w:rPr>
        <w:t>و نزد عرف مستهجن است کسی بگوید «خبر ثقه</w:t>
      </w:r>
      <w:r w:rsidR="00E42DC0">
        <w:rPr>
          <w:rFonts w:hint="cs"/>
          <w:rtl/>
        </w:rPr>
        <w:t xml:space="preserve">» و مرادش مؤدای خبر ثقه باشد </w:t>
      </w:r>
      <w:r w:rsidR="006D30C8">
        <w:rPr>
          <w:rFonts w:hint="cs"/>
          <w:rtl/>
        </w:rPr>
        <w:t xml:space="preserve"> یا </w:t>
      </w:r>
      <w:r w:rsidR="00E42DC0">
        <w:rPr>
          <w:rFonts w:hint="cs"/>
          <w:rtl/>
        </w:rPr>
        <w:t>بگوید «</w:t>
      </w:r>
      <w:r w:rsidR="006D30C8">
        <w:rPr>
          <w:rFonts w:hint="cs"/>
          <w:rtl/>
        </w:rPr>
        <w:t xml:space="preserve">علم» و مرادش واقع علم باشد. </w:t>
      </w:r>
    </w:p>
    <w:p w14:paraId="410555D8" w14:textId="77777777" w:rsidR="006D30C8" w:rsidRDefault="006D30C8" w:rsidP="004C6C03">
      <w:pPr>
        <w:jc w:val="both"/>
        <w:rPr>
          <w:rtl/>
        </w:rPr>
      </w:pPr>
      <w:r>
        <w:rPr>
          <w:rFonts w:hint="cs"/>
          <w:rtl/>
        </w:rPr>
        <w:t>و ممکن است مراد ایشان از «لحاظ آلی» بیان کنایی باشد یعنی</w:t>
      </w:r>
      <w:r w:rsidR="00844730">
        <w:rPr>
          <w:rFonts w:hint="cs"/>
          <w:rtl/>
        </w:rPr>
        <w:t xml:space="preserve"> </w:t>
      </w:r>
      <w:r>
        <w:rPr>
          <w:rFonts w:hint="cs"/>
          <w:rtl/>
        </w:rPr>
        <w:t>«</w:t>
      </w:r>
      <w:r w:rsidR="00844730">
        <w:rPr>
          <w:rFonts w:hint="cs"/>
          <w:rtl/>
        </w:rPr>
        <w:t>خبر الثقة علم</w:t>
      </w:r>
      <w:r>
        <w:rPr>
          <w:rFonts w:hint="cs"/>
          <w:rtl/>
        </w:rPr>
        <w:t>» یک</w:t>
      </w:r>
      <w:r w:rsidR="00844730">
        <w:rPr>
          <w:rFonts w:hint="cs"/>
          <w:rtl/>
        </w:rPr>
        <w:t xml:space="preserve"> بیان کنایی است از </w:t>
      </w:r>
      <w:r>
        <w:rPr>
          <w:rFonts w:hint="cs"/>
          <w:rtl/>
        </w:rPr>
        <w:t>«</w:t>
      </w:r>
      <w:r w:rsidR="00844730">
        <w:rPr>
          <w:rFonts w:hint="cs"/>
          <w:rtl/>
        </w:rPr>
        <w:t>ما قام خبر الثقة علی انه خمر فهو خمر</w:t>
      </w:r>
      <w:r>
        <w:rPr>
          <w:rFonts w:hint="cs"/>
          <w:rtl/>
        </w:rPr>
        <w:t>»</w:t>
      </w:r>
      <w:r w:rsidR="00E42DC0">
        <w:rPr>
          <w:rFonts w:hint="cs"/>
          <w:rtl/>
        </w:rPr>
        <w:t xml:space="preserve"> </w:t>
      </w:r>
      <w:r>
        <w:rPr>
          <w:rFonts w:hint="cs"/>
          <w:rtl/>
        </w:rPr>
        <w:t xml:space="preserve">ولی همین بیان کنایی نیز عرفی نیست. زیرا هر چیزی را از هر چیزی نمی‌توان کنایه گرفت. و این نحو بیان کنایی </w:t>
      </w:r>
      <w:r w:rsidR="00E42DC0">
        <w:rPr>
          <w:rFonts w:hint="cs"/>
          <w:rtl/>
        </w:rPr>
        <w:t xml:space="preserve">نیز </w:t>
      </w:r>
      <w:r>
        <w:rPr>
          <w:rFonts w:hint="cs"/>
          <w:rtl/>
        </w:rPr>
        <w:t xml:space="preserve">مستهجن است. </w:t>
      </w:r>
    </w:p>
    <w:p w14:paraId="04BB0528" w14:textId="77777777" w:rsidR="00844730" w:rsidRDefault="00844730" w:rsidP="004C6C03">
      <w:pPr>
        <w:pStyle w:val="Heading4"/>
        <w:jc w:val="both"/>
        <w:rPr>
          <w:rtl/>
        </w:rPr>
      </w:pPr>
      <w:r>
        <w:rPr>
          <w:rFonts w:hint="cs"/>
          <w:rtl/>
        </w:rPr>
        <w:t>اشکال چهارم</w:t>
      </w:r>
    </w:p>
    <w:p w14:paraId="15C1802A" w14:textId="77777777" w:rsidR="006D30C8" w:rsidRDefault="006D30C8" w:rsidP="004C6C03">
      <w:pPr>
        <w:jc w:val="both"/>
        <w:rPr>
          <w:rtl/>
        </w:rPr>
      </w:pPr>
      <w:r>
        <w:rPr>
          <w:rFonts w:hint="cs"/>
          <w:rtl/>
        </w:rPr>
        <w:t>با قطع نظر از تمام اشکالات قبل اصلا خطاب «</w:t>
      </w:r>
      <w:r w:rsidR="00844730">
        <w:rPr>
          <w:rFonts w:hint="cs"/>
          <w:rtl/>
        </w:rPr>
        <w:t>ما قام خبر الثقة علی انه خمر فهو خمر</w:t>
      </w:r>
      <w:r>
        <w:rPr>
          <w:rFonts w:hint="cs"/>
          <w:rtl/>
        </w:rPr>
        <w:t>» دلالت التزامیه ندارد بر این که</w:t>
      </w:r>
      <w:r w:rsidRPr="006D30C8">
        <w:rPr>
          <w:rFonts w:hint="cs"/>
          <w:rtl/>
        </w:rPr>
        <w:t xml:space="preserve"> </w:t>
      </w:r>
      <w:r>
        <w:rPr>
          <w:rFonts w:hint="cs"/>
          <w:rtl/>
        </w:rPr>
        <w:t>علم به خمر تنزیلی نیز احکام علم به خمر حقیقی را دارد تا وجوب اهراقی که در خطاب «اذا علمتَ بکون مایع خمرا فأهرقه» برای علم به خمر حقیقی جعل شده است برای آن نیز جعل شود. و ع</w:t>
      </w:r>
      <w:r w:rsidR="00F81B75">
        <w:rPr>
          <w:rFonts w:hint="cs"/>
          <w:rtl/>
        </w:rPr>
        <w:t>رف از این مطلب نیز غفلت ندار</w:t>
      </w:r>
      <w:r>
        <w:rPr>
          <w:rFonts w:hint="cs"/>
          <w:rtl/>
        </w:rPr>
        <w:t xml:space="preserve">د و لذا </w:t>
      </w:r>
      <w:r w:rsidR="00844730">
        <w:rPr>
          <w:rFonts w:hint="cs"/>
          <w:rtl/>
        </w:rPr>
        <w:t xml:space="preserve">در طول تاریخ فقه </w:t>
      </w:r>
      <w:r>
        <w:rPr>
          <w:rFonts w:hint="cs"/>
          <w:rtl/>
        </w:rPr>
        <w:t>«</w:t>
      </w:r>
      <w:r w:rsidR="00844730">
        <w:rPr>
          <w:rFonts w:hint="cs"/>
          <w:rtl/>
        </w:rPr>
        <w:t>کل شیء طاهر</w:t>
      </w:r>
      <w:r>
        <w:rPr>
          <w:rFonts w:hint="cs"/>
          <w:rtl/>
        </w:rPr>
        <w:t xml:space="preserve">» را اصل تنزیلی </w:t>
      </w:r>
      <w:r w:rsidR="00844730">
        <w:rPr>
          <w:rFonts w:hint="cs"/>
          <w:rtl/>
        </w:rPr>
        <w:t>یعنی همان جعل حکم مماثل</w:t>
      </w:r>
      <w:r>
        <w:rPr>
          <w:rFonts w:hint="cs"/>
          <w:rtl/>
        </w:rPr>
        <w:t xml:space="preserve"> می‌دانستند ولی تا زمان مرحوم تبریزی رحمه الله </w:t>
      </w:r>
      <w:r w:rsidR="00844730">
        <w:rPr>
          <w:rFonts w:hint="cs"/>
          <w:rtl/>
        </w:rPr>
        <w:t>کسی ادعاء‌ نکرد که قاعده طهارت که مشکوک الطهارة‌ را منزله طاهر واقعی</w:t>
      </w:r>
      <w:r w:rsidRPr="006D30C8">
        <w:rPr>
          <w:rFonts w:hint="cs"/>
          <w:rtl/>
        </w:rPr>
        <w:t xml:space="preserve"> </w:t>
      </w:r>
      <w:r>
        <w:rPr>
          <w:rFonts w:hint="cs"/>
          <w:rtl/>
        </w:rPr>
        <w:t>تنزیل کرده است موضوع سازی می‌کند برای خطاب «</w:t>
      </w:r>
      <w:r w:rsidR="00844730">
        <w:rPr>
          <w:rFonts w:hint="cs"/>
          <w:rtl/>
        </w:rPr>
        <w:t>اذا علمتَ بکون مایع طاهرا فتصدق</w:t>
      </w:r>
      <w:r>
        <w:rPr>
          <w:rFonts w:hint="cs"/>
          <w:rtl/>
        </w:rPr>
        <w:t>»</w:t>
      </w:r>
    </w:p>
    <w:p w14:paraId="3B5E7A50" w14:textId="77777777" w:rsidR="006D30C8" w:rsidRDefault="00F81B75" w:rsidP="00F81B75">
      <w:pPr>
        <w:jc w:val="both"/>
        <w:rPr>
          <w:rtl/>
        </w:rPr>
      </w:pPr>
      <w:r>
        <w:rPr>
          <w:rFonts w:hint="cs"/>
          <w:rtl/>
        </w:rPr>
        <w:t>بله</w:t>
      </w:r>
      <w:r w:rsidR="006D30C8">
        <w:rPr>
          <w:rFonts w:hint="cs"/>
          <w:rtl/>
        </w:rPr>
        <w:t xml:space="preserve"> </w:t>
      </w:r>
      <w:r>
        <w:rPr>
          <w:rFonts w:hint="cs"/>
          <w:rtl/>
        </w:rPr>
        <w:t>مرحوم استاد آقای تبریزی رحمه الله</w:t>
      </w:r>
      <w:r w:rsidR="006D30C8">
        <w:rPr>
          <w:rFonts w:hint="cs"/>
          <w:rtl/>
        </w:rPr>
        <w:t xml:space="preserve"> این مطلب را ادعا کردند بلکه فرموده‌اند: نیاز به تعبد نیز نیست و آن ورود</w:t>
      </w:r>
      <w:r>
        <w:rPr>
          <w:rFonts w:hint="cs"/>
          <w:rtl/>
        </w:rPr>
        <w:t xml:space="preserve"> </w:t>
      </w:r>
      <w:r w:rsidR="006D30C8">
        <w:rPr>
          <w:rFonts w:hint="cs"/>
          <w:rtl/>
        </w:rPr>
        <w:t xml:space="preserve">دارد  بر خطابی که علم در موضوع آن اخذ شده است زیرا عرفا برای علم به طاهر بودن یک مصداق درست شد. </w:t>
      </w:r>
    </w:p>
    <w:p w14:paraId="32872B9A" w14:textId="77777777" w:rsidR="00844730" w:rsidRDefault="001959D4" w:rsidP="004C6C03">
      <w:pPr>
        <w:pStyle w:val="Heading4"/>
        <w:jc w:val="both"/>
        <w:rPr>
          <w:rtl/>
        </w:rPr>
      </w:pPr>
      <w:r>
        <w:rPr>
          <w:rFonts w:hint="cs"/>
          <w:rtl/>
        </w:rPr>
        <w:t>مناقشه در کلام محقق تبریزی رحمه الله</w:t>
      </w:r>
      <w:r w:rsidRPr="001959D4">
        <w:rPr>
          <w:rFonts w:hint="cs"/>
          <w:rtl/>
        </w:rPr>
        <w:t xml:space="preserve"> </w:t>
      </w:r>
      <w:r>
        <w:rPr>
          <w:rFonts w:hint="cs"/>
          <w:rtl/>
        </w:rPr>
        <w:t>در موضوع‌سازی قاعده طهارت برای ادله اولیه</w:t>
      </w:r>
    </w:p>
    <w:p w14:paraId="06A072F0" w14:textId="77777777" w:rsidR="001959D4" w:rsidRDefault="001959D4" w:rsidP="00F81B75">
      <w:pPr>
        <w:jc w:val="both"/>
        <w:rPr>
          <w:rtl/>
        </w:rPr>
      </w:pPr>
      <w:r>
        <w:rPr>
          <w:rFonts w:hint="cs"/>
          <w:rtl/>
        </w:rPr>
        <w:t>این بیان تمام نیست زیرا</w:t>
      </w:r>
      <w:r w:rsidR="00844730">
        <w:rPr>
          <w:rFonts w:hint="cs"/>
          <w:rtl/>
        </w:rPr>
        <w:t xml:space="preserve"> بین حکومت واقعیه و حکومت ظاهریه</w:t>
      </w:r>
      <w:r>
        <w:rPr>
          <w:rFonts w:hint="cs"/>
          <w:rtl/>
        </w:rPr>
        <w:t xml:space="preserve"> فرق است</w:t>
      </w:r>
      <w:r w:rsidR="00844730">
        <w:rPr>
          <w:rFonts w:hint="cs"/>
          <w:rtl/>
        </w:rPr>
        <w:t xml:space="preserve">. اگر شارع بگوید </w:t>
      </w:r>
      <w:r>
        <w:rPr>
          <w:rFonts w:hint="cs"/>
          <w:rtl/>
        </w:rPr>
        <w:t>«</w:t>
      </w:r>
      <w:r w:rsidR="00844730">
        <w:rPr>
          <w:rFonts w:hint="cs"/>
          <w:rtl/>
        </w:rPr>
        <w:t>الفقاع خمر</w:t>
      </w:r>
      <w:r>
        <w:rPr>
          <w:rFonts w:hint="cs"/>
          <w:rtl/>
        </w:rPr>
        <w:t>»</w:t>
      </w:r>
      <w:r w:rsidR="00844730">
        <w:rPr>
          <w:rFonts w:hint="cs"/>
          <w:rtl/>
        </w:rPr>
        <w:t xml:space="preserve"> حکومت واقعیه است، </w:t>
      </w:r>
      <w:r>
        <w:rPr>
          <w:rFonts w:hint="cs"/>
          <w:rtl/>
        </w:rPr>
        <w:t xml:space="preserve">و آن </w:t>
      </w:r>
      <w:r w:rsidR="00844730">
        <w:rPr>
          <w:rFonts w:hint="cs"/>
          <w:rtl/>
        </w:rPr>
        <w:t>ظهور</w:t>
      </w:r>
      <w:r>
        <w:rPr>
          <w:rFonts w:hint="cs"/>
          <w:rtl/>
        </w:rPr>
        <w:t xml:space="preserve"> در اثر منجزیت و معذریت ندارد بلکه مفاد آن </w:t>
      </w:r>
      <w:r w:rsidR="00F81B75">
        <w:rPr>
          <w:rFonts w:hint="cs"/>
          <w:rtl/>
        </w:rPr>
        <w:t>ا</w:t>
      </w:r>
      <w:r>
        <w:rPr>
          <w:rFonts w:hint="cs"/>
          <w:rtl/>
        </w:rPr>
        <w:t xml:space="preserve">ین است که موضوع تمام خطاباتی که خمر در آن‌ها اخذ شده است جامع بین خمر و فقاع است. البته این نیز </w:t>
      </w:r>
      <w:r w:rsidR="00844730">
        <w:rPr>
          <w:rFonts w:hint="cs"/>
          <w:rtl/>
        </w:rPr>
        <w:t xml:space="preserve">ورود نیست بلکه اطلاق حکومت </w:t>
      </w:r>
      <w:r>
        <w:rPr>
          <w:rFonts w:hint="cs"/>
          <w:rtl/>
        </w:rPr>
        <w:t xml:space="preserve">آن </w:t>
      </w:r>
      <w:r w:rsidR="00844730">
        <w:rPr>
          <w:rFonts w:hint="cs"/>
          <w:rtl/>
        </w:rPr>
        <w:t xml:space="preserve">را اقتضاء‌ می‌‌کند. </w:t>
      </w:r>
      <w:r>
        <w:rPr>
          <w:rFonts w:hint="cs"/>
          <w:rtl/>
        </w:rPr>
        <w:t>ولی</w:t>
      </w:r>
      <w:r w:rsidR="00844730">
        <w:rPr>
          <w:rFonts w:hint="cs"/>
          <w:rtl/>
        </w:rPr>
        <w:t xml:space="preserve"> در حکومت ظاهریه ظ</w:t>
      </w:r>
      <w:r>
        <w:rPr>
          <w:rFonts w:hint="cs"/>
          <w:rtl/>
        </w:rPr>
        <w:t>اهرش فقط</w:t>
      </w:r>
      <w:r w:rsidR="00844730">
        <w:rPr>
          <w:rFonts w:hint="cs"/>
          <w:rtl/>
        </w:rPr>
        <w:t xml:space="preserve"> </w:t>
      </w:r>
      <w:r>
        <w:rPr>
          <w:rFonts w:hint="cs"/>
          <w:rtl/>
        </w:rPr>
        <w:t xml:space="preserve">ترتب </w:t>
      </w:r>
      <w:r w:rsidR="00844730">
        <w:rPr>
          <w:rFonts w:hint="cs"/>
          <w:rtl/>
        </w:rPr>
        <w:t xml:space="preserve">تنجیز و تعذیر </w:t>
      </w:r>
      <w:r>
        <w:rPr>
          <w:rFonts w:hint="cs"/>
          <w:rtl/>
        </w:rPr>
        <w:t xml:space="preserve"> به لحاظ آثار خودش است. و متفاهم عرفی از «مشکوک الطهارة طاهر» این است که شما قبل از علم به نجاست</w:t>
      </w:r>
      <w:r w:rsidRPr="001959D4">
        <w:rPr>
          <w:rFonts w:hint="cs"/>
          <w:rtl/>
        </w:rPr>
        <w:t xml:space="preserve"> </w:t>
      </w:r>
      <w:r>
        <w:rPr>
          <w:rFonts w:hint="cs"/>
          <w:rtl/>
        </w:rPr>
        <w:t xml:space="preserve">در </w:t>
      </w:r>
      <w:r>
        <w:rPr>
          <w:rFonts w:hint="cs"/>
          <w:rtl/>
        </w:rPr>
        <w:lastRenderedPageBreak/>
        <w:t xml:space="preserve">برابر نجاست آن معذور هستید، و بعد از علم به نجاست، بر تو منجز می‌شود، و ظهور در ترتب </w:t>
      </w:r>
      <w:r w:rsidR="00844730">
        <w:rPr>
          <w:rFonts w:hint="cs"/>
          <w:rtl/>
        </w:rPr>
        <w:t xml:space="preserve">تمام آثار طهارت واقعیه که در خطاب </w:t>
      </w:r>
      <w:r>
        <w:rPr>
          <w:rFonts w:hint="cs"/>
          <w:rtl/>
        </w:rPr>
        <w:t>«</w:t>
      </w:r>
      <w:r w:rsidR="00844730">
        <w:rPr>
          <w:rFonts w:hint="cs"/>
          <w:rtl/>
        </w:rPr>
        <w:t>اذا علمت بکون مایع طاهرا فتصدق</w:t>
      </w:r>
      <w:r>
        <w:rPr>
          <w:rFonts w:hint="cs"/>
          <w:rtl/>
        </w:rPr>
        <w:t xml:space="preserve">» آمده است </w:t>
      </w:r>
      <w:r w:rsidR="00844730">
        <w:rPr>
          <w:rFonts w:hint="cs"/>
          <w:rtl/>
        </w:rPr>
        <w:t xml:space="preserve">برای علم به طهارت ظاهریه </w:t>
      </w:r>
      <w:r>
        <w:rPr>
          <w:rFonts w:hint="cs"/>
          <w:rtl/>
        </w:rPr>
        <w:t>ن</w:t>
      </w:r>
      <w:r w:rsidR="00F81B75">
        <w:rPr>
          <w:rFonts w:hint="cs"/>
          <w:rtl/>
        </w:rPr>
        <w:t>دارد</w:t>
      </w:r>
      <w:r>
        <w:rPr>
          <w:rFonts w:hint="cs"/>
          <w:rtl/>
        </w:rPr>
        <w:t xml:space="preserve">. </w:t>
      </w:r>
    </w:p>
    <w:p w14:paraId="5466194F" w14:textId="77777777" w:rsidR="001959D4" w:rsidRDefault="001959D4" w:rsidP="00F81B75">
      <w:pPr>
        <w:jc w:val="both"/>
        <w:rPr>
          <w:rtl/>
        </w:rPr>
      </w:pPr>
      <w:r>
        <w:rPr>
          <w:rFonts w:hint="cs"/>
          <w:rtl/>
        </w:rPr>
        <w:t xml:space="preserve">البته اگر مراد از «اذا علمت» در خطاب «اذا علمت بکون مایع طاهرا فتصدق» اعم از طهارت واقعیه </w:t>
      </w:r>
      <w:r w:rsidR="00F81B75">
        <w:rPr>
          <w:rFonts w:hint="cs"/>
          <w:rtl/>
        </w:rPr>
        <w:t xml:space="preserve">و ظاهریه </w:t>
      </w:r>
      <w:r>
        <w:rPr>
          <w:rFonts w:hint="cs"/>
          <w:rtl/>
        </w:rPr>
        <w:t xml:space="preserve">باشد قاعده‌ی طهارت ورود بر آن دارد ولی خود مرحوم تبریزی رحمه الله نیز قائل هستند به این که </w:t>
      </w:r>
      <w:r w:rsidR="00F81B75">
        <w:rPr>
          <w:rFonts w:hint="cs"/>
          <w:rtl/>
        </w:rPr>
        <w:t>ظهور در</w:t>
      </w:r>
      <w:r>
        <w:rPr>
          <w:rFonts w:hint="cs"/>
          <w:rtl/>
        </w:rPr>
        <w:t xml:space="preserve"> خصوص طهارت </w:t>
      </w:r>
      <w:r w:rsidR="00C10A10">
        <w:rPr>
          <w:rFonts w:hint="cs"/>
          <w:rtl/>
        </w:rPr>
        <w:t xml:space="preserve">واقعیه </w:t>
      </w:r>
      <w:r w:rsidR="00F81B75">
        <w:rPr>
          <w:rFonts w:hint="cs"/>
          <w:rtl/>
        </w:rPr>
        <w:t>دارد</w:t>
      </w:r>
      <w:r w:rsidR="00C10A10">
        <w:rPr>
          <w:rFonts w:hint="cs"/>
          <w:rtl/>
        </w:rPr>
        <w:t xml:space="preserve"> لذا در بحث اجزاء که مرحوم صاحب کفایه رحمه الله فرموده‌اند: «قاعده‌ی طهارت توسعه در شرطیت طهارت ثوب و بدن در نماز می‌دهد.»</w:t>
      </w:r>
      <w:r w:rsidR="00EF7ECD">
        <w:rPr>
          <w:rStyle w:val="FootnoteReference"/>
          <w:rtl/>
        </w:rPr>
        <w:footnoteReference w:id="8"/>
      </w:r>
      <w:r w:rsidR="00C10A10">
        <w:rPr>
          <w:rFonts w:hint="cs"/>
          <w:rtl/>
        </w:rPr>
        <w:t xml:space="preserve"> ایشان اشکال کردند که ظاهر دلیل «اذا صلیت فلیکن ثوبک طاهرا» طاهر واقعی است نه اعم از طاهر واقعی و ظاهری. </w:t>
      </w:r>
    </w:p>
    <w:p w14:paraId="6BE5C769" w14:textId="77777777" w:rsidR="001959D4" w:rsidRDefault="001959D4" w:rsidP="004C6C03">
      <w:pPr>
        <w:jc w:val="both"/>
        <w:rPr>
          <w:rtl/>
        </w:rPr>
      </w:pPr>
      <w:r>
        <w:rPr>
          <w:rFonts w:hint="cs"/>
          <w:rtl/>
        </w:rPr>
        <w:t>بنابراین این خطاب ظهور در ملازمه ندارد و مورد غفلت عرفیه نیز نیست.</w:t>
      </w:r>
    </w:p>
    <w:p w14:paraId="691FED92" w14:textId="77777777" w:rsidR="00C10A10" w:rsidRDefault="00C10A10" w:rsidP="004C6C03">
      <w:pPr>
        <w:pStyle w:val="Heading3"/>
        <w:jc w:val="both"/>
        <w:rPr>
          <w:rtl/>
        </w:rPr>
      </w:pPr>
      <w:bookmarkStart w:id="85" w:name="_Toc137434529"/>
      <w:bookmarkStart w:id="86" w:name="_Toc137899428"/>
      <w:r>
        <w:rPr>
          <w:rFonts w:hint="cs"/>
          <w:rtl/>
        </w:rPr>
        <w:t>بررسی اشکالات صاحب کفایه رحمه الله در کفایه به کلام ایشان در حاشیه رسائل</w:t>
      </w:r>
      <w:bookmarkEnd w:id="85"/>
      <w:bookmarkEnd w:id="86"/>
    </w:p>
    <w:p w14:paraId="08E9DF92" w14:textId="77777777" w:rsidR="00C10A10" w:rsidRDefault="00C10A10" w:rsidP="00F81B75">
      <w:pPr>
        <w:jc w:val="both"/>
        <w:rPr>
          <w:rtl/>
        </w:rPr>
      </w:pPr>
      <w:r>
        <w:rPr>
          <w:rFonts w:hint="cs"/>
          <w:rtl/>
        </w:rPr>
        <w:t xml:space="preserve">ممکن است مراد ایشان از «تکلف» همین اشکال اخیر </w:t>
      </w:r>
      <w:r w:rsidR="00F81B75">
        <w:rPr>
          <w:rFonts w:hint="cs"/>
          <w:rtl/>
        </w:rPr>
        <w:t xml:space="preserve">ما باشد. ولی این اشکال ایشان که </w:t>
      </w:r>
      <w:r>
        <w:rPr>
          <w:rFonts w:hint="cs"/>
          <w:rtl/>
        </w:rPr>
        <w:t>گفتند</w:t>
      </w:r>
      <w:r w:rsidR="00F81B75">
        <w:rPr>
          <w:rFonts w:hint="cs"/>
          <w:rtl/>
        </w:rPr>
        <w:t xml:space="preserve"> «بل تعسف»</w:t>
      </w:r>
      <w:r>
        <w:rPr>
          <w:rFonts w:hint="cs"/>
          <w:rtl/>
        </w:rPr>
        <w:t xml:space="preserve"> </w:t>
      </w:r>
      <w:r w:rsidR="00F81B75">
        <w:rPr>
          <w:rFonts w:hint="cs"/>
          <w:rtl/>
        </w:rPr>
        <w:t xml:space="preserve">یعنی </w:t>
      </w:r>
      <w:r>
        <w:rPr>
          <w:rFonts w:hint="cs"/>
          <w:rtl/>
        </w:rPr>
        <w:t xml:space="preserve">مستلزم دور است، تمام نیست. برای دور تقریب‌های مختلفی بیان شده است که هیچ‌کدام از آن‌ها تمام نیست. </w:t>
      </w:r>
    </w:p>
    <w:p w14:paraId="0F329C3D" w14:textId="77777777" w:rsidR="00C10A10" w:rsidRDefault="00C10A10" w:rsidP="00F81B75">
      <w:pPr>
        <w:jc w:val="both"/>
        <w:rPr>
          <w:rtl/>
        </w:rPr>
      </w:pPr>
      <w:r>
        <w:rPr>
          <w:rFonts w:hint="cs"/>
          <w:rtl/>
        </w:rPr>
        <w:t xml:space="preserve">البته باید توجه داشت که نظر ایشان در </w:t>
      </w:r>
      <w:r w:rsidR="00F81B75">
        <w:rPr>
          <w:rFonts w:hint="cs"/>
          <w:rtl/>
        </w:rPr>
        <w:t>اینجا</w:t>
      </w:r>
      <w:r>
        <w:rPr>
          <w:rFonts w:hint="cs"/>
          <w:rtl/>
        </w:rPr>
        <w:t xml:space="preserve"> به مواردی است که واقع مثل خمر واقعی هیچ اثری ندارد و اثر برای معلوم الخمریة است و الا اگر خمر واقعی دارای اثر باشد مثل «حرمت شرب» و علم به خمریت </w:t>
      </w:r>
      <w:r w:rsidR="00F81B75">
        <w:rPr>
          <w:rFonts w:hint="cs"/>
          <w:rtl/>
        </w:rPr>
        <w:t xml:space="preserve">نیز </w:t>
      </w:r>
      <w:r>
        <w:rPr>
          <w:rFonts w:hint="cs"/>
          <w:rtl/>
        </w:rPr>
        <w:t xml:space="preserve">اثر شرعی دیگری داشته باشد مثل «وجوب اهراق»، تنزیل المؤدی منزلة‌ الواقع به لحاظ تنجیز حرمت شرب خواهد بود و آن لغو نیست تا برای رفع لغویت متوقف بر تنزیل دوم باشد، و لذا دوری پیش نمی‌آید. </w:t>
      </w:r>
    </w:p>
    <w:p w14:paraId="23A08C7B" w14:textId="77777777" w:rsidR="00844730" w:rsidRDefault="00844730" w:rsidP="004C6C03">
      <w:pPr>
        <w:pStyle w:val="Heading3"/>
        <w:jc w:val="both"/>
        <w:rPr>
          <w:rtl/>
        </w:rPr>
      </w:pPr>
      <w:bookmarkStart w:id="87" w:name="_Toc137434530"/>
      <w:bookmarkStart w:id="88" w:name="_Toc137899429"/>
      <w:r>
        <w:rPr>
          <w:rFonts w:hint="cs"/>
          <w:rtl/>
        </w:rPr>
        <w:t>تقریب اول برای اشکال دور</w:t>
      </w:r>
      <w:bookmarkEnd w:id="87"/>
      <w:bookmarkEnd w:id="88"/>
    </w:p>
    <w:p w14:paraId="613A06A0" w14:textId="77777777" w:rsidR="00844730" w:rsidRDefault="00844730" w:rsidP="00F81B75">
      <w:pPr>
        <w:jc w:val="both"/>
        <w:rPr>
          <w:rtl/>
        </w:rPr>
      </w:pPr>
      <w:r>
        <w:rPr>
          <w:rFonts w:hint="cs"/>
          <w:rtl/>
        </w:rPr>
        <w:t>ت</w:t>
      </w:r>
      <w:r w:rsidR="00360A9B">
        <w:rPr>
          <w:rFonts w:hint="cs"/>
          <w:rtl/>
        </w:rPr>
        <w:t>نزیل المؤدی منزلة‌ الخمر</w:t>
      </w:r>
      <w:r w:rsidR="00F81B75">
        <w:rPr>
          <w:rFonts w:hint="cs"/>
          <w:rtl/>
        </w:rPr>
        <w:t xml:space="preserve"> </w:t>
      </w:r>
      <w:r w:rsidR="00E61223">
        <w:rPr>
          <w:rFonts w:hint="cs"/>
          <w:rtl/>
        </w:rPr>
        <w:t>(که مدلول مطابقی دلیل اعتبار اماره است)</w:t>
      </w:r>
      <w:r w:rsidR="00360A9B">
        <w:rPr>
          <w:rFonts w:hint="cs"/>
          <w:rtl/>
        </w:rPr>
        <w:t xml:space="preserve"> بدون</w:t>
      </w:r>
      <w:r>
        <w:rPr>
          <w:rFonts w:hint="cs"/>
          <w:rtl/>
        </w:rPr>
        <w:t xml:space="preserve"> تنزیل القطع بالخمر التنزیلی منزلة‌ القطع بالخمر الحقیقی</w:t>
      </w:r>
      <w:r w:rsidR="00F81B75">
        <w:rPr>
          <w:rFonts w:hint="cs"/>
          <w:rtl/>
        </w:rPr>
        <w:t xml:space="preserve"> </w:t>
      </w:r>
      <w:r w:rsidR="00E61223">
        <w:rPr>
          <w:rFonts w:hint="cs"/>
          <w:rtl/>
        </w:rPr>
        <w:t>(که مدلول التزامی دلیل اعتبار اماره است)</w:t>
      </w:r>
      <w:r>
        <w:rPr>
          <w:rFonts w:hint="cs"/>
          <w:rtl/>
        </w:rPr>
        <w:t xml:space="preserve"> لغو است، چون اثر ندارد. </w:t>
      </w:r>
      <w:r w:rsidR="00360A9B">
        <w:rPr>
          <w:rFonts w:hint="cs"/>
          <w:rtl/>
        </w:rPr>
        <w:t xml:space="preserve">پس تنزیل اول متوقف بر تنزیل دوم است </w:t>
      </w:r>
      <w:r w:rsidR="00E61223">
        <w:rPr>
          <w:rFonts w:hint="cs"/>
          <w:rtl/>
        </w:rPr>
        <w:t>و «</w:t>
      </w:r>
      <w:r>
        <w:rPr>
          <w:rFonts w:hint="cs"/>
          <w:rtl/>
        </w:rPr>
        <w:t>تنزیل العلم بالمؤدی منزلة الواقع</w:t>
      </w:r>
      <w:r w:rsidR="00E61223">
        <w:rPr>
          <w:rFonts w:hint="cs"/>
          <w:rtl/>
        </w:rPr>
        <w:t>» نیز توقف دارد بر «</w:t>
      </w:r>
      <w:r>
        <w:rPr>
          <w:rFonts w:hint="cs"/>
          <w:rtl/>
        </w:rPr>
        <w:t>تنزیل المؤدی منزلة الواقع</w:t>
      </w:r>
      <w:r w:rsidR="00E61223">
        <w:rPr>
          <w:rFonts w:hint="cs"/>
          <w:rtl/>
        </w:rPr>
        <w:t xml:space="preserve">» چون </w:t>
      </w:r>
      <w:r w:rsidR="00F81B75">
        <w:rPr>
          <w:rFonts w:hint="cs"/>
          <w:rtl/>
        </w:rPr>
        <w:t xml:space="preserve">در </w:t>
      </w:r>
      <w:r>
        <w:rPr>
          <w:rFonts w:hint="cs"/>
          <w:rtl/>
        </w:rPr>
        <w:t xml:space="preserve">علم به خمر تنزیلی اول باید خمر تنزیلی </w:t>
      </w:r>
      <w:r w:rsidR="00E61223">
        <w:rPr>
          <w:rFonts w:hint="cs"/>
          <w:rtl/>
        </w:rPr>
        <w:t>درست شود.</w:t>
      </w:r>
    </w:p>
    <w:p w14:paraId="0A1D0DF5" w14:textId="77777777" w:rsidR="00844730" w:rsidRDefault="00E61223" w:rsidP="004C6C03">
      <w:pPr>
        <w:pStyle w:val="Heading3"/>
        <w:jc w:val="both"/>
        <w:rPr>
          <w:rtl/>
        </w:rPr>
      </w:pPr>
      <w:bookmarkStart w:id="89" w:name="_Toc137434531"/>
      <w:bookmarkStart w:id="90" w:name="_Toc137899430"/>
      <w:r>
        <w:rPr>
          <w:rFonts w:hint="cs"/>
          <w:rtl/>
        </w:rPr>
        <w:t>بررسی تقریب اول اشکال دور</w:t>
      </w:r>
      <w:bookmarkEnd w:id="89"/>
      <w:bookmarkEnd w:id="90"/>
    </w:p>
    <w:p w14:paraId="17AD1DB7" w14:textId="77777777" w:rsidR="00844730" w:rsidRDefault="00E61223" w:rsidP="004C6C03">
      <w:pPr>
        <w:jc w:val="both"/>
        <w:rPr>
          <w:rtl/>
        </w:rPr>
      </w:pPr>
      <w:r>
        <w:rPr>
          <w:rFonts w:hint="cs"/>
          <w:rtl/>
        </w:rPr>
        <w:t>این بیان تمام نیست زیرا</w:t>
      </w:r>
      <w:r w:rsidR="00844730">
        <w:rPr>
          <w:rFonts w:hint="cs"/>
          <w:rtl/>
        </w:rPr>
        <w:t xml:space="preserve"> در خروج از لغویت اثر تعلیقی</w:t>
      </w:r>
      <w:r>
        <w:rPr>
          <w:rFonts w:hint="cs"/>
          <w:rtl/>
        </w:rPr>
        <w:t xml:space="preserve"> کافی است و وجود اثر فعلی لازم نیست. یعنی تنزیل مؤدی به</w:t>
      </w:r>
      <w:r w:rsidR="00844730">
        <w:rPr>
          <w:rFonts w:hint="cs"/>
          <w:rtl/>
        </w:rPr>
        <w:t xml:space="preserve"> منزله واقع</w:t>
      </w:r>
      <w:r>
        <w:rPr>
          <w:rFonts w:hint="cs"/>
          <w:rtl/>
        </w:rPr>
        <w:t xml:space="preserve"> لغو نیست چون بعد از این تنزیل جزء دوم که </w:t>
      </w:r>
      <w:r>
        <w:rPr>
          <w:rFonts w:hint="cs"/>
          <w:rtl/>
        </w:rPr>
        <w:lastRenderedPageBreak/>
        <w:t>تنزیل العلم بالمؤدی منزلة‌ العلم بالواقع، نیز</w:t>
      </w:r>
      <w:r w:rsidR="00844730">
        <w:rPr>
          <w:rFonts w:hint="cs"/>
          <w:rtl/>
        </w:rPr>
        <w:t xml:space="preserve"> محقق خواهد شد </w:t>
      </w:r>
      <w:r>
        <w:rPr>
          <w:rFonts w:hint="cs"/>
          <w:rtl/>
        </w:rPr>
        <w:t>و اثر فعلی ب</w:t>
      </w:r>
      <w:r w:rsidR="00844730">
        <w:rPr>
          <w:rFonts w:hint="cs"/>
          <w:rtl/>
        </w:rPr>
        <w:t>ر</w:t>
      </w:r>
      <w:r>
        <w:rPr>
          <w:rFonts w:hint="cs"/>
          <w:rtl/>
        </w:rPr>
        <w:t xml:space="preserve"> آن مترتب می‌‌شود و با چند واسطه اثر ظاهر می‌شود.</w:t>
      </w:r>
    </w:p>
    <w:p w14:paraId="6759A150" w14:textId="77777777" w:rsidR="00C10A10" w:rsidRDefault="00C10A10" w:rsidP="004C6C03">
      <w:pPr>
        <w:pStyle w:val="Heading3"/>
        <w:jc w:val="both"/>
        <w:rPr>
          <w:rtl/>
        </w:rPr>
      </w:pPr>
      <w:bookmarkStart w:id="91" w:name="_Toc137434532"/>
      <w:bookmarkStart w:id="92" w:name="_Toc137899431"/>
      <w:r>
        <w:rPr>
          <w:rFonts w:hint="cs"/>
          <w:rtl/>
        </w:rPr>
        <w:t>تقریب دوم از اشکال دور</w:t>
      </w:r>
      <w:bookmarkEnd w:id="91"/>
      <w:bookmarkEnd w:id="92"/>
    </w:p>
    <w:p w14:paraId="748E5DDD" w14:textId="77777777" w:rsidR="00E61223" w:rsidRDefault="00E61223" w:rsidP="004C6C03">
      <w:pPr>
        <w:jc w:val="both"/>
        <w:rPr>
          <w:rtl/>
        </w:rPr>
      </w:pPr>
      <w:r>
        <w:rPr>
          <w:rFonts w:hint="cs"/>
          <w:rtl/>
        </w:rPr>
        <w:t xml:space="preserve">و مراد ایشان </w:t>
      </w:r>
      <w:r w:rsidR="00B85F76">
        <w:rPr>
          <w:rFonts w:hint="cs"/>
          <w:rtl/>
        </w:rPr>
        <w:t xml:space="preserve">این باشد که «تنزیل المؤدی منزلة الواقع» در عالم ثبوت همان انشاء اثر شرعی یعنی جعل حکم مماثل است چون خمر حکم ندارد و حکم برای معلوم الخمریة است و جعل حکم مماثل برای مایعی که اماره بر خمر بودن آن اقامه شده است، در صورتی است که خمر دارای اثر باشد تا این اثر برای «ما قام خبر الثقة علی انه خمر» مترتب شود، و اثر داشتن خمر متوقف بر تنزیل دوم است. </w:t>
      </w:r>
    </w:p>
    <w:p w14:paraId="14B3E564" w14:textId="77777777" w:rsidR="00B85F76" w:rsidRPr="00E61223" w:rsidRDefault="00B85F76" w:rsidP="004C6C03">
      <w:pPr>
        <w:jc w:val="both"/>
        <w:rPr>
          <w:rtl/>
        </w:rPr>
      </w:pPr>
      <w:r>
        <w:rPr>
          <w:rFonts w:hint="cs"/>
          <w:rtl/>
        </w:rPr>
        <w:t xml:space="preserve">در کلمات علماء نوعا همان تقریب اول در توضیح کلام صاحب کفایه رحمه الله مطرح شده است ولی شاید بیان مرحوم آخوند رحمه الله این تقریب دوم باشد که دقیق‌تر است. </w:t>
      </w:r>
    </w:p>
    <w:p w14:paraId="5473FBC7" w14:textId="77777777" w:rsidR="00AF2637" w:rsidRPr="00E036BA" w:rsidRDefault="00B85F76" w:rsidP="004C6C03">
      <w:pPr>
        <w:jc w:val="both"/>
        <w:rPr>
          <w:rtl/>
        </w:rPr>
      </w:pPr>
      <w:r>
        <w:rPr>
          <w:rFonts w:hint="cs"/>
          <w:rtl/>
        </w:rPr>
        <w:t>ان‌شاء الله در جلسه آینده این تقریب را بررسی خواهیم کرد.</w:t>
      </w:r>
    </w:p>
    <w:sectPr w:rsidR="00AF2637" w:rsidRPr="00E036BA" w:rsidSect="00F7601D">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8033" w14:textId="77777777" w:rsidR="00076F47" w:rsidRDefault="00076F47" w:rsidP="00D652A5">
      <w:pPr>
        <w:spacing w:after="0"/>
      </w:pPr>
      <w:r>
        <w:separator/>
      </w:r>
    </w:p>
  </w:endnote>
  <w:endnote w:type="continuationSeparator" w:id="0">
    <w:p w14:paraId="55CECD51" w14:textId="77777777" w:rsidR="00076F47" w:rsidRDefault="00076F47" w:rsidP="00D65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or_Nazli">
    <w:panose1 w:val="01000506000000020004"/>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376007"/>
      <w:docPartObj>
        <w:docPartGallery w:val="Page Numbers (Bottom of Page)"/>
        <w:docPartUnique/>
      </w:docPartObj>
    </w:sdtPr>
    <w:sdtEndPr>
      <w:rPr>
        <w:noProof/>
      </w:rPr>
    </w:sdtEndPr>
    <w:sdtContent>
      <w:p w14:paraId="41031D7A" w14:textId="77777777" w:rsidR="00E61223" w:rsidRDefault="00E61223">
        <w:pPr>
          <w:pStyle w:val="Footer"/>
          <w:jc w:val="center"/>
        </w:pPr>
        <w:r>
          <w:fldChar w:fldCharType="begin"/>
        </w:r>
        <w:r>
          <w:instrText xml:space="preserve"> PAGE   \* MERGEFORMAT </w:instrText>
        </w:r>
        <w:r>
          <w:fldChar w:fldCharType="separate"/>
        </w:r>
        <w:r w:rsidR="006803BF">
          <w:rPr>
            <w:noProof/>
          </w:rPr>
          <w:t>1</w:t>
        </w:r>
        <w:r>
          <w:rPr>
            <w:noProof/>
          </w:rPr>
          <w:fldChar w:fldCharType="end"/>
        </w:r>
      </w:p>
    </w:sdtContent>
  </w:sdt>
  <w:p w14:paraId="2F8EB414" w14:textId="77777777" w:rsidR="00E61223" w:rsidRDefault="00E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E1F4" w14:textId="77777777" w:rsidR="00076F47" w:rsidRDefault="00076F47" w:rsidP="00D652A5">
      <w:pPr>
        <w:spacing w:after="0"/>
      </w:pPr>
      <w:r>
        <w:separator/>
      </w:r>
    </w:p>
  </w:footnote>
  <w:footnote w:type="continuationSeparator" w:id="0">
    <w:p w14:paraId="192C58A0" w14:textId="77777777" w:rsidR="00076F47" w:rsidRDefault="00076F47" w:rsidP="00D652A5">
      <w:pPr>
        <w:spacing w:after="0"/>
      </w:pPr>
      <w:r>
        <w:continuationSeparator/>
      </w:r>
    </w:p>
  </w:footnote>
  <w:footnote w:id="1">
    <w:p w14:paraId="40F2E388" w14:textId="77777777" w:rsidR="00B85F76" w:rsidRDefault="00B85F76" w:rsidP="00B85F76">
      <w:pPr>
        <w:pStyle w:val="FootnoteText"/>
        <w:rPr>
          <w:rtl/>
        </w:rPr>
      </w:pPr>
      <w:r>
        <w:rPr>
          <w:rStyle w:val="FootnoteReference"/>
        </w:rPr>
        <w:footnoteRef/>
      </w:r>
      <w:r>
        <w:rPr>
          <w:rtl/>
        </w:rPr>
        <w:t xml:space="preserve"> </w:t>
      </w:r>
      <w:r>
        <w:rPr>
          <w:rFonts w:hint="cs"/>
          <w:rtl/>
        </w:rPr>
        <w:t>درر الفوائد فی الحاشیة علی الفرائد، آخوند خراسانی، محمد کاظم بن حسین، ص29-30.</w:t>
      </w:r>
    </w:p>
  </w:footnote>
  <w:footnote w:id="2">
    <w:p w14:paraId="410FA715" w14:textId="77777777" w:rsidR="00565BA0" w:rsidRDefault="00565BA0" w:rsidP="00565BA0">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ص266.</w:t>
      </w:r>
    </w:p>
  </w:footnote>
  <w:footnote w:id="3">
    <w:p w14:paraId="10899FD5" w14:textId="77777777" w:rsidR="00EB5AE2" w:rsidRDefault="00EB5AE2">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ص478.</w:t>
      </w:r>
    </w:p>
  </w:footnote>
  <w:footnote w:id="4">
    <w:p w14:paraId="0AC561A2" w14:textId="77777777" w:rsidR="00565BA0" w:rsidRPr="00565BA0" w:rsidRDefault="00565BA0" w:rsidP="00565BA0">
      <w:pPr>
        <w:rPr>
          <w:sz w:val="20"/>
          <w:szCs w:val="20"/>
        </w:rPr>
      </w:pPr>
      <w:r w:rsidRPr="00565BA0">
        <w:rPr>
          <w:rStyle w:val="FootnoteReference"/>
          <w:sz w:val="20"/>
          <w:szCs w:val="20"/>
        </w:rPr>
        <w:footnoteRef/>
      </w:r>
      <w:r w:rsidRPr="00565BA0">
        <w:rPr>
          <w:sz w:val="20"/>
          <w:szCs w:val="20"/>
          <w:rtl/>
        </w:rPr>
        <w:t xml:space="preserve"> </w:t>
      </w:r>
      <w:r w:rsidRPr="00565BA0">
        <w:rPr>
          <w:rFonts w:hint="cs"/>
          <w:sz w:val="20"/>
          <w:szCs w:val="20"/>
          <w:rtl/>
        </w:rPr>
        <w:t>كفاية الأصول ( طبع آل البيت )، ص: 277</w:t>
      </w:r>
    </w:p>
  </w:footnote>
  <w:footnote w:id="5">
    <w:p w14:paraId="513F409E" w14:textId="77777777" w:rsidR="00EF7ECD" w:rsidRDefault="00EF7ECD" w:rsidP="00EF7ECD">
      <w:pPr>
        <w:pStyle w:val="FootnoteText"/>
        <w:rPr>
          <w:rtl/>
        </w:rPr>
      </w:pPr>
      <w:r>
        <w:rPr>
          <w:rStyle w:val="FootnoteReference"/>
        </w:rPr>
        <w:footnoteRef/>
      </w:r>
      <w:r>
        <w:rPr>
          <w:rtl/>
        </w:rPr>
        <w:t xml:space="preserve"> </w:t>
      </w:r>
      <w:r>
        <w:rPr>
          <w:rFonts w:hint="cs"/>
          <w:rtl/>
        </w:rPr>
        <w:t>فرائد الاصول (طبع انتشارات اسلامی)، انصاری، مرتضی بن محمد بن امین، ج1، ص4و46؛ ج2، ص522.</w:t>
      </w:r>
    </w:p>
  </w:footnote>
  <w:footnote w:id="6">
    <w:p w14:paraId="029ED328" w14:textId="77777777" w:rsidR="00EF7ECD" w:rsidRDefault="00EF7ECD" w:rsidP="00EF7ECD">
      <w:pPr>
        <w:pStyle w:val="FootnoteText"/>
        <w:rPr>
          <w:rtl/>
        </w:rPr>
      </w:pPr>
      <w:r>
        <w:rPr>
          <w:rStyle w:val="FootnoteReference"/>
        </w:rPr>
        <w:footnoteRef/>
      </w:r>
      <w:r>
        <w:rPr>
          <w:rtl/>
        </w:rPr>
        <w:t xml:space="preserve"> </w:t>
      </w:r>
      <w:r>
        <w:rPr>
          <w:rFonts w:hint="cs"/>
          <w:rtl/>
        </w:rPr>
        <w:t>فرائد الاصول (طبع انتشارات اسلامی)، انصاری، مرتضی بن محمد بن امین، ج2، ص707و751.</w:t>
      </w:r>
    </w:p>
  </w:footnote>
  <w:footnote w:id="7">
    <w:p w14:paraId="22174C45" w14:textId="77777777" w:rsidR="00565BA0" w:rsidRPr="008D3D6B" w:rsidRDefault="00565BA0" w:rsidP="008D3D6B">
      <w:pPr>
        <w:rPr>
          <w:sz w:val="20"/>
          <w:szCs w:val="20"/>
          <w:rtl/>
        </w:rPr>
      </w:pPr>
      <w:r w:rsidRPr="008D3D6B">
        <w:rPr>
          <w:rStyle w:val="FootnoteReference"/>
          <w:sz w:val="20"/>
          <w:szCs w:val="20"/>
        </w:rPr>
        <w:footnoteRef/>
      </w:r>
      <w:r w:rsidRPr="008D3D6B">
        <w:rPr>
          <w:sz w:val="20"/>
          <w:szCs w:val="20"/>
          <w:rtl/>
        </w:rPr>
        <w:t xml:space="preserve"> انصارى، مرتضى بن محمدامين، فرائد الاُصول - </w:t>
      </w:r>
      <w:r w:rsidR="008D3D6B" w:rsidRPr="008D3D6B">
        <w:rPr>
          <w:rFonts w:ascii="Noor_Nazli" w:hAnsi="Noor_Nazli" w:cs="Noor_Nazli" w:hint="cs"/>
          <w:sz w:val="20"/>
          <w:szCs w:val="20"/>
          <w:rtl/>
        </w:rPr>
        <w:t>فرائد الاصول ؛ ج‏2 ؛ ص751</w:t>
      </w:r>
    </w:p>
  </w:footnote>
  <w:footnote w:id="8">
    <w:p w14:paraId="72D5C962" w14:textId="77777777" w:rsidR="00EF7ECD" w:rsidRDefault="00EF7ECD" w:rsidP="00EF7ECD">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FE1" w14:textId="77777777" w:rsidR="00F7601D" w:rsidRPr="00B52C9F" w:rsidRDefault="007E60CA" w:rsidP="00844730">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00D652A5">
      <w:rPr>
        <w:rFonts w:ascii="NoorLotus" w:hAnsi="NoorLotus" w:cs="NoorLotus" w:hint="cs"/>
        <w:sz w:val="20"/>
        <w:szCs w:val="20"/>
        <w:rtl/>
        <w:lang w:bidi="fa-IR"/>
      </w:rPr>
      <w:t>14</w:t>
    </w:r>
    <w:r w:rsidR="00844730">
      <w:rPr>
        <w:rFonts w:ascii="NoorLotus" w:hAnsi="NoorLotus" w:cs="NoorLotus" w:hint="cs"/>
        <w:sz w:val="20"/>
        <w:szCs w:val="20"/>
        <w:rtl/>
        <w:lang w:bidi="fa-IR"/>
      </w:rPr>
      <w:t>2</w:t>
    </w:r>
    <w:r w:rsidRPr="00B52C9F">
      <w:rPr>
        <w:rFonts w:ascii="NoorLotus" w:hAnsi="NoorLotus" w:cs="NoorLotus"/>
        <w:sz w:val="20"/>
        <w:szCs w:val="20"/>
        <w:rtl/>
      </w:rPr>
      <w:t xml:space="preserve"> (تاریخ:</w:t>
    </w:r>
    <w:r w:rsidR="00D652A5">
      <w:rPr>
        <w:rFonts w:ascii="NoorLotus" w:hAnsi="NoorLotus" w:cs="NoorLotus" w:hint="cs"/>
        <w:sz w:val="20"/>
        <w:szCs w:val="20"/>
        <w:rtl/>
      </w:rPr>
      <w:t>2</w:t>
    </w:r>
    <w:r w:rsidR="00844730">
      <w:rPr>
        <w:rFonts w:ascii="NoorLotus" w:hAnsi="NoorLotus" w:cs="NoorLotus" w:hint="cs"/>
        <w:sz w:val="20"/>
        <w:szCs w:val="20"/>
        <w:rtl/>
      </w:rPr>
      <w:t>1</w:t>
    </w:r>
    <w:r w:rsidRPr="00B52C9F">
      <w:rPr>
        <w:rFonts w:ascii="NoorLotus" w:hAnsi="NoorLotus" w:cs="NoorLotus"/>
        <w:sz w:val="20"/>
        <w:szCs w:val="20"/>
        <w:rtl/>
      </w:rPr>
      <w:t>/3/1402)</w:t>
    </w:r>
  </w:p>
  <w:p w14:paraId="1681B957" w14:textId="77777777" w:rsidR="00F7601D" w:rsidRPr="00DA16A6" w:rsidRDefault="00413293"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A5"/>
    <w:rsid w:val="00041A67"/>
    <w:rsid w:val="00042296"/>
    <w:rsid w:val="00076F47"/>
    <w:rsid w:val="000A3A25"/>
    <w:rsid w:val="00125CB4"/>
    <w:rsid w:val="001959D4"/>
    <w:rsid w:val="00200AFE"/>
    <w:rsid w:val="00267B70"/>
    <w:rsid w:val="00281DB1"/>
    <w:rsid w:val="00285B9C"/>
    <w:rsid w:val="00300113"/>
    <w:rsid w:val="00337512"/>
    <w:rsid w:val="00337C71"/>
    <w:rsid w:val="00360A9B"/>
    <w:rsid w:val="003B1781"/>
    <w:rsid w:val="003D3F05"/>
    <w:rsid w:val="00413293"/>
    <w:rsid w:val="00435BCA"/>
    <w:rsid w:val="0047095C"/>
    <w:rsid w:val="00486C65"/>
    <w:rsid w:val="004C6C03"/>
    <w:rsid w:val="00512486"/>
    <w:rsid w:val="00565BA0"/>
    <w:rsid w:val="00567031"/>
    <w:rsid w:val="00567A21"/>
    <w:rsid w:val="0061411D"/>
    <w:rsid w:val="0061790E"/>
    <w:rsid w:val="0063455D"/>
    <w:rsid w:val="006803BF"/>
    <w:rsid w:val="00683093"/>
    <w:rsid w:val="006B55A6"/>
    <w:rsid w:val="006C6EBE"/>
    <w:rsid w:val="006D30C8"/>
    <w:rsid w:val="006F6FC5"/>
    <w:rsid w:val="0075710C"/>
    <w:rsid w:val="007765B0"/>
    <w:rsid w:val="007E60CA"/>
    <w:rsid w:val="00844730"/>
    <w:rsid w:val="008A705A"/>
    <w:rsid w:val="008D3D6B"/>
    <w:rsid w:val="008F3608"/>
    <w:rsid w:val="00997892"/>
    <w:rsid w:val="00A07258"/>
    <w:rsid w:val="00A11020"/>
    <w:rsid w:val="00AF2637"/>
    <w:rsid w:val="00B3003A"/>
    <w:rsid w:val="00B85F76"/>
    <w:rsid w:val="00BB1B5B"/>
    <w:rsid w:val="00BB1C5F"/>
    <w:rsid w:val="00BD3158"/>
    <w:rsid w:val="00BD48EF"/>
    <w:rsid w:val="00C07BA5"/>
    <w:rsid w:val="00C10A10"/>
    <w:rsid w:val="00CD62D4"/>
    <w:rsid w:val="00D62F0F"/>
    <w:rsid w:val="00D652A5"/>
    <w:rsid w:val="00DA3625"/>
    <w:rsid w:val="00E036BA"/>
    <w:rsid w:val="00E42DC0"/>
    <w:rsid w:val="00E462A0"/>
    <w:rsid w:val="00E51D0A"/>
    <w:rsid w:val="00E61223"/>
    <w:rsid w:val="00EB5AE2"/>
    <w:rsid w:val="00EF7ECD"/>
    <w:rsid w:val="00F30F91"/>
    <w:rsid w:val="00F61DFE"/>
    <w:rsid w:val="00F81B75"/>
    <w:rsid w:val="00FE3FBB"/>
    <w:rsid w:val="00FF0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B7EC8"/>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A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D62F0F"/>
    <w:pPr>
      <w:keepNext/>
      <w:keepLines/>
      <w:spacing w:before="200" w:after="0"/>
      <w:outlineLvl w:val="2"/>
    </w:pPr>
    <w:rPr>
      <w:rFonts w:asciiTheme="majorHAnsi" w:eastAsiaTheme="majorEastAsia" w:hAnsiTheme="majorHAnsi"/>
      <w:b/>
      <w:bCs/>
      <w:color w:val="00B0F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D62F0F"/>
    <w:rPr>
      <w:rFonts w:asciiTheme="majorHAnsi" w:eastAsiaTheme="majorEastAsia" w:hAnsiTheme="majorHAnsi" w:cs="NoorLotus"/>
      <w:b/>
      <w:bCs/>
      <w:color w:val="00B0F0"/>
      <w:szCs w:val="28"/>
      <w:lang w:bidi="fa-IR"/>
    </w:rPr>
  </w:style>
  <w:style w:type="paragraph" w:styleId="Header">
    <w:name w:val="header"/>
    <w:basedOn w:val="Normal"/>
    <w:link w:val="HeaderChar"/>
    <w:uiPriority w:val="99"/>
    <w:unhideWhenUsed/>
    <w:rsid w:val="00D652A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652A5"/>
  </w:style>
  <w:style w:type="paragraph" w:styleId="Footer">
    <w:name w:val="footer"/>
    <w:basedOn w:val="Normal"/>
    <w:link w:val="FooterChar"/>
    <w:uiPriority w:val="99"/>
    <w:unhideWhenUsed/>
    <w:rsid w:val="00D652A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652A5"/>
  </w:style>
  <w:style w:type="paragraph" w:styleId="FootnoteText">
    <w:name w:val="footnote text"/>
    <w:basedOn w:val="Normal"/>
    <w:link w:val="FootnoteTextChar"/>
    <w:uiPriority w:val="99"/>
    <w:unhideWhenUsed/>
    <w:rsid w:val="00D652A5"/>
    <w:pPr>
      <w:spacing w:after="0"/>
    </w:pPr>
    <w:rPr>
      <w:sz w:val="20"/>
      <w:szCs w:val="20"/>
    </w:rPr>
  </w:style>
  <w:style w:type="character" w:customStyle="1" w:styleId="FootnoteTextChar">
    <w:name w:val="Footnote Text Char"/>
    <w:basedOn w:val="DefaultParagraphFont"/>
    <w:link w:val="FootnoteText"/>
    <w:uiPriority w:val="99"/>
    <w:rsid w:val="00D652A5"/>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D652A5"/>
    <w:rPr>
      <w:vertAlign w:val="superscript"/>
    </w:rPr>
  </w:style>
  <w:style w:type="paragraph" w:styleId="TOCHeading">
    <w:name w:val="TOC Heading"/>
    <w:basedOn w:val="Heading1"/>
    <w:next w:val="Normal"/>
    <w:uiPriority w:val="39"/>
    <w:unhideWhenUsed/>
    <w:qFormat/>
    <w:rsid w:val="00D652A5"/>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D652A5"/>
    <w:pPr>
      <w:spacing w:after="100"/>
      <w:ind w:left="220"/>
    </w:pPr>
  </w:style>
  <w:style w:type="paragraph" w:styleId="TOC3">
    <w:name w:val="toc 3"/>
    <w:basedOn w:val="Normal"/>
    <w:next w:val="Normal"/>
    <w:autoRedefine/>
    <w:uiPriority w:val="39"/>
    <w:unhideWhenUsed/>
    <w:rsid w:val="00D652A5"/>
    <w:pPr>
      <w:spacing w:after="100"/>
      <w:ind w:left="440"/>
    </w:pPr>
  </w:style>
  <w:style w:type="character" w:styleId="Hyperlink">
    <w:name w:val="Hyperlink"/>
    <w:basedOn w:val="DefaultParagraphFont"/>
    <w:uiPriority w:val="99"/>
    <w:unhideWhenUsed/>
    <w:rsid w:val="00D652A5"/>
    <w:rPr>
      <w:color w:val="0000FF" w:themeColor="hyperlink"/>
      <w:u w:val="single"/>
    </w:rPr>
  </w:style>
  <w:style w:type="paragraph" w:styleId="TOC1">
    <w:name w:val="toc 1"/>
    <w:basedOn w:val="Normal"/>
    <w:next w:val="Normal"/>
    <w:autoRedefine/>
    <w:uiPriority w:val="39"/>
    <w:unhideWhenUsed/>
    <w:rsid w:val="00D652A5"/>
    <w:pPr>
      <w:spacing w:after="100"/>
    </w:pPr>
  </w:style>
  <w:style w:type="paragraph" w:styleId="BalloonText">
    <w:name w:val="Balloon Text"/>
    <w:basedOn w:val="Normal"/>
    <w:link w:val="BalloonTextChar"/>
    <w:uiPriority w:val="99"/>
    <w:semiHidden/>
    <w:unhideWhenUsed/>
    <w:rsid w:val="00D652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A5"/>
    <w:rPr>
      <w:rFonts w:ascii="Tahoma" w:eastAsia="Calibri" w:hAnsi="Tahoma" w:cs="Tahoma"/>
      <w:sz w:val="16"/>
      <w:szCs w:val="16"/>
      <w:lang w:bidi="fa-IR"/>
    </w:rPr>
  </w:style>
  <w:style w:type="paragraph" w:styleId="NormalWeb">
    <w:name w:val="Normal (Web)"/>
    <w:basedOn w:val="Normal"/>
    <w:uiPriority w:val="99"/>
    <w:unhideWhenUsed/>
    <w:rsid w:val="00565BA0"/>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9606">
      <w:bodyDiv w:val="1"/>
      <w:marLeft w:val="0"/>
      <w:marRight w:val="0"/>
      <w:marTop w:val="0"/>
      <w:marBottom w:val="0"/>
      <w:divBdr>
        <w:top w:val="none" w:sz="0" w:space="0" w:color="auto"/>
        <w:left w:val="none" w:sz="0" w:space="0" w:color="auto"/>
        <w:bottom w:val="none" w:sz="0" w:space="0" w:color="auto"/>
        <w:right w:val="none" w:sz="0" w:space="0" w:color="auto"/>
      </w:divBdr>
    </w:div>
    <w:div w:id="323895183">
      <w:bodyDiv w:val="1"/>
      <w:marLeft w:val="0"/>
      <w:marRight w:val="0"/>
      <w:marTop w:val="0"/>
      <w:marBottom w:val="0"/>
      <w:divBdr>
        <w:top w:val="none" w:sz="0" w:space="0" w:color="auto"/>
        <w:left w:val="none" w:sz="0" w:space="0" w:color="auto"/>
        <w:bottom w:val="none" w:sz="0" w:space="0" w:color="auto"/>
        <w:right w:val="none" w:sz="0" w:space="0" w:color="auto"/>
      </w:divBdr>
    </w:div>
    <w:div w:id="447313186">
      <w:bodyDiv w:val="1"/>
      <w:marLeft w:val="0"/>
      <w:marRight w:val="0"/>
      <w:marTop w:val="0"/>
      <w:marBottom w:val="0"/>
      <w:divBdr>
        <w:top w:val="none" w:sz="0" w:space="0" w:color="auto"/>
        <w:left w:val="none" w:sz="0" w:space="0" w:color="auto"/>
        <w:bottom w:val="none" w:sz="0" w:space="0" w:color="auto"/>
        <w:right w:val="none" w:sz="0" w:space="0" w:color="auto"/>
      </w:divBdr>
    </w:div>
    <w:div w:id="1737781499">
      <w:bodyDiv w:val="1"/>
      <w:marLeft w:val="0"/>
      <w:marRight w:val="0"/>
      <w:marTop w:val="0"/>
      <w:marBottom w:val="0"/>
      <w:divBdr>
        <w:top w:val="none" w:sz="0" w:space="0" w:color="auto"/>
        <w:left w:val="none" w:sz="0" w:space="0" w:color="auto"/>
        <w:bottom w:val="none" w:sz="0" w:space="0" w:color="auto"/>
        <w:right w:val="none" w:sz="0" w:space="0" w:color="auto"/>
      </w:divBdr>
    </w:div>
    <w:div w:id="20211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E27E-7C30-4E8C-81B8-87DA267B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20</cp:revision>
  <cp:lastPrinted>2023-06-11T23:45:00Z</cp:lastPrinted>
  <dcterms:created xsi:type="dcterms:W3CDTF">2023-06-10T04:19:00Z</dcterms:created>
  <dcterms:modified xsi:type="dcterms:W3CDTF">2023-08-02T11:07:00Z</dcterms:modified>
</cp:coreProperties>
</file>