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67" w:rsidRDefault="00293967" w:rsidP="00293967">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293967" w:rsidRDefault="00293967" w:rsidP="00293967">
      <w:pPr>
        <w:spacing w:before="240" w:line="276" w:lineRule="auto"/>
        <w:jc w:val="center"/>
        <w:rPr>
          <w:rFonts w:ascii="Arabic Typesetting" w:hAnsi="Arabic Typesetting" w:cs="Arabic Typesetting"/>
          <w:sz w:val="28"/>
          <w:szCs w:val="28"/>
          <w:lang w:bidi="ar-LB"/>
        </w:rPr>
      </w:pPr>
    </w:p>
    <w:p w:rsidR="00293967" w:rsidRDefault="00293967" w:rsidP="00293967">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hint="cs"/>
          <w:b/>
          <w:bCs/>
          <w:color w:val="FF0000"/>
          <w:sz w:val="28"/>
          <w:szCs w:val="28"/>
          <w:rtl/>
          <w:lang w:bidi="ar-LB"/>
        </w:rPr>
        <w:t xml:space="preserve"> 16</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293967" w:rsidRDefault="00293967" w:rsidP="00293967">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color w:val="FF0000"/>
          <w:sz w:val="28"/>
          <w:szCs w:val="28"/>
          <w:rtl/>
          <w:lang w:bidi="ar-LB"/>
        </w:rPr>
        <w:t>في اجتماع الأمر والنهي</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293967" w:rsidRDefault="00293967" w:rsidP="00361895">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sz w:val="28"/>
          <w:szCs w:val="28"/>
          <w:rtl/>
          <w:lang w:bidi="ar-LB"/>
        </w:rPr>
        <w:t>ا</w:t>
      </w:r>
      <w:r w:rsidR="00361895">
        <w:rPr>
          <w:rFonts w:ascii="Arabic Typesetting" w:hAnsi="Arabic Typesetting" w:cs="Arabic Typesetting" w:hint="cs"/>
          <w:sz w:val="28"/>
          <w:szCs w:val="28"/>
          <w:rtl/>
          <w:lang w:bidi="ar-LB"/>
        </w:rPr>
        <w:t>لثلاثاء</w:t>
      </w:r>
      <w:r>
        <w:rPr>
          <w:rFonts w:ascii="Arabic Typesetting" w:hAnsi="Arabic Typesetting" w:cs="Arabic Typesetting" w:hint="cs"/>
          <w:sz w:val="28"/>
          <w:szCs w:val="28"/>
          <w:rtl/>
          <w:lang w:bidi="ar-LB"/>
        </w:rPr>
        <w:t>:25</w:t>
      </w:r>
      <w:r>
        <w:rPr>
          <w:rFonts w:ascii="Arabic Typesetting" w:hAnsi="Arabic Typesetting" w:cs="Arabic Typesetting"/>
          <w:sz w:val="28"/>
          <w:szCs w:val="28"/>
          <w:rtl/>
          <w:lang w:bidi="ar-LB"/>
        </w:rPr>
        <w:t xml:space="preserve">/1/2022 </w:t>
      </w:r>
      <w:r>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22</w:t>
      </w:r>
      <w:r>
        <w:rPr>
          <w:rFonts w:ascii="Arabic Typesetting" w:hAnsi="Arabic Typesetting" w:cs="Arabic Typesetting"/>
          <w:sz w:val="28"/>
          <w:szCs w:val="28"/>
          <w:rtl/>
          <w:lang w:bidi="ar-LB"/>
        </w:rPr>
        <w:t>/جمادي الثانية/ 1443</w:t>
      </w:r>
      <w:r>
        <w:rPr>
          <w:rFonts w:ascii="Arabic Typesetting" w:hAnsi="Arabic Typesetting" w:cs="Arabic Typesetting"/>
          <w:b/>
          <w:bCs/>
          <w:sz w:val="28"/>
          <w:szCs w:val="28"/>
          <w:rtl/>
          <w:lang w:bidi="ar-LB"/>
        </w:rPr>
        <w:t>)</w:t>
      </w:r>
    </w:p>
    <w:p w:rsidR="00293967" w:rsidRDefault="00293967" w:rsidP="00293967">
      <w:pPr>
        <w:spacing w:line="252" w:lineRule="auto"/>
        <w:jc w:val="both"/>
        <w:rPr>
          <w:rFonts w:ascii="Lotus Linotype" w:hAnsi="Lotus Linotype" w:cs="Lotus Linotype"/>
          <w:sz w:val="28"/>
          <w:szCs w:val="28"/>
          <w:lang w:bidi="ar-LB"/>
        </w:rPr>
      </w:pPr>
    </w:p>
    <w:p w:rsidR="00293967" w:rsidRDefault="00293967" w:rsidP="00293967">
      <w:pPr>
        <w:spacing w:line="252" w:lineRule="auto"/>
        <w:jc w:val="both"/>
        <w:rPr>
          <w:rFonts w:ascii="Lotus Linotype" w:hAnsi="Lotus Linotype" w:cs="Lotus Linotype"/>
          <w:sz w:val="28"/>
          <w:szCs w:val="28"/>
          <w:rtl/>
          <w:lang w:bidi="ar-LB"/>
        </w:rPr>
      </w:pPr>
    </w:p>
    <w:p w:rsidR="00293967" w:rsidRDefault="00293967" w:rsidP="00293967">
      <w:pPr>
        <w:jc w:val="center"/>
        <w:rPr>
          <w:rFonts w:ascii="Lotus Linotype" w:hAnsi="Lotus Linotype" w:cs="Lotus Linotype"/>
          <w:sz w:val="28"/>
          <w:szCs w:val="28"/>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AA6AB9" w:rsidRDefault="00AA6AB9" w:rsidP="00293967">
      <w:pPr>
        <w:jc w:val="both"/>
        <w:rPr>
          <w:rFonts w:ascii="Lotus Linotype" w:hAnsi="Lotus Linotype" w:cs="Lotus Linotype"/>
          <w:sz w:val="28"/>
          <w:szCs w:val="28"/>
          <w:rtl/>
          <w:lang w:bidi="ar-LB"/>
        </w:rPr>
      </w:pPr>
    </w:p>
    <w:p w:rsidR="00A64A21" w:rsidRDefault="00293967" w:rsidP="002939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كان الكلام في </w:t>
      </w:r>
      <w:r w:rsidRPr="003B2DBE">
        <w:rPr>
          <w:rFonts w:ascii="Lotus Linotype" w:hAnsi="Lotus Linotype" w:cs="Lotus Linotype" w:hint="cs"/>
          <w:b/>
          <w:bCs/>
          <w:color w:val="FF0000"/>
          <w:sz w:val="28"/>
          <w:szCs w:val="28"/>
          <w:rtl/>
          <w:lang w:bidi="ar-LB"/>
        </w:rPr>
        <w:t xml:space="preserve">الوجه الذي ذكره صاحب الكفاية </w:t>
      </w:r>
      <w:r w:rsidRPr="003B2DBE">
        <w:rPr>
          <w:rFonts w:ascii="Lotus Linotype" w:hAnsi="Lotus Linotype" w:cs="TAHER" w:hint="cs"/>
          <w:b/>
          <w:bCs/>
          <w:color w:val="FF0000"/>
          <w:sz w:val="28"/>
          <w:szCs w:val="28"/>
          <w:rtl/>
          <w:lang w:bidi="ar-LB"/>
        </w:rPr>
        <w:t>&amp;</w:t>
      </w:r>
      <w:r w:rsidRPr="003B2DBE">
        <w:rPr>
          <w:rFonts w:ascii="Lotus Linotype" w:hAnsi="Lotus Linotype" w:cs="Lotus Linotype" w:hint="cs"/>
          <w:b/>
          <w:bCs/>
          <w:color w:val="FF0000"/>
          <w:sz w:val="28"/>
          <w:szCs w:val="28"/>
          <w:rtl/>
          <w:lang w:bidi="ar-LB"/>
        </w:rPr>
        <w:t xml:space="preserve"> في مقام الاستدلال على امتناع اجتماع الأمر والنهي</w:t>
      </w:r>
      <w:r w:rsidRPr="003B2DBE">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ولو مع تعدد العنوان. وكان يبتني على أربع مقدمات، وصلنا إلى </w:t>
      </w:r>
      <w:r w:rsidRPr="003B2DBE">
        <w:rPr>
          <w:rFonts w:ascii="Lotus Linotype" w:hAnsi="Lotus Linotype" w:cs="Lotus Linotype" w:hint="cs"/>
          <w:b/>
          <w:bCs/>
          <w:sz w:val="28"/>
          <w:szCs w:val="28"/>
          <w:rtl/>
          <w:lang w:bidi="ar-LB"/>
        </w:rPr>
        <w:t xml:space="preserve">المقدمة الثالثة </w:t>
      </w:r>
      <w:r>
        <w:rPr>
          <w:rFonts w:ascii="Lotus Linotype" w:hAnsi="Lotus Linotype" w:cs="Lotus Linotype" w:hint="cs"/>
          <w:sz w:val="28"/>
          <w:szCs w:val="28"/>
          <w:rtl/>
          <w:lang w:bidi="ar-LB"/>
        </w:rPr>
        <w:t xml:space="preserve">وهي </w:t>
      </w:r>
      <w:r w:rsidRPr="003B2DBE">
        <w:rPr>
          <w:rFonts w:ascii="Lotus Linotype" w:hAnsi="Lotus Linotype" w:cs="Lotus Linotype" w:hint="cs"/>
          <w:b/>
          <w:bCs/>
          <w:sz w:val="28"/>
          <w:szCs w:val="28"/>
          <w:rtl/>
          <w:lang w:bidi="ar-LB"/>
        </w:rPr>
        <w:t>أنّ تعدد العنوان لا يكشف عن تعدد المعنون</w:t>
      </w:r>
      <w:r>
        <w:rPr>
          <w:rFonts w:ascii="Lotus Linotype" w:hAnsi="Lotus Linotype" w:cs="Lotus Linotype" w:hint="cs"/>
          <w:sz w:val="28"/>
          <w:szCs w:val="28"/>
          <w:rtl/>
          <w:lang w:bidi="ar-LB"/>
        </w:rPr>
        <w:t>، فيمكن أن يكون هناك وجود</w:t>
      </w:r>
      <w:r w:rsidR="0099076F">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واحد معنون بعنوانين متعددين، ومن هذا القبيل الصلاة والغصب</w:t>
      </w:r>
      <w:r w:rsidR="00A64A21">
        <w:rPr>
          <w:rFonts w:ascii="Lotus Linotype" w:hAnsi="Lotus Linotype" w:cs="Lotus Linotype" w:hint="cs"/>
          <w:sz w:val="28"/>
          <w:szCs w:val="28"/>
          <w:rtl/>
          <w:lang w:bidi="ar-LB"/>
        </w:rPr>
        <w:t xml:space="preserve">. </w:t>
      </w:r>
    </w:p>
    <w:p w:rsidR="003B2DBE" w:rsidRDefault="00A64A21" w:rsidP="002939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ودافع السيّد الخوئي</w:t>
      </w:r>
      <w:r w:rsidR="003B2DBE">
        <w:rPr>
          <w:rFonts w:ascii="Lotus Linotype" w:hAnsi="Lotus Linotype" w:cs="Lotus Linotype" w:hint="cs"/>
          <w:sz w:val="28"/>
          <w:szCs w:val="28"/>
          <w:rtl/>
          <w:lang w:bidi="ar-LB"/>
        </w:rPr>
        <w:t xml:space="preserve"> </w:t>
      </w:r>
      <w:r w:rsidR="003B2DBE">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عن هذه المقدمة فقال:</w:t>
      </w:r>
    </w:p>
    <w:p w:rsidR="00293967" w:rsidRDefault="003B2DBE" w:rsidP="002939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4A21">
        <w:rPr>
          <w:rFonts w:ascii="Lotus Linotype" w:hAnsi="Lotus Linotype" w:cs="Lotus Linotype" w:hint="cs"/>
          <w:sz w:val="28"/>
          <w:szCs w:val="28"/>
          <w:rtl/>
          <w:lang w:bidi="ar-LB"/>
        </w:rPr>
        <w:t xml:space="preserve"> إذا كان أحد العنوانين عنواناً انتزاعيّاً أو كان كلاهما عنوانين انتزاعيين فيمكن أن يكون العنوان الانتزاعي منتزعاً من الذات التي يُتخذ منها عنوانٌ آخر، كأكل مال الغير في نهار شهر رمضان</w:t>
      </w:r>
      <w:r w:rsidR="0099076F">
        <w:rPr>
          <w:rFonts w:ascii="Lotus Linotype" w:hAnsi="Lotus Linotype" w:cs="Lotus Linotype" w:hint="cs"/>
          <w:sz w:val="28"/>
          <w:szCs w:val="28"/>
          <w:rtl/>
          <w:lang w:bidi="ar-LB"/>
        </w:rPr>
        <w:t>؛</w:t>
      </w:r>
      <w:r w:rsidR="00A64A21">
        <w:rPr>
          <w:rFonts w:ascii="Lotus Linotype" w:hAnsi="Lotus Linotype" w:cs="Lotus Linotype" w:hint="cs"/>
          <w:sz w:val="28"/>
          <w:szCs w:val="28"/>
          <w:rtl/>
          <w:lang w:bidi="ar-LB"/>
        </w:rPr>
        <w:t xml:space="preserve"> فإنّ عنوانه الذاتي هو الأكل ويُنتزع منه عنوانان انتزاعيان أحدهما الافطار بلحاظ وقوعه في نهار شهر رمضان وثانيهما الغصب بلحاظ كون المأكول مال الغير.</w:t>
      </w:r>
      <w:r w:rsidR="00F42973">
        <w:rPr>
          <w:rFonts w:ascii="Lotus Linotype" w:hAnsi="Lotus Linotype" w:cs="Lotus Linotype" w:hint="cs"/>
          <w:sz w:val="28"/>
          <w:szCs w:val="28"/>
          <w:rtl/>
          <w:lang w:bidi="ar-LB"/>
        </w:rPr>
        <w:t xml:space="preserve"> </w:t>
      </w:r>
    </w:p>
    <w:p w:rsidR="0099076F" w:rsidRDefault="00F42973" w:rsidP="00D30AC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3B2DBE">
        <w:rPr>
          <w:rFonts w:ascii="Lotus Linotype" w:hAnsi="Lotus Linotype" w:cs="Lotus Linotype" w:hint="cs"/>
          <w:b/>
          <w:bCs/>
          <w:sz w:val="28"/>
          <w:szCs w:val="28"/>
          <w:rtl/>
          <w:lang w:bidi="ar-LB"/>
        </w:rPr>
        <w:t>ونحنا أيّدنا السيد الخوئي</w:t>
      </w:r>
      <w:r w:rsidR="0099076F" w:rsidRPr="003B2DBE">
        <w:rPr>
          <w:rFonts w:ascii="Lotus Linotype" w:hAnsi="Lotus Linotype" w:cs="Lotus Linotype" w:hint="cs"/>
          <w:b/>
          <w:bCs/>
          <w:sz w:val="28"/>
          <w:szCs w:val="28"/>
          <w:rtl/>
          <w:lang w:bidi="ar-LB"/>
        </w:rPr>
        <w:t xml:space="preserve"> </w:t>
      </w:r>
      <w:r w:rsidR="0099076F" w:rsidRPr="003B2DBE">
        <w:rPr>
          <w:rFonts w:ascii="Lotus Linotype" w:hAnsi="Lotus Linotype" w:cs="TAHER" w:hint="cs"/>
          <w:b/>
          <w:bCs/>
          <w:sz w:val="28"/>
          <w:szCs w:val="28"/>
          <w:rtl/>
          <w:lang w:bidi="ar-LB"/>
        </w:rPr>
        <w:t>&amp;</w:t>
      </w:r>
      <w:r>
        <w:rPr>
          <w:rFonts w:ascii="Lotus Linotype" w:hAnsi="Lotus Linotype" w:cs="Lotus Linotype" w:hint="cs"/>
          <w:sz w:val="28"/>
          <w:szCs w:val="28"/>
          <w:rtl/>
          <w:lang w:bidi="ar-LB"/>
        </w:rPr>
        <w:t xml:space="preserve"> فيما ذكره وإن أشكل عليه في البحوث فقال</w:t>
      </w:r>
      <w:r w:rsidR="0099076F">
        <w:rPr>
          <w:rFonts w:ascii="Lotus Linotype" w:hAnsi="Lotus Linotype" w:cs="Lotus Linotype" w:hint="cs"/>
          <w:sz w:val="28"/>
          <w:szCs w:val="28"/>
          <w:rtl/>
          <w:lang w:bidi="ar-LB"/>
        </w:rPr>
        <w:t xml:space="preserve"> </w:t>
      </w:r>
      <w:r w:rsidR="0099076F">
        <w:rPr>
          <w:rFonts w:ascii="Lotus Linotype" w:hAnsi="Lotus Linotype" w:cs="TAHER" w:hint="cs"/>
          <w:sz w:val="28"/>
          <w:szCs w:val="28"/>
          <w:rtl/>
          <w:lang w:bidi="ar-LB"/>
        </w:rPr>
        <w:t>&amp;</w:t>
      </w:r>
      <w:r>
        <w:rPr>
          <w:rFonts w:ascii="Lotus Linotype" w:hAnsi="Lotus Linotype" w:cs="Lotus Linotype" w:hint="cs"/>
          <w:sz w:val="28"/>
          <w:szCs w:val="28"/>
          <w:rtl/>
          <w:lang w:bidi="ar-LB"/>
        </w:rPr>
        <w:t>: الصلاة والغصب وإن كانا ينطبقان على معنونٍ واحد لكن ليس الكلام في العناوين الاشتقاقيّة، بل الكلام كما ذكره المحقق النائيني</w:t>
      </w:r>
      <w:r w:rsidR="0099076F">
        <w:rPr>
          <w:rFonts w:ascii="Lotus Linotype" w:hAnsi="Lotus Linotype" w:cs="Lotus Linotype" w:hint="cs"/>
          <w:sz w:val="28"/>
          <w:szCs w:val="28"/>
          <w:rtl/>
          <w:lang w:bidi="ar-LB"/>
        </w:rPr>
        <w:t xml:space="preserve"> </w:t>
      </w:r>
      <w:r w:rsidR="0099076F">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في العناوين المبدأيّة فإنّ العناوين الاشتقاقيّة لا ريب في انطباقها على معنونٍ واحد كالعالم والعادل حيث ينطبقان على </w:t>
      </w:r>
      <w:r>
        <w:rPr>
          <w:rFonts w:ascii="Lotus Linotype" w:hAnsi="Lotus Linotype" w:cs="Lotus Linotype" w:hint="cs"/>
          <w:sz w:val="28"/>
          <w:szCs w:val="28"/>
          <w:rtl/>
          <w:lang w:bidi="ar-LB"/>
        </w:rPr>
        <w:lastRenderedPageBreak/>
        <w:t>شخصٍ يكون عالماً وعادلاً، والصلاة والغصب عنوانان اشتقاقيان؛ فإنّ الصلاة بمعنى ذاتٍ ثبت لها الصلاتيّة والغصب بمعنى ذاتٍ ثبت لها الغصبيّة</w:t>
      </w:r>
      <w:r w:rsidR="00A41419">
        <w:rPr>
          <w:rFonts w:ascii="Lotus Linotype" w:hAnsi="Lotus Linotype" w:cs="Lotus Linotype" w:hint="cs"/>
          <w:sz w:val="28"/>
          <w:szCs w:val="28"/>
          <w:rtl/>
          <w:lang w:bidi="ar-LB"/>
        </w:rPr>
        <w:t xml:space="preserve">. </w:t>
      </w:r>
    </w:p>
    <w:p w:rsidR="0099076F" w:rsidRDefault="0099076F" w:rsidP="00D30AC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41419" w:rsidRPr="003B2DBE">
        <w:rPr>
          <w:rFonts w:ascii="Lotus Linotype" w:hAnsi="Lotus Linotype" w:cs="Lotus Linotype" w:hint="cs"/>
          <w:b/>
          <w:bCs/>
          <w:sz w:val="28"/>
          <w:szCs w:val="28"/>
          <w:rtl/>
          <w:lang w:bidi="ar-LB"/>
        </w:rPr>
        <w:t>واستشهد على ذلك</w:t>
      </w:r>
      <w:r w:rsidR="00A41419">
        <w:rPr>
          <w:rFonts w:ascii="Lotus Linotype" w:hAnsi="Lotus Linotype" w:cs="Lotus Linotype" w:hint="cs"/>
          <w:sz w:val="28"/>
          <w:szCs w:val="28"/>
          <w:rtl/>
          <w:lang w:bidi="ar-LB"/>
        </w:rPr>
        <w:t>، فقال: لا يمكن الإشارة إلى الخارج فنقول هذا غصبيّةٌ، بل هذا غصبٌ</w:t>
      </w:r>
      <w:r>
        <w:rPr>
          <w:rFonts w:ascii="Lotus Linotype" w:hAnsi="Lotus Linotype" w:cs="Lotus Linotype" w:hint="cs"/>
          <w:sz w:val="28"/>
          <w:szCs w:val="28"/>
          <w:rtl/>
          <w:lang w:bidi="ar-LB"/>
        </w:rPr>
        <w:t>.</w:t>
      </w:r>
      <w:r w:rsidR="00A41419">
        <w:rPr>
          <w:rFonts w:ascii="Lotus Linotype" w:hAnsi="Lotus Linotype" w:cs="Lotus Linotype" w:hint="cs"/>
          <w:sz w:val="28"/>
          <w:szCs w:val="28"/>
          <w:rtl/>
          <w:lang w:bidi="ar-LB"/>
        </w:rPr>
        <w:t xml:space="preserve"> وتخريجه أنّ الغصبيّة من الأمور الواقعيّة التي هي أوسع من عالم الوجود التكوينيّ، </w:t>
      </w:r>
      <w:r w:rsidR="007D00D5">
        <w:rPr>
          <w:rFonts w:ascii="Lotus Linotype" w:hAnsi="Lotus Linotype" w:cs="Lotus Linotype" w:hint="cs"/>
          <w:sz w:val="28"/>
          <w:szCs w:val="28"/>
          <w:rtl/>
          <w:lang w:bidi="ar-LB"/>
        </w:rPr>
        <w:t>فكما يُنتزع وصف الإمكان عن الإنسان ولكن مُطابق كون الإنسان ممكناً في عالم نفس الأمر وعالم الواقع</w:t>
      </w:r>
      <w:r w:rsidR="00D30ACF">
        <w:rPr>
          <w:rFonts w:ascii="Lotus Linotype" w:hAnsi="Lotus Linotype" w:cs="Lotus Linotype" w:hint="cs"/>
          <w:sz w:val="28"/>
          <w:szCs w:val="28"/>
          <w:rtl/>
          <w:lang w:bidi="ar-LB"/>
        </w:rPr>
        <w:t>.</w:t>
      </w:r>
      <w:r w:rsidR="007D00D5">
        <w:rPr>
          <w:rFonts w:ascii="Lotus Linotype" w:hAnsi="Lotus Linotype" w:cs="Lotus Linotype" w:hint="cs"/>
          <w:sz w:val="28"/>
          <w:szCs w:val="28"/>
          <w:rtl/>
          <w:lang w:bidi="ar-LB"/>
        </w:rPr>
        <w:t xml:space="preserve"> وه</w:t>
      </w:r>
      <w:r>
        <w:rPr>
          <w:rFonts w:ascii="Lotus Linotype" w:hAnsi="Lotus Linotype" w:cs="Lotus Linotype" w:hint="cs"/>
          <w:sz w:val="28"/>
          <w:szCs w:val="28"/>
          <w:rtl/>
          <w:lang w:bidi="ar-LB"/>
        </w:rPr>
        <w:t>ك</w:t>
      </w:r>
      <w:r w:rsidR="007D00D5">
        <w:rPr>
          <w:rFonts w:ascii="Lotus Linotype" w:hAnsi="Lotus Linotype" w:cs="Lotus Linotype" w:hint="cs"/>
          <w:sz w:val="28"/>
          <w:szCs w:val="28"/>
          <w:rtl/>
          <w:lang w:bidi="ar-LB"/>
        </w:rPr>
        <w:t>ذا امتناع اجتماع النقيضين</w:t>
      </w:r>
      <w:r w:rsidR="00D30ACF">
        <w:rPr>
          <w:rFonts w:ascii="Lotus Linotype" w:hAnsi="Lotus Linotype" w:cs="Lotus Linotype" w:hint="cs"/>
          <w:sz w:val="28"/>
          <w:szCs w:val="28"/>
          <w:rtl/>
          <w:lang w:bidi="ar-LB"/>
        </w:rPr>
        <w:t xml:space="preserve">، فقولنا اجتماع النقيضين ممتنع مطابق لقضيّةٍ نفس أمريّة، فعالم الواقع ونفس الأمر أوسع من عالم الوجود، عدم العنقاء ليس موجوداً ولكن له واقعيّةٌ. </w:t>
      </w:r>
    </w:p>
    <w:p w:rsidR="00F42973" w:rsidRDefault="0099076F" w:rsidP="00D30AC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30ACF">
        <w:rPr>
          <w:rFonts w:ascii="Lotus Linotype" w:hAnsi="Lotus Linotype" w:cs="Lotus Linotype" w:hint="cs"/>
          <w:sz w:val="28"/>
          <w:szCs w:val="28"/>
          <w:rtl/>
          <w:lang w:bidi="ar-LB"/>
        </w:rPr>
        <w:t>فإذاً حيث لا يمكننا أن نشير إلى الخارج فنقول هذا غصبيّةٌ</w:t>
      </w:r>
      <w:r>
        <w:rPr>
          <w:rFonts w:ascii="Lotus Linotype" w:hAnsi="Lotus Linotype" w:cs="Lotus Linotype" w:hint="cs"/>
          <w:sz w:val="28"/>
          <w:szCs w:val="28"/>
          <w:rtl/>
          <w:lang w:bidi="ar-LB"/>
        </w:rPr>
        <w:t>،</w:t>
      </w:r>
      <w:r w:rsidR="00D30ACF">
        <w:rPr>
          <w:rFonts w:ascii="Lotus Linotype" w:hAnsi="Lotus Linotype" w:cs="Lotus Linotype" w:hint="cs"/>
          <w:sz w:val="28"/>
          <w:szCs w:val="28"/>
          <w:rtl/>
          <w:lang w:bidi="ar-LB"/>
        </w:rPr>
        <w:t xml:space="preserve"> فيعني ذلك أنّ الغصبيّة ليست </w:t>
      </w:r>
      <w:r w:rsidR="00A966E0">
        <w:rPr>
          <w:rFonts w:ascii="Lotus Linotype" w:hAnsi="Lotus Linotype" w:cs="Lotus Linotype" w:hint="cs"/>
          <w:sz w:val="28"/>
          <w:szCs w:val="28"/>
          <w:rtl/>
          <w:lang w:bidi="ar-LB"/>
        </w:rPr>
        <w:t>موجودةً في الخارج</w:t>
      </w:r>
      <w:r w:rsidR="00D30ACF">
        <w:rPr>
          <w:rFonts w:ascii="Lotus Linotype" w:hAnsi="Lotus Linotype" w:cs="Lotus Linotype" w:hint="cs"/>
          <w:sz w:val="28"/>
          <w:szCs w:val="28"/>
          <w:rtl/>
          <w:lang w:bidi="ar-LB"/>
        </w:rPr>
        <w:t xml:space="preserve"> وما هو الموجود في الخارج هو الغصب</w:t>
      </w:r>
      <w:r w:rsidR="00A966E0">
        <w:rPr>
          <w:rFonts w:ascii="Lotus Linotype" w:hAnsi="Lotus Linotype" w:cs="Lotus Linotype" w:hint="cs"/>
          <w:sz w:val="28"/>
          <w:szCs w:val="28"/>
          <w:rtl/>
          <w:lang w:bidi="ar-LB"/>
        </w:rPr>
        <w:t xml:space="preserve">، واتحاد معنون الصلاة والغصب يكون من مصاديق اتحاد المعنون في العناوين الاشتقاقيّة. </w:t>
      </w:r>
    </w:p>
    <w:p w:rsidR="00A966E0" w:rsidRDefault="004C257B" w:rsidP="00C2589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966E0">
        <w:rPr>
          <w:rFonts w:ascii="Lotus Linotype" w:hAnsi="Lotus Linotype" w:cs="Lotus Linotype" w:hint="cs"/>
          <w:sz w:val="28"/>
          <w:szCs w:val="28"/>
          <w:rtl/>
          <w:lang w:bidi="ar-LB"/>
        </w:rPr>
        <w:t xml:space="preserve">وعليه فلو قال المولى: </w:t>
      </w:r>
      <w:r w:rsidR="00A966E0">
        <w:rPr>
          <w:rFonts w:ascii="Lotus Linotype" w:hAnsi="Lotus Linotype" w:cs="Cambria" w:hint="cs"/>
          <w:sz w:val="28"/>
          <w:szCs w:val="28"/>
          <w:rtl/>
          <w:lang w:bidi="ar-LB"/>
        </w:rPr>
        <w:t>"</w:t>
      </w:r>
      <w:r w:rsidR="00A966E0">
        <w:rPr>
          <w:rFonts w:ascii="Lotus Linotype" w:hAnsi="Lotus Linotype" w:cs="Lotus Linotype" w:hint="cs"/>
          <w:sz w:val="28"/>
          <w:szCs w:val="28"/>
          <w:rtl/>
          <w:lang w:bidi="ar-LB"/>
        </w:rPr>
        <w:t>أوجد الصلاتيّة ولا توجد الغصبيّة</w:t>
      </w:r>
      <w:r w:rsidR="00A966E0">
        <w:rPr>
          <w:rFonts w:ascii="Lotus Linotype" w:hAnsi="Lotus Linotype" w:cs="Cambria" w:hint="cs"/>
          <w:sz w:val="28"/>
          <w:szCs w:val="28"/>
          <w:rtl/>
          <w:lang w:bidi="ar-LB"/>
        </w:rPr>
        <w:t>"</w:t>
      </w:r>
      <w:r w:rsidR="00A966E0">
        <w:rPr>
          <w:rFonts w:ascii="Lotus Linotype" w:hAnsi="Lotus Linotype" w:cs="Lotus Linotype" w:hint="cs"/>
          <w:sz w:val="28"/>
          <w:szCs w:val="28"/>
          <w:rtl/>
          <w:lang w:bidi="ar-LB"/>
        </w:rPr>
        <w:t xml:space="preserve"> فلا يكون المعنون فيهما واحداً؛ لاختلاف حيثية الصلاتية عن حيثية الغصبيّة، ولكن لو قال "صلِّ" أي أوجد ذاتاً ثبت لها الصلاتية وقال "لا تغصب" أي لا توجد ذاتاً ثبت لها الغصبيّة، فحيث</w:t>
      </w:r>
      <w:r w:rsidR="00C25899">
        <w:rPr>
          <w:rFonts w:ascii="Lotus Linotype" w:hAnsi="Lotus Linotype" w:cs="Lotus Linotype" w:hint="cs"/>
          <w:sz w:val="28"/>
          <w:szCs w:val="28"/>
          <w:rtl/>
          <w:lang w:bidi="ar-LB"/>
        </w:rPr>
        <w:t xml:space="preserve"> إنّ</w:t>
      </w:r>
      <w:r w:rsidR="00A966E0">
        <w:rPr>
          <w:rFonts w:ascii="Lotus Linotype" w:hAnsi="Lotus Linotype" w:cs="Lotus Linotype" w:hint="cs"/>
          <w:sz w:val="28"/>
          <w:szCs w:val="28"/>
          <w:rtl/>
          <w:lang w:bidi="ar-LB"/>
        </w:rPr>
        <w:t xml:space="preserve"> هناك جزءاً مشتركاً بين متعلّق الأمر والنهي وهو عنوان الذات</w:t>
      </w:r>
      <w:r>
        <w:rPr>
          <w:rFonts w:ascii="Lotus Linotype" w:hAnsi="Lotus Linotype" w:cs="Lotus Linotype" w:hint="cs"/>
          <w:sz w:val="28"/>
          <w:szCs w:val="28"/>
          <w:rtl/>
          <w:lang w:bidi="ar-LB"/>
        </w:rPr>
        <w:t>،</w:t>
      </w:r>
      <w:r w:rsidR="00A966E0">
        <w:rPr>
          <w:rFonts w:ascii="Lotus Linotype" w:hAnsi="Lotus Linotype" w:cs="Lotus Linotype" w:hint="cs"/>
          <w:sz w:val="28"/>
          <w:szCs w:val="28"/>
          <w:rtl/>
          <w:lang w:bidi="ar-LB"/>
        </w:rPr>
        <w:t xml:space="preserve"> فيكون من قبيل ما لو وُجد جزءٌ مشتركٌ في متعلّق الأمر والنهي</w:t>
      </w:r>
      <w:r w:rsidR="00C25899">
        <w:rPr>
          <w:rFonts w:ascii="Lotus Linotype" w:hAnsi="Lotus Linotype" w:cs="Lotus Linotype" w:hint="cs"/>
          <w:sz w:val="28"/>
          <w:szCs w:val="28"/>
          <w:rtl/>
          <w:lang w:bidi="ar-LB"/>
        </w:rPr>
        <w:t>،</w:t>
      </w:r>
      <w:r w:rsidR="00A966E0">
        <w:rPr>
          <w:rFonts w:ascii="Lotus Linotype" w:hAnsi="Lotus Linotype" w:cs="Lotus Linotype" w:hint="cs"/>
          <w:sz w:val="28"/>
          <w:szCs w:val="28"/>
          <w:rtl/>
          <w:lang w:bidi="ar-LB"/>
        </w:rPr>
        <w:t xml:space="preserve"> كما لو قال المولى أكرم عالماً ولا تكرم الفاسق. وسيأتي من البحوث اختياره</w:t>
      </w:r>
      <w:r>
        <w:rPr>
          <w:rFonts w:ascii="Lotus Linotype" w:hAnsi="Lotus Linotype" w:cs="Lotus Linotype" w:hint="cs"/>
          <w:sz w:val="28"/>
          <w:szCs w:val="28"/>
          <w:rtl/>
          <w:lang w:bidi="ar-LB"/>
        </w:rPr>
        <w:t xml:space="preserve"> </w:t>
      </w:r>
      <w:r w:rsidR="00C25899">
        <w:rPr>
          <w:rFonts w:ascii="Lotus Linotype" w:hAnsi="Lotus Linotype" w:cs="Lotus Linotype" w:hint="cs"/>
          <w:sz w:val="28"/>
          <w:szCs w:val="28"/>
          <w:rtl/>
          <w:lang w:bidi="ar-LB"/>
        </w:rPr>
        <w:t>امتناع</w:t>
      </w:r>
      <w:r>
        <w:rPr>
          <w:rFonts w:ascii="Lotus Linotype" w:hAnsi="Lotus Linotype" w:cs="Lotus Linotype" w:hint="cs"/>
          <w:sz w:val="28"/>
          <w:szCs w:val="28"/>
          <w:rtl/>
          <w:lang w:bidi="ar-LB"/>
        </w:rPr>
        <w:t xml:space="preserve"> اجتماع الأمر والنهي فيه ببيان سيأتي توضيحه.</w:t>
      </w:r>
    </w:p>
    <w:p w:rsidR="004C257B" w:rsidRDefault="004C257B" w:rsidP="004C257B">
      <w:pPr>
        <w:jc w:val="both"/>
        <w:rPr>
          <w:rFonts w:ascii="Lotus Linotype" w:hAnsi="Lotus Linotype" w:cs="Lotus Linotype"/>
          <w:sz w:val="28"/>
          <w:szCs w:val="28"/>
          <w:rtl/>
          <w:lang w:bidi="ar-LB"/>
        </w:rPr>
      </w:pPr>
      <w:r w:rsidRPr="003A4D81">
        <w:rPr>
          <w:rFonts w:ascii="Lotus Linotype" w:hAnsi="Lotus Linotype" w:cs="Lotus Linotype" w:hint="cs"/>
          <w:b/>
          <w:bCs/>
          <w:color w:val="FF0000"/>
          <w:sz w:val="28"/>
          <w:szCs w:val="28"/>
          <w:rtl/>
          <w:lang w:bidi="ar-LB"/>
        </w:rPr>
        <w:t>نقول في الجواب</w:t>
      </w:r>
      <w:r>
        <w:rPr>
          <w:rFonts w:ascii="Lotus Linotype" w:hAnsi="Lotus Linotype" w:cs="Lotus Linotype" w:hint="cs"/>
          <w:sz w:val="28"/>
          <w:szCs w:val="28"/>
          <w:rtl/>
          <w:lang w:bidi="ar-LB"/>
        </w:rPr>
        <w:t>: عدم إمكان الإشارة إلى الخارج بأن نقول هذا غصبيّةٌ، لا يعني أنّ الغصبيّة ليست موجودةً في الخارج؛ لأنّ هذا المطلب لا يختصّ بالمصدر الجعلي للغصب ويأتي في كلّ مصدرٍ جعلي، لا يقال: هذا شربيةٌ، هذا أكليةٌ؛ لأنّ الأكليّة والشربيّة ونحو ذلك ليس لها وجودٌ مستقلٌ وراء وجود الأكل والشرب ونحو ذلك.</w:t>
      </w:r>
      <w:r w:rsidR="003A4D81">
        <w:rPr>
          <w:rFonts w:ascii="Lotus Linotype" w:hAnsi="Lotus Linotype" w:cs="Lotus Linotype" w:hint="cs"/>
          <w:sz w:val="28"/>
          <w:szCs w:val="28"/>
          <w:rtl/>
          <w:lang w:bidi="ar-LB"/>
        </w:rPr>
        <w:t xml:space="preserve"> فالغصبيّة كالأكليّة والشربيّة موجودة في الخارج لكن بنفس وجود الغصب</w:t>
      </w:r>
      <w:r w:rsidR="00C25899">
        <w:rPr>
          <w:rFonts w:ascii="Lotus Linotype" w:hAnsi="Lotus Linotype" w:cs="Lotus Linotype" w:hint="cs"/>
          <w:sz w:val="28"/>
          <w:szCs w:val="28"/>
          <w:rtl/>
          <w:lang w:bidi="ar-LB"/>
        </w:rPr>
        <w:t>،</w:t>
      </w:r>
      <w:r w:rsidR="003A4D81">
        <w:rPr>
          <w:rFonts w:ascii="Lotus Linotype" w:hAnsi="Lotus Linotype" w:cs="Lotus Linotype" w:hint="cs"/>
          <w:sz w:val="28"/>
          <w:szCs w:val="28"/>
          <w:rtl/>
          <w:lang w:bidi="ar-LB"/>
        </w:rPr>
        <w:t xml:space="preserve"> وليس لها وجودٌ منحازٌ في الخارج بحيث يشار إليه فيقال هذا غصبية كما يُشار إلى البياض فيقال هذا بياضٌ.</w:t>
      </w:r>
    </w:p>
    <w:p w:rsidR="003A4D81" w:rsidRDefault="00C25899" w:rsidP="00F62165">
      <w:pPr>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3A4D81" w:rsidRPr="00C25899">
        <w:rPr>
          <w:rFonts w:ascii="Lotus Linotype" w:hAnsi="Lotus Linotype" w:cs="Lotus Linotype" w:hint="cs"/>
          <w:b/>
          <w:bCs/>
          <w:color w:val="FF0000"/>
          <w:sz w:val="28"/>
          <w:szCs w:val="28"/>
          <w:rtl/>
          <w:lang w:bidi="ar-LB"/>
        </w:rPr>
        <w:t>والحاصل</w:t>
      </w:r>
      <w:r w:rsidR="00F62165">
        <w:rPr>
          <w:rFonts w:ascii="Lotus Linotype" w:hAnsi="Lotus Linotype" w:cs="Lotus Linotype" w:hint="cs"/>
          <w:sz w:val="28"/>
          <w:szCs w:val="28"/>
          <w:rtl/>
          <w:lang w:bidi="ar-LB"/>
        </w:rPr>
        <w:t>:</w:t>
      </w:r>
      <w:r w:rsidR="003A4D81">
        <w:rPr>
          <w:rFonts w:ascii="Lotus Linotype" w:hAnsi="Lotus Linotype" w:cs="Lotus Linotype" w:hint="cs"/>
          <w:sz w:val="28"/>
          <w:szCs w:val="28"/>
          <w:rtl/>
          <w:lang w:bidi="ar-LB"/>
        </w:rPr>
        <w:t xml:space="preserve"> أنّ كلامنا في الأمر بالصلاة والنهي عن الغصب</w:t>
      </w:r>
      <w:r w:rsidR="00F62165">
        <w:rPr>
          <w:rFonts w:ascii="Lotus Linotype" w:hAnsi="Lotus Linotype" w:cs="Lotus Linotype" w:hint="cs"/>
          <w:sz w:val="28"/>
          <w:szCs w:val="28"/>
          <w:rtl/>
          <w:lang w:bidi="ar-LB"/>
        </w:rPr>
        <w:t xml:space="preserve"> وليس كلامنا في الأمر بحيثيّة الصلاتيّة والنهي عن حيثيّة الغصبيّة، فنتكلم عن ما ذكره في البحوث من أنّ معنى الصلاة هو الذات التي ثبت لها الصلاتيّة والغصب بمعنى الذات التي ثبت لها الغصبيّة، هذا الكلام غريب. مفهوم الغصب بسيط تصوّري، مفهوم الصلاة بسيط </w:t>
      </w:r>
      <w:r w:rsidR="00F62165">
        <w:rPr>
          <w:rFonts w:ascii="Lotus Linotype" w:hAnsi="Lotus Linotype" w:cs="Lotus Linotype" w:hint="cs"/>
          <w:sz w:val="28"/>
          <w:szCs w:val="28"/>
          <w:rtl/>
          <w:lang w:bidi="ar-LB"/>
        </w:rPr>
        <w:lastRenderedPageBreak/>
        <w:t>تصوّري، تحليل هذا المفهوم إلى أجزاء تحليليّة لا ينافي أنّ هذا بسيط تصوّري؛ فالغصب ليس إلّا بمعنىً واحد بسيط وتحليله إلى ذاتٍ ثبت لها الغصبيّة نظير تحليل الأكل إلى ذاتٍ ثبت له الأكليّة وتحليل الشرب إلى ذاتٍ ثبت له الشربيّة</w:t>
      </w:r>
      <w:r>
        <w:rPr>
          <w:rFonts w:ascii="Lotus Linotype" w:hAnsi="Lotus Linotype" w:cs="Lotus Linotype" w:hint="cs"/>
          <w:sz w:val="28"/>
          <w:szCs w:val="28"/>
          <w:rtl/>
          <w:lang w:bidi="ar-LB"/>
        </w:rPr>
        <w:t xml:space="preserve"> ونحو ذلك</w:t>
      </w:r>
      <w:r w:rsidR="00F62165">
        <w:rPr>
          <w:rFonts w:ascii="Lotus Linotype" w:hAnsi="Lotus Linotype" w:cs="Lotus Linotype" w:hint="cs"/>
          <w:sz w:val="28"/>
          <w:szCs w:val="28"/>
          <w:rtl/>
          <w:lang w:bidi="ar-LB"/>
        </w:rPr>
        <w:t>.</w:t>
      </w:r>
    </w:p>
    <w:p w:rsidR="00F62165" w:rsidRDefault="00C25899" w:rsidP="00624AD1">
      <w:pPr>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F62165" w:rsidRPr="00C25899">
        <w:rPr>
          <w:rFonts w:ascii="Lotus Linotype" w:hAnsi="Lotus Linotype" w:cs="Lotus Linotype" w:hint="cs"/>
          <w:b/>
          <w:bCs/>
          <w:color w:val="FF0000"/>
          <w:sz w:val="28"/>
          <w:szCs w:val="28"/>
          <w:rtl/>
          <w:lang w:bidi="ar-LB"/>
        </w:rPr>
        <w:t>هذا مضافاً</w:t>
      </w:r>
      <w:r w:rsidR="00624AD1">
        <w:rPr>
          <w:rFonts w:ascii="Lotus Linotype" w:hAnsi="Lotus Linotype" w:cs="Lotus Linotype" w:hint="cs"/>
          <w:b/>
          <w:bCs/>
          <w:sz w:val="28"/>
          <w:szCs w:val="28"/>
          <w:rtl/>
          <w:lang w:bidi="ar-LB"/>
        </w:rPr>
        <w:t>:</w:t>
      </w:r>
      <w:r w:rsidR="00F62165">
        <w:rPr>
          <w:rFonts w:ascii="Lotus Linotype" w:hAnsi="Lotus Linotype" w:cs="Lotus Linotype" w:hint="cs"/>
          <w:sz w:val="28"/>
          <w:szCs w:val="28"/>
          <w:rtl/>
          <w:lang w:bidi="ar-LB"/>
        </w:rPr>
        <w:t xml:space="preserve"> أنّه حتى لو كان مفهوم الغصب مركباً من ذاتٍ ثبت لها الغصبيّة فهذا الجزء المشترك الذي هو مفهومٌ مبهم لا يؤثّر في امتناع اجتماع الأمر والنهي؛ لأنّ ما ذكره من أنّ الجزء المشترك بين متعلّق الأمر والنهي يوجب امتناع اجتماع الأمر والنهي يختص بالعن</w:t>
      </w:r>
      <w:r w:rsidR="00624AD1">
        <w:rPr>
          <w:rFonts w:ascii="Lotus Linotype" w:hAnsi="Lotus Linotype" w:cs="Lotus Linotype" w:hint="cs"/>
          <w:sz w:val="28"/>
          <w:szCs w:val="28"/>
          <w:rtl/>
          <w:lang w:bidi="ar-LB"/>
        </w:rPr>
        <w:t>اوين التفصيليّة كعنوان الإكرام، فنلحظ بيانه في الجزء المشترك التفصيلي كعنوان الإكرام في قولنا "أكرم عالماً" وقولنا "لا تكرم الفاسق"</w:t>
      </w:r>
      <w:r>
        <w:rPr>
          <w:rFonts w:ascii="Lotus Linotype" w:hAnsi="Lotus Linotype" w:cs="Lotus Linotype" w:hint="cs"/>
          <w:sz w:val="28"/>
          <w:szCs w:val="28"/>
          <w:rtl/>
          <w:lang w:bidi="ar-LB"/>
        </w:rPr>
        <w:t>،</w:t>
      </w:r>
      <w:r w:rsidR="00624AD1">
        <w:rPr>
          <w:rFonts w:ascii="Lotus Linotype" w:hAnsi="Lotus Linotype" w:cs="Lotus Linotype" w:hint="cs"/>
          <w:sz w:val="28"/>
          <w:szCs w:val="28"/>
          <w:rtl/>
          <w:lang w:bidi="ar-LB"/>
        </w:rPr>
        <w:t xml:space="preserve"> فنلحظ ما هو بيان البحوث في امتناع اجتماع الأمر والنهي في مثله.</w:t>
      </w:r>
    </w:p>
    <w:p w:rsidR="00624AD1" w:rsidRDefault="00624AD1" w:rsidP="008B22D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قال</w:t>
      </w:r>
      <w:r w:rsidR="00C25899">
        <w:rPr>
          <w:rFonts w:ascii="Lotus Linotype" w:hAnsi="Lotus Linotype" w:cs="Lotus Linotype" w:hint="cs"/>
          <w:sz w:val="28"/>
          <w:szCs w:val="28"/>
          <w:rtl/>
          <w:lang w:bidi="ar-LB"/>
        </w:rPr>
        <w:t xml:space="preserve"> </w:t>
      </w:r>
      <w:r w:rsidR="00C25899">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لمّا يقول الشارع "أكرم عالماً" فظاهره أنّه يحبّ إكرام عالمٍ على نحو صرف الوجود، وحبّ الجامع </w:t>
      </w:r>
      <w:r w:rsidR="008B22D1">
        <w:rPr>
          <w:rFonts w:ascii="Times New Roman" w:hAnsi="Times New Roman" w:cs="Times New Roman" w:hint="cs"/>
          <w:sz w:val="28"/>
          <w:szCs w:val="28"/>
          <w:rtl/>
          <w:lang w:bidi="ar-LB"/>
        </w:rPr>
        <w:t>–</w:t>
      </w:r>
      <w:r w:rsidR="008B22D1">
        <w:rPr>
          <w:rFonts w:ascii="Lotus Linotype" w:hAnsi="Lotus Linotype" w:cs="Lotus Linotype" w:hint="cs"/>
          <w:sz w:val="28"/>
          <w:szCs w:val="28"/>
          <w:rtl/>
          <w:lang w:bidi="ar-LB"/>
        </w:rPr>
        <w:t>كحبّ جامع إكرام العالم- يستلزم حبّ كلّ فردٍ عند ترك سائر أفراد الجامع. فأنت حينما تحبّ أن تكرم عالماً فتكرم زيداً العالم فإكرامُ زيدٍ العالم محبوبٌ لك فيما إذا  لم تكرم عالماً غيره، فتقول: تحقق محبوبي هذا اليوم لأنّي أكرمت زيدٍ العالم. أو إذا أحببت شرب ماءٍ، فأخذت بيدك كأس ماء وشربته فتقول هذا كان محبوبي.</w:t>
      </w:r>
    </w:p>
    <w:p w:rsidR="008B22D1" w:rsidRDefault="008B22D1" w:rsidP="008B22D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فيقول في البحوث: حبّ إكرام عالمٍ يستلزم حبّ إكرام العالم الفاسق إذا ترك المكلّف إكرام العالم العادل. فإذاً، يكون الإكرام محبوباً ضمنياً في ضمن إكرام العالم الفاسق؛ لأنّ هذا فردٌ لجامع إكرام العالم، وحبُّ الجامع يسري إلى حبّ الفرد عند ترك سائر الأفراد، والمفروض أنّ هذا الإكرام بعنوانه مبغوض؛ لأنّك تبغض إكرام الفاسق فلا يمكن أن يجتمع الحبّ والبغض في عنوانٍ واحد؛ إكرام العالم في ضمن العالم الفاسق، محبوب ضمني وفي نفس الوقت يكون مبغوضاً استقلاليّاً لانحلاليّة بغض إكرام الفاسق.</w:t>
      </w:r>
    </w:p>
    <w:p w:rsidR="003E791F" w:rsidRDefault="003E791F" w:rsidP="008B22D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C25899">
        <w:rPr>
          <w:rFonts w:ascii="Lotus Linotype" w:hAnsi="Lotus Linotype" w:cs="Lotus Linotype" w:hint="cs"/>
          <w:b/>
          <w:bCs/>
          <w:color w:val="FF0000"/>
          <w:sz w:val="28"/>
          <w:szCs w:val="28"/>
          <w:rtl/>
          <w:lang w:bidi="ar-LB"/>
        </w:rPr>
        <w:t>فنقول</w:t>
      </w:r>
      <w:r>
        <w:rPr>
          <w:rFonts w:ascii="Lotus Linotype" w:hAnsi="Lotus Linotype" w:cs="Lotus Linotype" w:hint="cs"/>
          <w:sz w:val="28"/>
          <w:szCs w:val="28"/>
          <w:rtl/>
          <w:lang w:bidi="ar-LB"/>
        </w:rPr>
        <w:t>: لو تمّ هذا البيان لاختصّ</w:t>
      </w:r>
      <w:r w:rsidR="00685243">
        <w:rPr>
          <w:rFonts w:ascii="Lotus Linotype" w:hAnsi="Lotus Linotype" w:cs="Lotus Linotype" w:hint="cs"/>
          <w:sz w:val="28"/>
          <w:szCs w:val="28"/>
          <w:rtl/>
          <w:lang w:bidi="ar-LB"/>
        </w:rPr>
        <w:t>ا</w:t>
      </w:r>
      <w:r>
        <w:rPr>
          <w:rFonts w:ascii="Lotus Linotype" w:hAnsi="Lotus Linotype" w:cs="Lotus Linotype" w:hint="cs"/>
          <w:sz w:val="28"/>
          <w:szCs w:val="28"/>
          <w:rtl/>
          <w:lang w:bidi="ar-LB"/>
        </w:rPr>
        <w:t xml:space="preserve"> في العنوان التفصيليّ كعنوان الإكرام لا المفهوم المبهم كقولنا ما ثبت له الغصبيّة، ذات ثبت له الغصبيّة ونح</w:t>
      </w:r>
      <w:bookmarkStart w:id="0" w:name="_GoBack"/>
      <w:bookmarkEnd w:id="0"/>
      <w:r>
        <w:rPr>
          <w:rFonts w:ascii="Lotus Linotype" w:hAnsi="Lotus Linotype" w:cs="Lotus Linotype" w:hint="cs"/>
          <w:sz w:val="28"/>
          <w:szCs w:val="28"/>
          <w:rtl/>
          <w:lang w:bidi="ar-LB"/>
        </w:rPr>
        <w:t>و ذلك. ولكن نتكلم عن هذا المثال فنقول:</w:t>
      </w:r>
    </w:p>
    <w:p w:rsidR="00C25899" w:rsidRDefault="003E791F" w:rsidP="00C25899">
      <w:pPr>
        <w:pStyle w:val="ListParagraph"/>
        <w:numPr>
          <w:ilvl w:val="0"/>
          <w:numId w:val="1"/>
        </w:numPr>
        <w:jc w:val="both"/>
        <w:rPr>
          <w:rFonts w:ascii="Lotus Linotype" w:hAnsi="Lotus Linotype" w:cs="Lotus Linotype"/>
          <w:sz w:val="28"/>
          <w:szCs w:val="28"/>
          <w:lang w:bidi="ar-LB"/>
        </w:rPr>
      </w:pPr>
      <w:r w:rsidRPr="00C25899">
        <w:rPr>
          <w:rFonts w:ascii="Lotus Linotype" w:hAnsi="Lotus Linotype" w:cs="Lotus Linotype" w:hint="cs"/>
          <w:b/>
          <w:bCs/>
          <w:color w:val="FF0000"/>
          <w:sz w:val="28"/>
          <w:szCs w:val="28"/>
          <w:rtl/>
          <w:lang w:bidi="ar-LB"/>
        </w:rPr>
        <w:t>أولاً</w:t>
      </w:r>
      <w:r w:rsidRPr="00C25899">
        <w:rPr>
          <w:rFonts w:ascii="Lotus Linotype" w:hAnsi="Lotus Linotype" w:cs="Lotus Linotype" w:hint="cs"/>
          <w:sz w:val="28"/>
          <w:szCs w:val="28"/>
          <w:rtl/>
          <w:lang w:bidi="ar-LB"/>
        </w:rPr>
        <w:t xml:space="preserve">: قلنا بأنّ </w:t>
      </w:r>
      <w:r w:rsidRPr="00C25899">
        <w:rPr>
          <w:rFonts w:ascii="Lotus Linotype" w:hAnsi="Lotus Linotype" w:cs="Lotus Linotype" w:hint="cs"/>
          <w:b/>
          <w:bCs/>
          <w:sz w:val="28"/>
          <w:szCs w:val="28"/>
          <w:rtl/>
          <w:lang w:bidi="ar-LB"/>
        </w:rPr>
        <w:t>حبّ الجامع لا يسري إلى الفرد</w:t>
      </w:r>
      <w:r w:rsidRPr="00C25899">
        <w:rPr>
          <w:rFonts w:ascii="Lotus Linotype" w:hAnsi="Lotus Linotype" w:cs="Lotus Linotype" w:hint="cs"/>
          <w:sz w:val="28"/>
          <w:szCs w:val="28"/>
          <w:rtl/>
          <w:lang w:bidi="ar-LB"/>
        </w:rPr>
        <w:t xml:space="preserve">. </w:t>
      </w:r>
    </w:p>
    <w:p w:rsidR="00C25899" w:rsidRDefault="00C25899" w:rsidP="00C25899">
      <w:pPr>
        <w:pStyle w:val="ListParagraph"/>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3E791F" w:rsidRPr="00C25899">
        <w:rPr>
          <w:rFonts w:ascii="Lotus Linotype" w:hAnsi="Lotus Linotype" w:cs="Lotus Linotype" w:hint="cs"/>
          <w:sz w:val="28"/>
          <w:szCs w:val="28"/>
          <w:rtl/>
          <w:lang w:bidi="ar-LB"/>
        </w:rPr>
        <w:t xml:space="preserve">أنت حينما تحبّ أن تكرم عالماً فتكرم زيدٍ العالم، يمكنك أن تقول أنا لم أكن أحب إكرام زيدٍ وإنّما كنت </w:t>
      </w:r>
      <w:r w:rsidR="00FD3E9B" w:rsidRPr="00C25899">
        <w:rPr>
          <w:rFonts w:ascii="Lotus Linotype" w:hAnsi="Lotus Linotype" w:cs="Lotus Linotype" w:hint="cs"/>
          <w:sz w:val="28"/>
          <w:szCs w:val="28"/>
          <w:rtl/>
          <w:lang w:bidi="ar-LB"/>
        </w:rPr>
        <w:t xml:space="preserve">أحب أن أكرم عالماً لكن لم أجد غيره فأكرمته، أو وجدت غيره لكن كان إكرامه سهلاً فأكرمته. </w:t>
      </w:r>
    </w:p>
    <w:p w:rsidR="00FD3E9B" w:rsidRPr="00C25899" w:rsidRDefault="00C25899" w:rsidP="00C25899">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FD3E9B" w:rsidRPr="00C25899">
        <w:rPr>
          <w:rFonts w:ascii="Lotus Linotype" w:hAnsi="Lotus Linotype" w:cs="Lotus Linotype" w:hint="cs"/>
          <w:sz w:val="28"/>
          <w:szCs w:val="28"/>
          <w:rtl/>
          <w:lang w:bidi="ar-LB"/>
        </w:rPr>
        <w:t>وهكذا إذا تحب أن تشرب ماءً فتفتح باب الثلاجة وتأخذ كأس ماءٍ، يمكنك أن تقول أن لا أحب أن أشرب هذا الماء وإنّما أحبّ أن أشرب ماءً، هذا مصداق المحبوب وليس محبوباً، والشاهد على ذلك أنّك لو لم تشرب الماء وكان في البيت عشر أواني فهل فات منك عشر محبوبات؟ أبداً. فحبّ إكرام عالمٍ لا يسري إلى حبّ إكرام العالم الفاسق عند ترك إكرام العالم العادل، هذا أولاً.</w:t>
      </w:r>
    </w:p>
    <w:p w:rsidR="00FD3E9B" w:rsidRPr="00C25899" w:rsidRDefault="00FD3E9B" w:rsidP="00C25899">
      <w:pPr>
        <w:pStyle w:val="ListParagraph"/>
        <w:numPr>
          <w:ilvl w:val="0"/>
          <w:numId w:val="1"/>
        </w:numPr>
        <w:jc w:val="both"/>
        <w:rPr>
          <w:rFonts w:ascii="Lotus Linotype" w:hAnsi="Lotus Linotype" w:cs="Lotus Linotype"/>
          <w:sz w:val="28"/>
          <w:szCs w:val="28"/>
          <w:rtl/>
          <w:lang w:bidi="ar-LB"/>
        </w:rPr>
      </w:pPr>
      <w:r w:rsidRPr="00C25899">
        <w:rPr>
          <w:rFonts w:ascii="Lotus Linotype" w:hAnsi="Lotus Linotype" w:cs="Lotus Linotype" w:hint="cs"/>
          <w:b/>
          <w:bCs/>
          <w:color w:val="FF0000"/>
          <w:sz w:val="28"/>
          <w:szCs w:val="28"/>
          <w:rtl/>
          <w:lang w:bidi="ar-LB"/>
        </w:rPr>
        <w:t>وثانياً</w:t>
      </w:r>
      <w:r w:rsidRPr="00C25899">
        <w:rPr>
          <w:rFonts w:ascii="Lotus Linotype" w:hAnsi="Lotus Linotype" w:cs="Lotus Linotype" w:hint="cs"/>
          <w:sz w:val="28"/>
          <w:szCs w:val="28"/>
          <w:rtl/>
          <w:lang w:bidi="ar-LB"/>
        </w:rPr>
        <w:t xml:space="preserve">: </w:t>
      </w:r>
      <w:r w:rsidRPr="00C25899">
        <w:rPr>
          <w:rFonts w:ascii="Lotus Linotype" w:hAnsi="Lotus Linotype" w:cs="Lotus Linotype" w:hint="cs"/>
          <w:b/>
          <w:bCs/>
          <w:sz w:val="28"/>
          <w:szCs w:val="28"/>
          <w:rtl/>
          <w:lang w:bidi="ar-LB"/>
        </w:rPr>
        <w:t xml:space="preserve">لا مانع من اجتماع </w:t>
      </w:r>
      <w:r w:rsidR="007E2A1D" w:rsidRPr="00C25899">
        <w:rPr>
          <w:rFonts w:ascii="Lotus Linotype" w:hAnsi="Lotus Linotype" w:cs="Lotus Linotype" w:hint="cs"/>
          <w:b/>
          <w:bCs/>
          <w:sz w:val="28"/>
          <w:szCs w:val="28"/>
          <w:rtl/>
          <w:lang w:bidi="ar-LB"/>
        </w:rPr>
        <w:t>حبّ إكرام العالم بالنسبة إلى إكرام زيد</w:t>
      </w:r>
      <w:r w:rsidR="00DB7FEF" w:rsidRPr="00C25899">
        <w:rPr>
          <w:rFonts w:ascii="Lotus Linotype" w:hAnsi="Lotus Linotype" w:cs="Lotus Linotype" w:hint="cs"/>
          <w:b/>
          <w:bCs/>
          <w:sz w:val="28"/>
          <w:szCs w:val="28"/>
          <w:rtl/>
          <w:lang w:bidi="ar-LB"/>
        </w:rPr>
        <w:t xml:space="preserve"> من دون أن أحبّ إكرام الفاسق</w:t>
      </w:r>
      <w:r w:rsidR="00DB7FEF" w:rsidRPr="00C25899">
        <w:rPr>
          <w:rFonts w:ascii="Lotus Linotype" w:hAnsi="Lotus Linotype" w:cs="Lotus Linotype" w:hint="cs"/>
          <w:sz w:val="28"/>
          <w:szCs w:val="28"/>
          <w:rtl/>
          <w:lang w:bidi="ar-LB"/>
        </w:rPr>
        <w:t xml:space="preserve">؛ لأنّك ذكرت في البحوث </w:t>
      </w:r>
      <w:r w:rsidR="00DB7FEF" w:rsidRPr="00C25899">
        <w:rPr>
          <w:rFonts w:ascii="Lotus Linotype" w:hAnsi="Lotus Linotype" w:cs="Lotus Linotype" w:hint="cs"/>
          <w:b/>
          <w:bCs/>
          <w:sz w:val="28"/>
          <w:szCs w:val="28"/>
          <w:rtl/>
          <w:lang w:bidi="ar-LB"/>
        </w:rPr>
        <w:t>أنّ حبّ المقيّد لا يسري إلى حبّ القيد</w:t>
      </w:r>
      <w:r w:rsidR="00DB7FEF" w:rsidRPr="00C25899">
        <w:rPr>
          <w:rFonts w:ascii="Lotus Linotype" w:hAnsi="Lotus Linotype" w:cs="Lotus Linotype" w:hint="cs"/>
          <w:sz w:val="28"/>
          <w:szCs w:val="28"/>
          <w:rtl/>
          <w:lang w:bidi="ar-LB"/>
        </w:rPr>
        <w:t xml:space="preserve"> وإلّا لامتنع اجتماع الأمر والنهي في كلّ مكان؛ لأنّ هذا المورد الذي اجتمع فيه عنوان الواجب والحرام واجبٌ مقيّدٌ بكونه مصداقاً للحرام.</w:t>
      </w:r>
      <w:r w:rsidR="000E7B22" w:rsidRPr="00C25899">
        <w:rPr>
          <w:rFonts w:ascii="Lotus Linotype" w:hAnsi="Lotus Linotype" w:cs="Lotus Linotype" w:hint="cs"/>
          <w:sz w:val="28"/>
          <w:szCs w:val="28"/>
          <w:rtl/>
          <w:lang w:bidi="ar-LB"/>
        </w:rPr>
        <w:t xml:space="preserve"> فإذا سرى حبّ الواجب إلى حبّ هذا الفرد وسرى حبّ هذا الفرد المقيّد بكونه متحدّاً مع العنوان الحرام إلى قيده </w:t>
      </w:r>
      <w:r w:rsidR="000E7B22" w:rsidRPr="00C25899">
        <w:rPr>
          <w:rFonts w:ascii="Times New Roman" w:hAnsi="Times New Roman" w:cs="Times New Roman" w:hint="cs"/>
          <w:sz w:val="28"/>
          <w:szCs w:val="28"/>
          <w:rtl/>
          <w:lang w:bidi="ar-LB"/>
        </w:rPr>
        <w:t>–</w:t>
      </w:r>
      <w:r w:rsidR="000E7B22" w:rsidRPr="00C25899">
        <w:rPr>
          <w:rFonts w:ascii="Lotus Linotype" w:hAnsi="Lotus Linotype" w:cs="Lotus Linotype" w:hint="cs"/>
          <w:sz w:val="28"/>
          <w:szCs w:val="28"/>
          <w:rtl/>
          <w:lang w:bidi="ar-LB"/>
        </w:rPr>
        <w:t>وهو العنوان الحرام- لم يجتمع مع مبغوضيّة الحرام، فكيف جوزت اجتماع الأمر والنهي ولكنك</w:t>
      </w:r>
      <w:r w:rsidR="00B85D68" w:rsidRPr="00C25899">
        <w:rPr>
          <w:rFonts w:ascii="Lotus Linotype" w:hAnsi="Lotus Linotype" w:cs="Lotus Linotype" w:hint="cs"/>
          <w:sz w:val="28"/>
          <w:szCs w:val="28"/>
          <w:rtl/>
          <w:lang w:bidi="ar-LB"/>
        </w:rPr>
        <w:t xml:space="preserve"> تذكر مطلباً يؤدّي إلى تخريب هذا المبنى أساساً؟</w:t>
      </w:r>
    </w:p>
    <w:p w:rsidR="00C25899" w:rsidRDefault="00DA5F17" w:rsidP="00C25899">
      <w:pPr>
        <w:pStyle w:val="ListParagraph"/>
        <w:numPr>
          <w:ilvl w:val="0"/>
          <w:numId w:val="1"/>
        </w:numPr>
        <w:jc w:val="both"/>
        <w:rPr>
          <w:rFonts w:ascii="Lotus Linotype" w:hAnsi="Lotus Linotype" w:cs="Lotus Linotype"/>
          <w:sz w:val="28"/>
          <w:szCs w:val="28"/>
          <w:lang w:bidi="ar-LB"/>
        </w:rPr>
      </w:pPr>
      <w:r w:rsidRPr="00C25899">
        <w:rPr>
          <w:rFonts w:ascii="Lotus Linotype" w:hAnsi="Lotus Linotype" w:cs="Lotus Linotype" w:hint="cs"/>
          <w:b/>
          <w:bCs/>
          <w:color w:val="FF0000"/>
          <w:sz w:val="28"/>
          <w:szCs w:val="28"/>
          <w:rtl/>
          <w:lang w:bidi="ar-LB"/>
        </w:rPr>
        <w:t>وثالثاً</w:t>
      </w:r>
      <w:r w:rsidRPr="00C25899">
        <w:rPr>
          <w:rFonts w:ascii="Lotus Linotype" w:hAnsi="Lotus Linotype" w:cs="Lotus Linotype" w:hint="cs"/>
          <w:sz w:val="28"/>
          <w:szCs w:val="28"/>
          <w:rtl/>
          <w:lang w:bidi="ar-LB"/>
        </w:rPr>
        <w:t xml:space="preserve">: </w:t>
      </w:r>
      <w:r w:rsidR="00695880" w:rsidRPr="00C25899">
        <w:rPr>
          <w:rFonts w:ascii="Lotus Linotype" w:hAnsi="Lotus Linotype" w:cs="Lotus Linotype" w:hint="cs"/>
          <w:b/>
          <w:bCs/>
          <w:sz w:val="28"/>
          <w:szCs w:val="28"/>
          <w:rtl/>
          <w:lang w:bidi="ar-LB"/>
        </w:rPr>
        <w:t>حبّ الجامع ولو قلنا بأنّه يسري إلى الفرد عند ترك سائر الأفرا</w:t>
      </w:r>
      <w:r w:rsidR="00695880" w:rsidRPr="00C25899">
        <w:rPr>
          <w:rFonts w:ascii="Lotus Linotype" w:hAnsi="Lotus Linotype" w:cs="Lotus Linotype" w:hint="cs"/>
          <w:sz w:val="28"/>
          <w:szCs w:val="28"/>
          <w:rtl/>
          <w:lang w:bidi="ar-LB"/>
        </w:rPr>
        <w:t xml:space="preserve">د وقبلنا أنّ حبّ المقيّد يسري إلى قيده لكن </w:t>
      </w:r>
      <w:r w:rsidR="00695880" w:rsidRPr="00C25899">
        <w:rPr>
          <w:rFonts w:ascii="Lotus Linotype" w:hAnsi="Lotus Linotype" w:cs="Lotus Linotype" w:hint="cs"/>
          <w:b/>
          <w:bCs/>
          <w:sz w:val="28"/>
          <w:szCs w:val="28"/>
          <w:rtl/>
          <w:lang w:bidi="ar-LB"/>
        </w:rPr>
        <w:t>حبّ الجامع إنّما يسري إلى الفرد في ما إذا لم يكن ذلك الفرد مبتلىً بالمانع عن الحب</w:t>
      </w:r>
      <w:r w:rsidR="00C25899">
        <w:rPr>
          <w:rFonts w:ascii="Lotus Linotype" w:hAnsi="Lotus Linotype" w:cs="Lotus Linotype" w:hint="cs"/>
          <w:sz w:val="28"/>
          <w:szCs w:val="28"/>
          <w:rtl/>
          <w:lang w:bidi="ar-LB"/>
        </w:rPr>
        <w:t>.</w:t>
      </w:r>
    </w:p>
    <w:p w:rsidR="00C25899" w:rsidRDefault="00C25899" w:rsidP="00C25899">
      <w:pPr>
        <w:pStyle w:val="ListParagraph"/>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Pr>
          <w:rFonts w:ascii="Lotus Linotype" w:hAnsi="Lotus Linotype" w:cs="Lotus Linotype" w:hint="cs"/>
          <w:sz w:val="28"/>
          <w:szCs w:val="28"/>
          <w:rtl/>
          <w:lang w:bidi="ar-LB"/>
        </w:rPr>
        <w:t xml:space="preserve"> </w:t>
      </w:r>
      <w:r w:rsidR="00695880" w:rsidRPr="00C25899">
        <w:rPr>
          <w:rFonts w:ascii="Lotus Linotype" w:hAnsi="Lotus Linotype" w:cs="Lotus Linotype" w:hint="cs"/>
          <w:sz w:val="28"/>
          <w:szCs w:val="28"/>
          <w:rtl/>
          <w:lang w:bidi="ar-LB"/>
        </w:rPr>
        <w:t>وهذا نظير ما ذكره في البحوث في بحث مقدمة الواجب من أن حبّ الصعود إلى السطح مثلاً يستلزم الحبّ الغيري لمقدمته إذا كانت المقدمة حلالاً، وإلّا إذا توقف الصعود إلى السطح على نصب السلّم المغصوب، يوجد مانعٌ عن سريان الحبّ إلى هذه المقدّمة المحرّمة. وقد صرّح في البحوث أنّه هنا لا يسري الحب إلى هذه المقدّمة المحرّمة لو</w:t>
      </w:r>
      <w:r w:rsidR="003206B3" w:rsidRPr="00C25899">
        <w:rPr>
          <w:rFonts w:ascii="Lotus Linotype" w:hAnsi="Lotus Linotype" w:cs="Lotus Linotype" w:hint="cs"/>
          <w:sz w:val="28"/>
          <w:szCs w:val="28"/>
          <w:rtl/>
          <w:lang w:bidi="ar-LB"/>
        </w:rPr>
        <w:t xml:space="preserve">جود مانعٍ فيه. </w:t>
      </w:r>
    </w:p>
    <w:p w:rsidR="00B85D68" w:rsidRPr="00C25899" w:rsidRDefault="00C25899" w:rsidP="00C25899">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3206B3" w:rsidRPr="00C25899">
        <w:rPr>
          <w:rFonts w:ascii="Lotus Linotype" w:hAnsi="Lotus Linotype" w:cs="Lotus Linotype" w:hint="cs"/>
          <w:sz w:val="28"/>
          <w:szCs w:val="28"/>
          <w:rtl/>
          <w:lang w:bidi="ar-LB"/>
        </w:rPr>
        <w:t>فحتى لو سرى حبّ الجامع إلى الفرد، سرى حبّ إكرام العالم إلى حبّ إكرام هذا الفرد من العالم إنّما يسري إليه إذا لم يكن مبتلىً بالمانع، فلو كان إكرام الفاسق مبغوضاً كان هذا مانعاً عن سريان الحب إلى إكرام هذا الفرد من العالم الذي هو فاسقٌ أيضاً.</w:t>
      </w:r>
    </w:p>
    <w:p w:rsidR="00AD0207" w:rsidRDefault="00C25899" w:rsidP="003206B3">
      <w:pPr>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AD0207" w:rsidRPr="00C25899">
        <w:rPr>
          <w:rFonts w:ascii="Lotus Linotype" w:hAnsi="Lotus Linotype" w:cs="Lotus Linotype" w:hint="cs"/>
          <w:b/>
          <w:bCs/>
          <w:color w:val="FF0000"/>
          <w:sz w:val="28"/>
          <w:szCs w:val="28"/>
          <w:rtl/>
          <w:lang w:bidi="ar-LB"/>
        </w:rPr>
        <w:t>والحاصل</w:t>
      </w:r>
      <w:r w:rsidR="00AD0207">
        <w:rPr>
          <w:rFonts w:ascii="Lotus Linotype" w:hAnsi="Lotus Linotype" w:cs="Lotus Linotype" w:hint="cs"/>
          <w:sz w:val="28"/>
          <w:szCs w:val="28"/>
          <w:rtl/>
          <w:lang w:bidi="ar-LB"/>
        </w:rPr>
        <w:t xml:space="preserve">: أنّه </w:t>
      </w:r>
      <w:r w:rsidR="00AD0207" w:rsidRPr="00C25899">
        <w:rPr>
          <w:rFonts w:ascii="Lotus Linotype" w:hAnsi="Lotus Linotype" w:cs="Lotus Linotype" w:hint="cs"/>
          <w:b/>
          <w:bCs/>
          <w:sz w:val="28"/>
          <w:szCs w:val="28"/>
          <w:rtl/>
          <w:lang w:bidi="ar-LB"/>
        </w:rPr>
        <w:t>لا مانع من اجتماع الأمر والنهي ولو مع وجود جزء مشتركٍ بينهما</w:t>
      </w:r>
      <w:r w:rsidR="00AD0207">
        <w:rPr>
          <w:rFonts w:ascii="Lotus Linotype" w:hAnsi="Lotus Linotype" w:cs="Lotus Linotype" w:hint="cs"/>
          <w:sz w:val="28"/>
          <w:szCs w:val="28"/>
          <w:rtl/>
          <w:lang w:bidi="ar-LB"/>
        </w:rPr>
        <w:t xml:space="preserve">، وإنّما لا نلتزم باجتماع الأمر والنهي في مثل "أكرم عالماً ولا تكرم الفاسق" لأنّ الظاهر العرفيّ من قوله: </w:t>
      </w:r>
      <w:r w:rsidR="00AD0207">
        <w:rPr>
          <w:rFonts w:ascii="Lotus Linotype" w:hAnsi="Lotus Linotype" w:cs="Cambria" w:hint="cs"/>
          <w:sz w:val="28"/>
          <w:szCs w:val="28"/>
          <w:rtl/>
          <w:lang w:bidi="ar-LB"/>
        </w:rPr>
        <w:t>"</w:t>
      </w:r>
      <w:r w:rsidR="00AD0207">
        <w:rPr>
          <w:rFonts w:ascii="Lotus Linotype" w:hAnsi="Lotus Linotype" w:cs="Lotus Linotype" w:hint="cs"/>
          <w:sz w:val="28"/>
          <w:szCs w:val="28"/>
          <w:rtl/>
          <w:lang w:bidi="ar-LB"/>
        </w:rPr>
        <w:t>يحرم إكرام الفاسق" أنّ إكرام الفاسق فيه مفسدة تامّة ولا يشتمل على المصلحة التامّة. فهناك ظهور عرفيّ في خطاب تحريم إكرام الفاسق يمنع من إطلاق "أكرم عالماً" لإكرام العالم الفاسق وإلّا لا يوجد أيّ مانعٍ من إجتماع الأمر والنهي في مثله.</w:t>
      </w:r>
    </w:p>
    <w:p w:rsidR="00A5385F" w:rsidRDefault="00A5385F" w:rsidP="00A5385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فإذاً </w:t>
      </w:r>
      <w:r w:rsidRPr="00C25899">
        <w:rPr>
          <w:rFonts w:ascii="Lotus Linotype" w:hAnsi="Lotus Linotype" w:cs="Lotus Linotype" w:hint="cs"/>
          <w:b/>
          <w:bCs/>
          <w:color w:val="FF0000"/>
          <w:sz w:val="28"/>
          <w:szCs w:val="28"/>
          <w:rtl/>
          <w:lang w:bidi="ar-LB"/>
        </w:rPr>
        <w:t>حاصل الكلام</w:t>
      </w:r>
      <w:r>
        <w:rPr>
          <w:rFonts w:ascii="Lotus Linotype" w:hAnsi="Lotus Linotype" w:cs="Lotus Linotype" w:hint="cs"/>
          <w:sz w:val="28"/>
          <w:szCs w:val="28"/>
          <w:rtl/>
          <w:lang w:bidi="ar-LB"/>
        </w:rPr>
        <w:t>: أنّ ما ذكره السيّد الخوئي</w:t>
      </w:r>
      <w:r w:rsidR="00C25899">
        <w:rPr>
          <w:rFonts w:ascii="Lotus Linotype" w:hAnsi="Lotus Linotype" w:cs="Lotus Linotype" w:hint="cs"/>
          <w:sz w:val="28"/>
          <w:szCs w:val="28"/>
          <w:rtl/>
          <w:lang w:bidi="ar-LB"/>
        </w:rPr>
        <w:t xml:space="preserve"> </w:t>
      </w:r>
      <w:r w:rsidR="00C25899">
        <w:rPr>
          <w:rFonts w:ascii="Lotus Linotype" w:hAnsi="Lotus Linotype" w:cs="TAHER" w:hint="cs"/>
          <w:sz w:val="28"/>
          <w:szCs w:val="28"/>
          <w:rtl/>
          <w:lang w:bidi="ar-LB"/>
        </w:rPr>
        <w:t>+</w:t>
      </w:r>
      <w:r w:rsidRPr="00C25899">
        <w:rPr>
          <w:rFonts w:ascii="Lotus Linotype" w:hAnsi="Lotus Linotype" w:cs="Lotus Linotype" w:hint="cs"/>
          <w:b/>
          <w:bCs/>
          <w:sz w:val="28"/>
          <w:szCs w:val="28"/>
          <w:rtl/>
          <w:lang w:bidi="ar-LB"/>
        </w:rPr>
        <w:t xml:space="preserve"> </w:t>
      </w:r>
      <w:r w:rsidRPr="00C25899">
        <w:rPr>
          <w:rFonts w:ascii="Lotus Linotype" w:hAnsi="Lotus Linotype" w:cs="Lotus Linotype" w:hint="cs"/>
          <w:sz w:val="28"/>
          <w:szCs w:val="28"/>
          <w:rtl/>
          <w:lang w:bidi="ar-LB"/>
        </w:rPr>
        <w:t>من أنّ</w:t>
      </w:r>
      <w:r w:rsidRPr="00C25899">
        <w:rPr>
          <w:rFonts w:ascii="Lotus Linotype" w:hAnsi="Lotus Linotype" w:cs="Lotus Linotype" w:hint="cs"/>
          <w:b/>
          <w:bCs/>
          <w:sz w:val="28"/>
          <w:szCs w:val="28"/>
          <w:rtl/>
          <w:lang w:bidi="ar-LB"/>
        </w:rPr>
        <w:t xml:space="preserve"> تعدد العنوان لا يوجب تعدد المعنون إذا كان أحد العنوانين أو كلاهما انتزاعيّاً </w:t>
      </w:r>
      <w:r w:rsidRPr="00C25899">
        <w:rPr>
          <w:rFonts w:ascii="Times New Roman" w:hAnsi="Times New Roman" w:cs="Times New Roman" w:hint="cs"/>
          <w:b/>
          <w:bCs/>
          <w:sz w:val="28"/>
          <w:szCs w:val="28"/>
          <w:rtl/>
          <w:lang w:bidi="ar-LB"/>
        </w:rPr>
        <w:t>–</w:t>
      </w:r>
      <w:r w:rsidRPr="00C25899">
        <w:rPr>
          <w:rFonts w:ascii="Lotus Linotype" w:hAnsi="Lotus Linotype" w:cs="Lotus Linotype" w:hint="cs"/>
          <w:b/>
          <w:bCs/>
          <w:sz w:val="28"/>
          <w:szCs w:val="28"/>
          <w:rtl/>
          <w:lang w:bidi="ar-LB"/>
        </w:rPr>
        <w:t>لا ذاتيّاً- كلامٌ متين جدّاً</w:t>
      </w:r>
      <w:r>
        <w:rPr>
          <w:rFonts w:ascii="Lotus Linotype" w:hAnsi="Lotus Linotype" w:cs="Lotus Linotype" w:hint="cs"/>
          <w:sz w:val="28"/>
          <w:szCs w:val="28"/>
          <w:rtl/>
          <w:lang w:bidi="ar-LB"/>
        </w:rPr>
        <w:t xml:space="preserve">. </w:t>
      </w:r>
    </w:p>
    <w:p w:rsidR="00C25899" w:rsidRDefault="00C25899" w:rsidP="0084480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5385F" w:rsidRPr="00C25899">
        <w:rPr>
          <w:rFonts w:ascii="Lotus Linotype" w:hAnsi="Lotus Linotype" w:cs="Lotus Linotype" w:hint="cs"/>
          <w:b/>
          <w:bCs/>
          <w:color w:val="FF0000"/>
          <w:sz w:val="28"/>
          <w:szCs w:val="28"/>
          <w:rtl/>
          <w:lang w:bidi="ar-LB"/>
        </w:rPr>
        <w:t>ولكن نحن نناقش السيّد الخوئي</w:t>
      </w:r>
      <w:r>
        <w:rPr>
          <w:rFonts w:ascii="Lotus Linotype" w:hAnsi="Lotus Linotype" w:cs="Lotus Linotype" w:hint="cs"/>
          <w:b/>
          <w:bCs/>
          <w:color w:val="FF0000"/>
          <w:sz w:val="28"/>
          <w:szCs w:val="28"/>
          <w:rtl/>
          <w:lang w:bidi="ar-LB"/>
        </w:rPr>
        <w:t xml:space="preserve"> </w:t>
      </w:r>
      <w:r>
        <w:rPr>
          <w:rFonts w:ascii="Lotus Linotype" w:hAnsi="Lotus Linotype" w:cs="TAHER" w:hint="cs"/>
          <w:b/>
          <w:bCs/>
          <w:color w:val="FF0000"/>
          <w:sz w:val="28"/>
          <w:szCs w:val="28"/>
          <w:rtl/>
          <w:lang w:bidi="ar-LB"/>
        </w:rPr>
        <w:t>&amp;</w:t>
      </w:r>
      <w:r w:rsidR="00A5385F" w:rsidRPr="00C25899">
        <w:rPr>
          <w:rFonts w:ascii="Lotus Linotype" w:hAnsi="Lotus Linotype" w:cs="Lotus Linotype" w:hint="cs"/>
          <w:color w:val="FF0000"/>
          <w:sz w:val="28"/>
          <w:szCs w:val="28"/>
          <w:rtl/>
          <w:lang w:bidi="ar-LB"/>
        </w:rPr>
        <w:t xml:space="preserve"> </w:t>
      </w:r>
      <w:r w:rsidR="00A5385F">
        <w:rPr>
          <w:rFonts w:ascii="Lotus Linotype" w:hAnsi="Lotus Linotype" w:cs="Lotus Linotype" w:hint="cs"/>
          <w:sz w:val="28"/>
          <w:szCs w:val="28"/>
          <w:rtl/>
          <w:lang w:bidi="ar-LB"/>
        </w:rPr>
        <w:t xml:space="preserve">في أنّه يرى أنّ إطلاق الأمر بعنوانٍ لا يمكن اجتماعه مع النهي عن عنوانٍ آخر تكون النسبة بينهما عموم وخصوص من وجه، لماذا؟ </w:t>
      </w:r>
    </w:p>
    <w:p w:rsidR="00A5385F" w:rsidRDefault="00C25899" w:rsidP="0084480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5385F">
        <w:rPr>
          <w:rFonts w:ascii="Lotus Linotype" w:hAnsi="Lotus Linotype" w:cs="Lotus Linotype" w:hint="cs"/>
          <w:sz w:val="28"/>
          <w:szCs w:val="28"/>
          <w:rtl/>
          <w:lang w:bidi="ar-LB"/>
        </w:rPr>
        <w:t xml:space="preserve">لأنّ السيّد الخوئي يقول مثلاً في مثال "صلّ ولا تغصب" النهي عن الغصب إذا شمل السجود في مكانٍ مغصوب فهذا يمنع من إطلاق الأمر بالصلاة؛ لأنّ إطلاق الأمر بالصلاة </w:t>
      </w:r>
      <w:r w:rsidR="00844807">
        <w:rPr>
          <w:rFonts w:ascii="Lotus Linotype" w:hAnsi="Lotus Linotype" w:cs="Lotus Linotype" w:hint="cs"/>
          <w:sz w:val="28"/>
          <w:szCs w:val="28"/>
          <w:rtl/>
          <w:lang w:bidi="ar-LB"/>
        </w:rPr>
        <w:t>يتقوم ب</w:t>
      </w:r>
      <w:r w:rsidR="00A5385F">
        <w:rPr>
          <w:rFonts w:ascii="Lotus Linotype" w:hAnsi="Lotus Linotype" w:cs="Lotus Linotype" w:hint="cs"/>
          <w:sz w:val="28"/>
          <w:szCs w:val="28"/>
          <w:rtl/>
          <w:lang w:bidi="ar-LB"/>
        </w:rPr>
        <w:t>الترخيص</w:t>
      </w:r>
      <w:r w:rsidR="00844807">
        <w:rPr>
          <w:rFonts w:ascii="Lotus Linotype" w:hAnsi="Lotus Linotype" w:cs="Lotus Linotype" w:hint="cs"/>
          <w:sz w:val="28"/>
          <w:szCs w:val="28"/>
          <w:rtl/>
          <w:lang w:bidi="ar-LB"/>
        </w:rPr>
        <w:t xml:space="preserve"> في </w:t>
      </w:r>
      <w:r w:rsidR="00A5385F">
        <w:rPr>
          <w:rFonts w:ascii="Lotus Linotype" w:hAnsi="Lotus Linotype" w:cs="Lotus Linotype" w:hint="cs"/>
          <w:sz w:val="28"/>
          <w:szCs w:val="28"/>
          <w:rtl/>
          <w:lang w:bidi="ar-LB"/>
        </w:rPr>
        <w:t>التطبيق</w:t>
      </w:r>
      <w:r w:rsidR="00844807">
        <w:rPr>
          <w:rFonts w:ascii="Lotus Linotype" w:hAnsi="Lotus Linotype" w:cs="Lotus Linotype" w:hint="cs"/>
          <w:sz w:val="28"/>
          <w:szCs w:val="28"/>
          <w:rtl/>
          <w:lang w:bidi="ar-LB"/>
        </w:rPr>
        <w:t>،</w:t>
      </w:r>
      <w:r w:rsidR="00A5385F">
        <w:rPr>
          <w:rFonts w:ascii="Lotus Linotype" w:hAnsi="Lotus Linotype" w:cs="Lotus Linotype" w:hint="cs"/>
          <w:sz w:val="28"/>
          <w:szCs w:val="28"/>
          <w:rtl/>
          <w:lang w:bidi="ar-LB"/>
        </w:rPr>
        <w:t xml:space="preserve"> والنهي عن اختيار هذا الفرد متهافتٌ </w:t>
      </w:r>
      <w:r w:rsidR="00844807">
        <w:rPr>
          <w:rFonts w:ascii="Lotus Linotype" w:hAnsi="Lotus Linotype" w:cs="Lotus Linotype" w:hint="cs"/>
          <w:sz w:val="28"/>
          <w:szCs w:val="28"/>
          <w:rtl/>
          <w:lang w:bidi="ar-LB"/>
        </w:rPr>
        <w:t xml:space="preserve">مع الترخيص في </w:t>
      </w:r>
      <w:r w:rsidR="00A5385F">
        <w:rPr>
          <w:rFonts w:ascii="Lotus Linotype" w:hAnsi="Lotus Linotype" w:cs="Lotus Linotype" w:hint="cs"/>
          <w:sz w:val="28"/>
          <w:szCs w:val="28"/>
          <w:rtl/>
          <w:lang w:bidi="ar-LB"/>
        </w:rPr>
        <w:t>تطبيق الأمر بالصلاة على هذا الفرد، فلا يجمتع النهي عن هذا الفرد مع الترخيص في تطبيق الأمر عليه.</w:t>
      </w:r>
    </w:p>
    <w:p w:rsidR="00A9427F" w:rsidRDefault="00A9427F" w:rsidP="00A9427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5385F" w:rsidRPr="00A9427F">
        <w:rPr>
          <w:rFonts w:ascii="Lotus Linotype" w:hAnsi="Lotus Linotype" w:cs="Lotus Linotype" w:hint="cs"/>
          <w:b/>
          <w:bCs/>
          <w:color w:val="FF0000"/>
          <w:sz w:val="28"/>
          <w:szCs w:val="28"/>
          <w:rtl/>
          <w:lang w:bidi="ar-LB"/>
        </w:rPr>
        <w:t>فنقول في الجواب</w:t>
      </w:r>
      <w:r w:rsidR="00A5385F">
        <w:rPr>
          <w:rFonts w:ascii="Lotus Linotype" w:hAnsi="Lotus Linotype" w:cs="Lotus Linotype" w:hint="cs"/>
          <w:sz w:val="28"/>
          <w:szCs w:val="28"/>
          <w:rtl/>
          <w:lang w:bidi="ar-LB"/>
        </w:rPr>
        <w:t xml:space="preserve">: المقوّم لإطلاق الأمر ليس هو الترخيص الفعلي </w:t>
      </w:r>
      <w:r>
        <w:rPr>
          <w:rFonts w:ascii="Lotus Linotype" w:hAnsi="Lotus Linotype" w:cs="Lotus Linotype" w:hint="cs"/>
          <w:sz w:val="28"/>
          <w:szCs w:val="28"/>
          <w:rtl/>
          <w:lang w:bidi="ar-LB"/>
        </w:rPr>
        <w:t>في التطبيق وإنّما هو الترخيص الحيثي في التطبيق، أو فقل كما قال السيد السيستاني</w:t>
      </w:r>
      <w:r w:rsidR="00C25899">
        <w:rPr>
          <w:rFonts w:ascii="Lotus Linotype" w:hAnsi="Lotus Linotype" w:cs="Lotus Linotype" w:hint="cs"/>
          <w:sz w:val="28"/>
          <w:szCs w:val="28"/>
          <w:rtl/>
          <w:lang w:bidi="ar-LB"/>
        </w:rPr>
        <w:t xml:space="preserve"> </w:t>
      </w:r>
      <w:r w:rsidR="00C25899">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الترخيص الوضعيّ في التطبيق، أي من ناحية الأمر بالصلاة أنت مرخّص في اختيار هذا الفرد، وهذا لا ينافي أن لا تكون مرخصاً في اختيار هذا الفرد لأجل انطباق عنوانٍ محرّمٍ عليه.</w:t>
      </w:r>
    </w:p>
    <w:p w:rsidR="00A9427F" w:rsidRPr="00C25899" w:rsidRDefault="00A9427F" w:rsidP="00A9427F">
      <w:pPr>
        <w:jc w:val="both"/>
        <w:rPr>
          <w:rFonts w:ascii="Lotus Linotype" w:hAnsi="Lotus Linotype" w:cs="Lotus Linotype"/>
          <w:b/>
          <w:bCs/>
          <w:sz w:val="28"/>
          <w:szCs w:val="28"/>
          <w:rtl/>
          <w:lang w:bidi="ar-LB"/>
        </w:rPr>
      </w:pPr>
      <w:r w:rsidRPr="00C25899">
        <w:rPr>
          <w:rFonts w:ascii="Lotus Linotype" w:hAnsi="Lotus Linotype" w:cs="Lotus Linotype" w:hint="cs"/>
          <w:b/>
          <w:bCs/>
          <w:color w:val="FF0000"/>
          <w:sz w:val="28"/>
          <w:szCs w:val="28"/>
          <w:rtl/>
          <w:lang w:bidi="ar-LB"/>
        </w:rPr>
        <w:t xml:space="preserve">     فنحن </w:t>
      </w:r>
      <w:r w:rsidRPr="00C25899">
        <w:rPr>
          <w:rFonts w:ascii="Lotus Linotype" w:hAnsi="Lotus Linotype" w:cs="Lotus Linotype" w:hint="cs"/>
          <w:b/>
          <w:bCs/>
          <w:sz w:val="28"/>
          <w:szCs w:val="28"/>
          <w:rtl/>
          <w:lang w:bidi="ar-LB"/>
        </w:rPr>
        <w:t>نقبل أنّ تعدد العنوان فيما لو كان أحد العنوانين انتزاعيّاً أو كلاهما انتزاع</w:t>
      </w:r>
      <w:r w:rsidR="004811EA">
        <w:rPr>
          <w:rFonts w:ascii="Lotus Linotype" w:hAnsi="Lotus Linotype" w:cs="Lotus Linotype" w:hint="cs"/>
          <w:b/>
          <w:bCs/>
          <w:sz w:val="28"/>
          <w:szCs w:val="28"/>
          <w:rtl/>
          <w:lang w:bidi="ar-LB"/>
        </w:rPr>
        <w:t>يّ</w:t>
      </w:r>
      <w:r w:rsidRPr="00C25899">
        <w:rPr>
          <w:rFonts w:ascii="Lotus Linotype" w:hAnsi="Lotus Linotype" w:cs="Lotus Linotype" w:hint="cs"/>
          <w:b/>
          <w:bCs/>
          <w:sz w:val="28"/>
          <w:szCs w:val="28"/>
          <w:rtl/>
          <w:lang w:bidi="ar-LB"/>
        </w:rPr>
        <w:t>ين لا يكشف عن تعدد المعنون، ولكن نقول</w:t>
      </w:r>
      <w:r w:rsidR="004811EA">
        <w:rPr>
          <w:rFonts w:ascii="Lotus Linotype" w:hAnsi="Lotus Linotype" w:cs="Lotus Linotype" w:hint="cs"/>
          <w:b/>
          <w:bCs/>
          <w:sz w:val="28"/>
          <w:szCs w:val="28"/>
          <w:rtl/>
          <w:lang w:bidi="ar-LB"/>
        </w:rPr>
        <w:t>:</w:t>
      </w:r>
      <w:r w:rsidRPr="00C25899">
        <w:rPr>
          <w:rFonts w:ascii="Lotus Linotype" w:hAnsi="Lotus Linotype" w:cs="Lotus Linotype" w:hint="cs"/>
          <w:b/>
          <w:bCs/>
          <w:sz w:val="28"/>
          <w:szCs w:val="28"/>
          <w:rtl/>
          <w:lang w:bidi="ar-LB"/>
        </w:rPr>
        <w:t xml:space="preserve"> تعدد العنوان يكفي في الأمر البدلي بعنوانٍ مع النهي الشموليّ عن عنوان</w:t>
      </w:r>
      <w:r w:rsidR="003D6852" w:rsidRPr="00C25899">
        <w:rPr>
          <w:rFonts w:ascii="Lotus Linotype" w:hAnsi="Lotus Linotype" w:cs="Lotus Linotype" w:hint="cs"/>
          <w:b/>
          <w:bCs/>
          <w:sz w:val="28"/>
          <w:szCs w:val="28"/>
          <w:rtl/>
          <w:lang w:bidi="ar-LB"/>
        </w:rPr>
        <w:t>ٍ آخر وإن انطبق</w:t>
      </w:r>
      <w:r w:rsidR="00685243">
        <w:rPr>
          <w:rFonts w:ascii="Lotus Linotype" w:hAnsi="Lotus Linotype" w:cs="Lotus Linotype" w:hint="cs"/>
          <w:b/>
          <w:bCs/>
          <w:sz w:val="28"/>
          <w:szCs w:val="28"/>
          <w:rtl/>
          <w:lang w:bidi="ar-LB"/>
        </w:rPr>
        <w:t>ا</w:t>
      </w:r>
      <w:r w:rsidR="003D6852" w:rsidRPr="00C25899">
        <w:rPr>
          <w:rFonts w:ascii="Lotus Linotype" w:hAnsi="Lotus Linotype" w:cs="Lotus Linotype" w:hint="cs"/>
          <w:b/>
          <w:bCs/>
          <w:sz w:val="28"/>
          <w:szCs w:val="28"/>
          <w:rtl/>
          <w:lang w:bidi="ar-LB"/>
        </w:rPr>
        <w:t xml:space="preserve"> على معنونٍ واحد، وشمول النهي لهذا المعنون الواحد لا يمنع من شمول إطلاق الأمر بصرف الوجود له بعد أن لم يكن الإطلاق متقوماً بالترخيص التكليفي الفعلي في اختيار هذا الفرد.</w:t>
      </w:r>
    </w:p>
    <w:p w:rsidR="003D6852" w:rsidRPr="003D6852" w:rsidRDefault="00C25899" w:rsidP="00A9427F">
      <w:pPr>
        <w:jc w:val="both"/>
        <w:rPr>
          <w:rFonts w:ascii="Lotus Linotype" w:hAnsi="Lotus Linotype" w:cs="Sakkal Majalla"/>
          <w:sz w:val="28"/>
          <w:szCs w:val="28"/>
          <w:rtl/>
          <w:lang w:bidi="ar-LB"/>
        </w:rPr>
      </w:pPr>
      <w:r>
        <w:rPr>
          <w:rFonts w:ascii="Lotus Linotype" w:hAnsi="Lotus Linotype" w:cs="Lotus Linotype" w:hint="cs"/>
          <w:sz w:val="28"/>
          <w:szCs w:val="28"/>
          <w:rtl/>
          <w:lang w:bidi="ar-LB"/>
        </w:rPr>
        <w:t xml:space="preserve">     </w:t>
      </w:r>
      <w:r w:rsidR="003D6852">
        <w:rPr>
          <w:rFonts w:ascii="Lotus Linotype" w:hAnsi="Lotus Linotype" w:cs="Lotus Linotype" w:hint="cs"/>
          <w:sz w:val="28"/>
          <w:szCs w:val="28"/>
          <w:rtl/>
          <w:lang w:bidi="ar-LB"/>
        </w:rPr>
        <w:t xml:space="preserve">وبذلك </w:t>
      </w:r>
      <w:r w:rsidR="003D6852" w:rsidRPr="00C25899">
        <w:rPr>
          <w:rFonts w:ascii="Lotus Linotype" w:hAnsi="Lotus Linotype" w:cs="Lotus Linotype" w:hint="cs"/>
          <w:b/>
          <w:bCs/>
          <w:color w:val="FF0000"/>
          <w:sz w:val="28"/>
          <w:szCs w:val="28"/>
          <w:rtl/>
          <w:lang w:bidi="ar-LB"/>
        </w:rPr>
        <w:t>تتمّ نظرية جواز اجتماع الأمر والنهي</w:t>
      </w:r>
      <w:r w:rsidR="003D6852">
        <w:rPr>
          <w:rFonts w:ascii="Lotus Linotype" w:hAnsi="Lotus Linotype" w:cs="Lotus Linotype" w:hint="cs"/>
          <w:sz w:val="28"/>
          <w:szCs w:val="28"/>
          <w:rtl/>
          <w:lang w:bidi="ar-LB"/>
        </w:rPr>
        <w:t>، وبقيّة الكلام في ليلة الأحد إن شاء الله.</w:t>
      </w:r>
    </w:p>
    <w:p w:rsidR="00293967" w:rsidRDefault="00293967" w:rsidP="00293967">
      <w:pPr>
        <w:jc w:val="both"/>
        <w:rPr>
          <w:rFonts w:ascii="Lotus Linotype" w:hAnsi="Lotus Linotype" w:cs="Lotus Linotype"/>
          <w:sz w:val="28"/>
          <w:szCs w:val="28"/>
          <w:rtl/>
          <w:lang w:bidi="ar-LB"/>
        </w:rPr>
      </w:pPr>
    </w:p>
    <w:p w:rsidR="00C25899" w:rsidRDefault="00C25899" w:rsidP="00293967">
      <w:pPr>
        <w:jc w:val="both"/>
        <w:rPr>
          <w:rFonts w:ascii="Lotus Linotype" w:hAnsi="Lotus Linotype" w:cs="Lotus Linotype"/>
          <w:sz w:val="28"/>
          <w:szCs w:val="28"/>
          <w:rtl/>
          <w:lang w:bidi="ar-LB"/>
        </w:rPr>
      </w:pPr>
    </w:p>
    <w:p w:rsidR="00C25899" w:rsidRDefault="00C25899" w:rsidP="00293967">
      <w:pPr>
        <w:jc w:val="both"/>
        <w:rPr>
          <w:rFonts w:ascii="Lotus Linotype" w:hAnsi="Lotus Linotype" w:cs="Lotus Linotype"/>
          <w:sz w:val="28"/>
          <w:szCs w:val="28"/>
          <w:rtl/>
          <w:lang w:bidi="ar-LB"/>
        </w:rPr>
      </w:pPr>
    </w:p>
    <w:p w:rsidR="00C25899" w:rsidRPr="00293967" w:rsidRDefault="00C25899" w:rsidP="00293967">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والحمد لله ربّ العالمين</w:t>
      </w:r>
    </w:p>
    <w:sectPr w:rsidR="00C25899" w:rsidRPr="00293967"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439" w:rsidRDefault="00F51439" w:rsidP="007F3AF8">
      <w:pPr>
        <w:spacing w:after="0" w:line="240" w:lineRule="auto"/>
      </w:pPr>
      <w:r>
        <w:separator/>
      </w:r>
    </w:p>
  </w:endnote>
  <w:endnote w:type="continuationSeparator" w:id="0">
    <w:p w:rsidR="00F51439" w:rsidRDefault="00F51439" w:rsidP="007F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Sakkal Majalla">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71530333"/>
      <w:docPartObj>
        <w:docPartGallery w:val="Page Numbers (Bottom of Page)"/>
        <w:docPartUnique/>
      </w:docPartObj>
    </w:sdtPr>
    <w:sdtEndPr/>
    <w:sdtContent>
      <w:p w:rsidR="007F3AF8" w:rsidRDefault="007F3AF8">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AABB99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7F3AF8" w:rsidRDefault="007F3AF8">
        <w:pPr>
          <w:pStyle w:val="Footer"/>
          <w:jc w:val="center"/>
        </w:pPr>
        <w:r>
          <w:fldChar w:fldCharType="begin"/>
        </w:r>
        <w:r>
          <w:instrText xml:space="preserve"> PAGE    \* MERGEFORMAT </w:instrText>
        </w:r>
        <w:r>
          <w:fldChar w:fldCharType="separate"/>
        </w:r>
        <w:r w:rsidR="00685243">
          <w:rPr>
            <w:noProof/>
            <w:rtl/>
          </w:rPr>
          <w:t>4</w:t>
        </w:r>
        <w:r>
          <w:rPr>
            <w:noProof/>
          </w:rPr>
          <w:fldChar w:fldCharType="end"/>
        </w:r>
      </w:p>
    </w:sdtContent>
  </w:sdt>
  <w:p w:rsidR="007F3AF8" w:rsidRDefault="007F3A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439" w:rsidRDefault="00F51439" w:rsidP="007F3AF8">
      <w:pPr>
        <w:spacing w:after="0" w:line="240" w:lineRule="auto"/>
      </w:pPr>
      <w:r>
        <w:separator/>
      </w:r>
    </w:p>
  </w:footnote>
  <w:footnote w:type="continuationSeparator" w:id="0">
    <w:p w:rsidR="00F51439" w:rsidRDefault="00F51439" w:rsidP="007F3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2005F"/>
    <w:multiLevelType w:val="hybridMultilevel"/>
    <w:tmpl w:val="C0B8C4E2"/>
    <w:lvl w:ilvl="0" w:tplc="BAA6EA8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89"/>
    <w:rsid w:val="000E7B22"/>
    <w:rsid w:val="00184C89"/>
    <w:rsid w:val="00293967"/>
    <w:rsid w:val="003206B3"/>
    <w:rsid w:val="00361895"/>
    <w:rsid w:val="003A4D81"/>
    <w:rsid w:val="003B2DBE"/>
    <w:rsid w:val="003D6852"/>
    <w:rsid w:val="003E791F"/>
    <w:rsid w:val="004811EA"/>
    <w:rsid w:val="004C257B"/>
    <w:rsid w:val="00624AD1"/>
    <w:rsid w:val="00625DDA"/>
    <w:rsid w:val="00685243"/>
    <w:rsid w:val="00695880"/>
    <w:rsid w:val="007D00D5"/>
    <w:rsid w:val="007E2A1D"/>
    <w:rsid w:val="007F3AF8"/>
    <w:rsid w:val="00844807"/>
    <w:rsid w:val="008B22D1"/>
    <w:rsid w:val="0099076F"/>
    <w:rsid w:val="00A40153"/>
    <w:rsid w:val="00A41419"/>
    <w:rsid w:val="00A5385F"/>
    <w:rsid w:val="00A64A21"/>
    <w:rsid w:val="00A9427F"/>
    <w:rsid w:val="00A966E0"/>
    <w:rsid w:val="00AA6AB9"/>
    <w:rsid w:val="00AD0207"/>
    <w:rsid w:val="00B85D68"/>
    <w:rsid w:val="00C25899"/>
    <w:rsid w:val="00D30ACF"/>
    <w:rsid w:val="00DA5F17"/>
    <w:rsid w:val="00DB7FEF"/>
    <w:rsid w:val="00F42973"/>
    <w:rsid w:val="00F51439"/>
    <w:rsid w:val="00F62165"/>
    <w:rsid w:val="00FD3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072EF"/>
  <w15:chartTrackingRefBased/>
  <w15:docId w15:val="{53D738B4-D253-4AFF-87A6-75CF60AE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967"/>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899"/>
    <w:pPr>
      <w:ind w:left="720"/>
      <w:contextualSpacing/>
    </w:pPr>
  </w:style>
  <w:style w:type="paragraph" w:styleId="Header">
    <w:name w:val="header"/>
    <w:basedOn w:val="Normal"/>
    <w:link w:val="HeaderChar"/>
    <w:uiPriority w:val="99"/>
    <w:unhideWhenUsed/>
    <w:rsid w:val="007F3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AF8"/>
  </w:style>
  <w:style w:type="paragraph" w:styleId="Footer">
    <w:name w:val="footer"/>
    <w:basedOn w:val="Normal"/>
    <w:link w:val="FooterChar"/>
    <w:uiPriority w:val="99"/>
    <w:unhideWhenUsed/>
    <w:rsid w:val="007F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28</cp:revision>
  <cp:lastPrinted>2022-01-25T21:45:00Z</cp:lastPrinted>
  <dcterms:created xsi:type="dcterms:W3CDTF">2022-01-25T20:24:00Z</dcterms:created>
  <dcterms:modified xsi:type="dcterms:W3CDTF">2022-01-26T21:19:00Z</dcterms:modified>
</cp:coreProperties>
</file>