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AA1" w:rsidRDefault="003D1AA1" w:rsidP="003D1AA1">
      <w:pPr>
        <w:spacing w:before="240" w:line="276" w:lineRule="auto"/>
        <w:jc w:val="center"/>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بسم الله الرحمن الرحيم</w:t>
      </w:r>
    </w:p>
    <w:p w:rsidR="003D1AA1" w:rsidRDefault="003D1AA1" w:rsidP="003D1AA1">
      <w:pPr>
        <w:spacing w:before="240" w:line="276" w:lineRule="auto"/>
        <w:jc w:val="center"/>
        <w:rPr>
          <w:rFonts w:ascii="Arabic Typesetting" w:hAnsi="Arabic Typesetting" w:cs="Arabic Typesetting"/>
          <w:sz w:val="28"/>
          <w:szCs w:val="28"/>
          <w:lang w:bidi="ar-LB"/>
        </w:rPr>
      </w:pPr>
    </w:p>
    <w:p w:rsidR="003D1AA1" w:rsidRDefault="003D1AA1" w:rsidP="003D1AA1">
      <w:pPr>
        <w:spacing w:before="24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الدرس:</w:t>
      </w:r>
      <w:r>
        <w:rPr>
          <w:rFonts w:ascii="Arabic Typesetting" w:hAnsi="Arabic Typesetting" w:cs="Arabic Typesetting"/>
          <w:b/>
          <w:bCs/>
          <w:color w:val="FF0000"/>
          <w:sz w:val="28"/>
          <w:szCs w:val="28"/>
          <w:rtl/>
          <w:lang w:bidi="ar-LB"/>
        </w:rPr>
        <w:t xml:space="preserve"> </w:t>
      </w:r>
      <w:r>
        <w:rPr>
          <w:rFonts w:ascii="Arabic Typesetting" w:hAnsi="Arabic Typesetting" w:cs="Arabic Typesetting" w:hint="cs"/>
          <w:b/>
          <w:bCs/>
          <w:color w:val="FF0000"/>
          <w:sz w:val="28"/>
          <w:szCs w:val="28"/>
          <w:rtl/>
          <w:lang w:bidi="ar-LB"/>
        </w:rPr>
        <w:t>18</w:t>
      </w:r>
      <w:r>
        <w:rPr>
          <w:rFonts w:ascii="Arabic Typesetting" w:hAnsi="Arabic Typesetting" w:cs="Arabic Typesetting"/>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3D1AA1" w:rsidRDefault="003D1AA1" w:rsidP="003D1AA1">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المبحث:</w:t>
      </w:r>
      <w:r>
        <w:rPr>
          <w:rFonts w:ascii="Arabic Typesetting" w:hAnsi="Arabic Typesetting" w:cs="Arabic Typesetting"/>
          <w:sz w:val="28"/>
          <w:szCs w:val="28"/>
          <w:rtl/>
          <w:lang w:bidi="ar-LB"/>
        </w:rPr>
        <w:t xml:space="preserve"> النواهي (</w:t>
      </w:r>
      <w:r>
        <w:rPr>
          <w:rFonts w:ascii="Arabic Typesetting" w:hAnsi="Arabic Typesetting" w:cs="Arabic Typesetting"/>
          <w:color w:val="FF0000"/>
          <w:sz w:val="28"/>
          <w:szCs w:val="28"/>
          <w:rtl/>
          <w:lang w:bidi="ar-LB"/>
        </w:rPr>
        <w:t>في اجتماع الأمر والنهي</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الدرس</w:t>
      </w:r>
      <w:r>
        <w:rPr>
          <w:rFonts w:ascii="Arabic Typesetting" w:hAnsi="Arabic Typesetting" w:cs="Arabic Typesetting"/>
          <w:sz w:val="28"/>
          <w:szCs w:val="28"/>
          <w:rtl/>
          <w:lang w:bidi="ar-LB"/>
        </w:rPr>
        <w:t>: الأصول (الدورة الرابعة)</w:t>
      </w:r>
    </w:p>
    <w:p w:rsidR="003D1AA1" w:rsidRDefault="003D1AA1" w:rsidP="003D1AA1">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 xml:space="preserve">التاريخ: </w:t>
      </w:r>
      <w:r>
        <w:rPr>
          <w:rFonts w:ascii="Arabic Typesetting" w:hAnsi="Arabic Typesetting" w:cs="Arabic Typesetting" w:hint="cs"/>
          <w:sz w:val="28"/>
          <w:szCs w:val="28"/>
          <w:rtl/>
          <w:lang w:bidi="ar-LB"/>
        </w:rPr>
        <w:t>الأحد</w:t>
      </w:r>
      <w:r>
        <w:rPr>
          <w:rFonts w:ascii="Arabic Typesetting" w:hAnsi="Arabic Typesetting" w:cs="Arabic Typesetting"/>
          <w:sz w:val="28"/>
          <w:szCs w:val="28"/>
          <w:rtl/>
          <w:lang w:bidi="ar-LB"/>
        </w:rPr>
        <w:t>:</w:t>
      </w:r>
      <w:r>
        <w:rPr>
          <w:rFonts w:ascii="Arabic Typesetting" w:hAnsi="Arabic Typesetting" w:cs="Arabic Typesetting" w:hint="cs"/>
          <w:sz w:val="28"/>
          <w:szCs w:val="28"/>
          <w:rtl/>
          <w:lang w:bidi="ar-LB"/>
        </w:rPr>
        <w:t xml:space="preserve"> </w:t>
      </w:r>
      <w:r w:rsidRPr="009A7F75">
        <w:rPr>
          <w:rFonts w:ascii="Arabic Typesetting" w:hAnsi="Arabic Typesetting" w:cs="Arabic Typesetting" w:hint="cs"/>
          <w:sz w:val="28"/>
          <w:szCs w:val="28"/>
          <w:rtl/>
          <w:lang w:bidi="ar-LB"/>
        </w:rPr>
        <w:t>30</w:t>
      </w:r>
      <w:r w:rsidRPr="009A7F75">
        <w:rPr>
          <w:rFonts w:ascii="Arabic Typesetting" w:hAnsi="Arabic Typesetting" w:cs="Arabic Typesetting"/>
          <w:sz w:val="28"/>
          <w:szCs w:val="28"/>
          <w:rtl/>
          <w:lang w:bidi="ar-LB"/>
        </w:rPr>
        <w:t>/</w:t>
      </w:r>
      <w:r>
        <w:rPr>
          <w:rFonts w:ascii="Arabic Typesetting" w:hAnsi="Arabic Typesetting" w:cs="Arabic Typesetting"/>
          <w:sz w:val="28"/>
          <w:szCs w:val="28"/>
          <w:rtl/>
          <w:lang w:bidi="ar-LB"/>
        </w:rPr>
        <w:t xml:space="preserve">1/2022 </w:t>
      </w:r>
      <w:r>
        <w:rPr>
          <w:rFonts w:ascii="Arabic Typesetting" w:hAnsi="Arabic Typesetting" w:cs="Arabic Typesetting"/>
          <w:b/>
          <w:bCs/>
          <w:sz w:val="28"/>
          <w:szCs w:val="28"/>
          <w:rtl/>
          <w:lang w:bidi="ar-LB"/>
        </w:rPr>
        <w:t>(</w:t>
      </w:r>
      <w:r>
        <w:rPr>
          <w:rFonts w:ascii="Arabic Typesetting" w:hAnsi="Arabic Typesetting" w:cs="Arabic Typesetting" w:hint="cs"/>
          <w:sz w:val="28"/>
          <w:szCs w:val="28"/>
          <w:rtl/>
          <w:lang w:bidi="ar-LB"/>
        </w:rPr>
        <w:t>27</w:t>
      </w:r>
      <w:r>
        <w:rPr>
          <w:rFonts w:ascii="Arabic Typesetting" w:hAnsi="Arabic Typesetting" w:cs="Arabic Typesetting"/>
          <w:sz w:val="28"/>
          <w:szCs w:val="28"/>
          <w:rtl/>
          <w:lang w:bidi="ar-LB"/>
        </w:rPr>
        <w:t>/جمادي الثانية/ 1443</w:t>
      </w:r>
      <w:r>
        <w:rPr>
          <w:rFonts w:ascii="Arabic Typesetting" w:hAnsi="Arabic Typesetting" w:cs="Arabic Typesetting"/>
          <w:b/>
          <w:bCs/>
          <w:sz w:val="28"/>
          <w:szCs w:val="28"/>
          <w:rtl/>
          <w:lang w:bidi="ar-LB"/>
        </w:rPr>
        <w:t>)</w:t>
      </w:r>
    </w:p>
    <w:p w:rsidR="003D1AA1" w:rsidRDefault="003D1AA1" w:rsidP="003D1AA1">
      <w:pPr>
        <w:spacing w:line="252" w:lineRule="auto"/>
        <w:jc w:val="both"/>
        <w:rPr>
          <w:rFonts w:ascii="Lotus Linotype" w:hAnsi="Lotus Linotype" w:cs="Lotus Linotype"/>
          <w:sz w:val="28"/>
          <w:szCs w:val="28"/>
          <w:lang w:bidi="ar-LB"/>
        </w:rPr>
      </w:pPr>
    </w:p>
    <w:p w:rsidR="003D1AA1" w:rsidRDefault="003D1AA1" w:rsidP="003D1AA1">
      <w:pPr>
        <w:spacing w:line="252" w:lineRule="auto"/>
        <w:jc w:val="both"/>
        <w:rPr>
          <w:rFonts w:ascii="Lotus Linotype" w:hAnsi="Lotus Linotype" w:cs="Lotus Linotype"/>
          <w:sz w:val="28"/>
          <w:szCs w:val="28"/>
          <w:lang w:bidi="ar-LB"/>
        </w:rPr>
      </w:pPr>
    </w:p>
    <w:p w:rsidR="003D1AA1" w:rsidRDefault="003D1AA1" w:rsidP="003D1AA1">
      <w:pPr>
        <w:jc w:val="center"/>
        <w:rPr>
          <w:rFonts w:ascii="Lotus Linotype" w:hAnsi="Lotus Linotype" w:cs="Lotus Linotype"/>
          <w:sz w:val="28"/>
          <w:szCs w:val="28"/>
          <w:rtl/>
          <w:lang w:bidi="ar-LB"/>
        </w:rPr>
      </w:pPr>
      <w:r>
        <w:rPr>
          <w:rFonts w:ascii="Arabic Typesetting" w:hAnsi="Arabic Typesetting" w:cs="Arabic Typesetting"/>
          <w:b/>
          <w:bCs/>
          <w:sz w:val="32"/>
          <w:szCs w:val="32"/>
          <w:rtl/>
          <w:lang w:bidi="ar-LB"/>
        </w:rPr>
        <w:t>أعوذ بالله من الشيطان الرجيم بسم الله الرحمن الرحيم الحمد لله ربّ العالمين والصلاة والسلام علي سيّدنا محمّد وآله الطاهرين ولعنة الله على أعدائهم أجمعين</w:t>
      </w:r>
    </w:p>
    <w:p w:rsidR="003D1AA1" w:rsidRDefault="003D1AA1" w:rsidP="003D1AA1">
      <w:pPr>
        <w:jc w:val="both"/>
        <w:rPr>
          <w:rFonts w:ascii="Lotus Linotype" w:hAnsi="Lotus Linotype" w:cs="Lotus Linotype"/>
          <w:sz w:val="28"/>
          <w:szCs w:val="28"/>
          <w:rtl/>
          <w:lang w:bidi="ar-LB"/>
        </w:rPr>
      </w:pPr>
    </w:p>
    <w:p w:rsidR="00705AF2" w:rsidRDefault="00E37969" w:rsidP="00705AF2">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بعدما فرغنا عن جواز اجتماع الأمر والنهي مع تعدد العنوان فيقع الكلام </w:t>
      </w:r>
      <w:r w:rsidRPr="00BE5963">
        <w:rPr>
          <w:rFonts w:ascii="Lotus Linotype" w:hAnsi="Lotus Linotype" w:cs="Lotus Linotype" w:hint="cs"/>
          <w:color w:val="FF0000"/>
          <w:sz w:val="28"/>
          <w:szCs w:val="28"/>
          <w:rtl/>
          <w:lang w:bidi="ar-LB"/>
        </w:rPr>
        <w:t>فيما إذا كان الواجب تعبديّاً</w:t>
      </w:r>
      <w:r>
        <w:rPr>
          <w:rFonts w:ascii="Lotus Linotype" w:hAnsi="Lotus Linotype" w:cs="Lotus Linotype" w:hint="cs"/>
          <w:sz w:val="28"/>
          <w:szCs w:val="28"/>
          <w:rtl/>
          <w:lang w:bidi="ar-LB"/>
        </w:rPr>
        <w:t xml:space="preserve">، </w:t>
      </w:r>
      <w:r w:rsidRPr="00BE5963">
        <w:rPr>
          <w:rFonts w:ascii="Lotus Linotype" w:hAnsi="Lotus Linotype" w:cs="Lotus Linotype" w:hint="cs"/>
          <w:b/>
          <w:bCs/>
          <w:sz w:val="28"/>
          <w:szCs w:val="28"/>
          <w:rtl/>
          <w:lang w:bidi="ar-LB"/>
        </w:rPr>
        <w:t>فقد يُمنع من صحة العبادة التي تكون مصداقاً للحرام</w:t>
      </w:r>
      <w:r>
        <w:rPr>
          <w:rFonts w:ascii="Lotus Linotype" w:hAnsi="Lotus Linotype" w:cs="Lotus Linotype" w:hint="cs"/>
          <w:sz w:val="28"/>
          <w:szCs w:val="28"/>
          <w:rtl/>
          <w:lang w:bidi="ar-LB"/>
        </w:rPr>
        <w:t xml:space="preserve">. </w:t>
      </w:r>
    </w:p>
    <w:p w:rsidR="00277652" w:rsidRDefault="00705AF2" w:rsidP="00BE5963">
      <w:pPr>
        <w:jc w:val="both"/>
        <w:rPr>
          <w:rFonts w:ascii="Lotus Linotype" w:hAnsi="Lotus Linotype" w:cs="Lotus Linotype"/>
          <w:sz w:val="28"/>
          <w:szCs w:val="28"/>
          <w:rtl/>
          <w:lang w:bidi="ar-LB"/>
        </w:rPr>
      </w:pPr>
      <w:r w:rsidRPr="00BE5963">
        <w:rPr>
          <w:rFonts w:ascii="Lotus Linotype" w:hAnsi="Lotus Linotype" w:cs="Lotus Linotype" w:hint="cs"/>
          <w:b/>
          <w:bCs/>
          <w:sz w:val="28"/>
          <w:szCs w:val="28"/>
          <w:rtl/>
          <w:lang w:bidi="ar-LB"/>
        </w:rPr>
        <w:t xml:space="preserve">     </w:t>
      </w:r>
      <w:r w:rsidR="00E37969" w:rsidRPr="00BE5963">
        <w:rPr>
          <w:rFonts w:ascii="Lotus Linotype" w:hAnsi="Lotus Linotype" w:cs="Lotus Linotype" w:hint="cs"/>
          <w:b/>
          <w:bCs/>
          <w:sz w:val="28"/>
          <w:szCs w:val="28"/>
          <w:rtl/>
          <w:lang w:bidi="ar-LB"/>
        </w:rPr>
        <w:t>فقد ذكر المشهور</w:t>
      </w:r>
      <w:r w:rsidR="00BE5963">
        <w:rPr>
          <w:rFonts w:ascii="Lotus Linotype" w:hAnsi="Lotus Linotype" w:cs="Lotus Linotype" w:hint="cs"/>
          <w:b/>
          <w:bCs/>
          <w:sz w:val="28"/>
          <w:szCs w:val="28"/>
          <w:rtl/>
          <w:lang w:bidi="ar-LB"/>
        </w:rPr>
        <w:t>:</w:t>
      </w:r>
      <w:r w:rsidR="00E37969">
        <w:rPr>
          <w:rFonts w:ascii="Lotus Linotype" w:hAnsi="Lotus Linotype" w:cs="Lotus Linotype" w:hint="cs"/>
          <w:sz w:val="28"/>
          <w:szCs w:val="28"/>
          <w:rtl/>
          <w:lang w:bidi="ar-LB"/>
        </w:rPr>
        <w:t xml:space="preserve"> أنّ العبادة في مورد اجتماع الأمر والنهي باطلةٌ في فرض العلم والعمد بل في فرض الجهل التقصيريّ</w:t>
      </w:r>
      <w:r w:rsidR="00277652">
        <w:rPr>
          <w:rFonts w:ascii="Lotus Linotype" w:hAnsi="Lotus Linotype" w:cs="Lotus Linotype" w:hint="cs"/>
          <w:sz w:val="28"/>
          <w:szCs w:val="28"/>
          <w:rtl/>
          <w:lang w:bidi="ar-LB"/>
        </w:rPr>
        <w:t>.</w:t>
      </w:r>
    </w:p>
    <w:p w:rsidR="00705AF2" w:rsidRDefault="00277652" w:rsidP="00BE5963">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E37969">
        <w:rPr>
          <w:rFonts w:ascii="Lotus Linotype" w:hAnsi="Lotus Linotype" w:cs="Lotus Linotype" w:hint="cs"/>
          <w:sz w:val="28"/>
          <w:szCs w:val="28"/>
          <w:rtl/>
          <w:lang w:bidi="ar-LB"/>
        </w:rPr>
        <w:t xml:space="preserve"> ولكن ليس ذلك إجماعيّاً</w:t>
      </w:r>
      <w:r w:rsidR="00705AF2">
        <w:rPr>
          <w:rFonts w:ascii="Lotus Linotype" w:hAnsi="Lotus Linotype" w:cs="Lotus Linotype" w:hint="cs"/>
          <w:sz w:val="28"/>
          <w:szCs w:val="28"/>
          <w:rtl/>
          <w:lang w:bidi="ar-LB"/>
        </w:rPr>
        <w:t>؛</w:t>
      </w:r>
      <w:r w:rsidR="00E37969">
        <w:rPr>
          <w:rFonts w:ascii="Lotus Linotype" w:hAnsi="Lotus Linotype" w:cs="Lotus Linotype" w:hint="cs"/>
          <w:sz w:val="28"/>
          <w:szCs w:val="28"/>
          <w:rtl/>
          <w:lang w:bidi="ar-LB"/>
        </w:rPr>
        <w:t xml:space="preserve"> </w:t>
      </w:r>
      <w:r w:rsidR="00705AF2">
        <w:rPr>
          <w:rFonts w:ascii="Lotus Linotype" w:hAnsi="Lotus Linotype" w:cs="Lotus Linotype" w:hint="cs"/>
          <w:sz w:val="28"/>
          <w:szCs w:val="28"/>
          <w:rtl/>
          <w:lang w:bidi="ar-LB"/>
        </w:rPr>
        <w:t>ل</w:t>
      </w:r>
      <w:r w:rsidR="00E37969">
        <w:rPr>
          <w:rFonts w:ascii="Lotus Linotype" w:hAnsi="Lotus Linotype" w:cs="Lotus Linotype" w:hint="cs"/>
          <w:sz w:val="28"/>
          <w:szCs w:val="28"/>
          <w:rtl/>
          <w:lang w:bidi="ar-LB"/>
        </w:rPr>
        <w:t>أنّ الظاهر من كلام فضل بن شاذان</w:t>
      </w:r>
      <w:r w:rsidR="00BE5963">
        <w:rPr>
          <w:rFonts w:ascii="Lotus Linotype" w:hAnsi="Lotus Linotype" w:cs="Lotus Linotype" w:hint="cs"/>
          <w:sz w:val="28"/>
          <w:szCs w:val="28"/>
          <w:rtl/>
          <w:lang w:bidi="ar-LB"/>
        </w:rPr>
        <w:t xml:space="preserve"> </w:t>
      </w:r>
      <w:r w:rsidR="00BE5963">
        <w:rPr>
          <w:rFonts w:ascii="Lotus Linotype" w:hAnsi="Lotus Linotype" w:cs="TAHER" w:hint="cs"/>
          <w:sz w:val="28"/>
          <w:szCs w:val="28"/>
          <w:rtl/>
          <w:lang w:bidi="ar-LB"/>
        </w:rPr>
        <w:t>&amp;</w:t>
      </w:r>
      <w:r w:rsidR="00E37969">
        <w:rPr>
          <w:rFonts w:ascii="Lotus Linotype" w:hAnsi="Lotus Linotype" w:cs="Lotus Linotype" w:hint="cs"/>
          <w:sz w:val="28"/>
          <w:szCs w:val="28"/>
          <w:rtl/>
          <w:lang w:bidi="ar-LB"/>
        </w:rPr>
        <w:t xml:space="preserve"> المنقول في الكافي صحتها مطلقاً</w:t>
      </w:r>
      <w:r w:rsidR="00705AF2">
        <w:rPr>
          <w:rFonts w:ascii="Lotus Linotype" w:hAnsi="Lotus Linotype" w:cs="Lotus Linotype" w:hint="cs"/>
          <w:sz w:val="28"/>
          <w:szCs w:val="28"/>
          <w:rtl/>
          <w:lang w:bidi="ar-LB"/>
        </w:rPr>
        <w:t>،</w:t>
      </w:r>
      <w:r w:rsidR="00E37969">
        <w:rPr>
          <w:rFonts w:ascii="Lotus Linotype" w:hAnsi="Lotus Linotype" w:cs="Lotus Linotype" w:hint="cs"/>
          <w:sz w:val="28"/>
          <w:szCs w:val="28"/>
          <w:rtl/>
          <w:lang w:bidi="ar-LB"/>
        </w:rPr>
        <w:t xml:space="preserve"> حيث ذكر أنّ الرجل الذي دخل دار قومٍ بغير إذنهم فصلّى فيها فهو عاصٍ في دخوله الدار وصلاته جائزةٌ لأنّ ذلك ليس من شرائط الصلاة، وظاهر نقل الكافي له وعدم إنكاره عليه أنّه ارتضى هذا القول. </w:t>
      </w:r>
    </w:p>
    <w:p w:rsidR="00BE5963" w:rsidRDefault="00705AF2" w:rsidP="0000469B">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E37969">
        <w:rPr>
          <w:rFonts w:ascii="Lotus Linotype" w:hAnsi="Lotus Linotype" w:cs="Lotus Linotype" w:hint="cs"/>
          <w:sz w:val="28"/>
          <w:szCs w:val="28"/>
          <w:rtl/>
          <w:lang w:bidi="ar-LB"/>
        </w:rPr>
        <w:t>فما ذكره السيد الخميني</w:t>
      </w:r>
      <w:r>
        <w:rPr>
          <w:rFonts w:ascii="Lotus Linotype" w:hAnsi="Lotus Linotype" w:cs="TAHER" w:hint="cs"/>
          <w:sz w:val="28"/>
          <w:szCs w:val="28"/>
          <w:rtl/>
          <w:lang w:bidi="ar-LB"/>
        </w:rPr>
        <w:t>+</w:t>
      </w:r>
      <w:r w:rsidR="00E37969">
        <w:rPr>
          <w:rFonts w:ascii="Lotus Linotype" w:hAnsi="Lotus Linotype" w:cs="Lotus Linotype" w:hint="cs"/>
          <w:sz w:val="28"/>
          <w:szCs w:val="28"/>
          <w:rtl/>
          <w:lang w:bidi="ar-LB"/>
        </w:rPr>
        <w:t xml:space="preserve">من أنّ مقتضى القاعدة صحة العبادة في مورد اجتماع الأمر والنهي حتى </w:t>
      </w:r>
      <w:r>
        <w:rPr>
          <w:rFonts w:ascii="Lotus Linotype" w:hAnsi="Lotus Linotype" w:cs="Lotus Linotype" w:hint="cs"/>
          <w:sz w:val="28"/>
          <w:szCs w:val="28"/>
          <w:rtl/>
          <w:lang w:bidi="ar-LB"/>
        </w:rPr>
        <w:t>مع العلم والعمد وإنّما نحكم ببطلان الوضوء بالماء المغصوب عالماً عامداً أو الصلاة في المكان المغصوب عالماً عامداً لأجل الإجماع، فنقول</w:t>
      </w:r>
      <w:r w:rsidR="00BE5963">
        <w:rPr>
          <w:rFonts w:ascii="Lotus Linotype" w:hAnsi="Lotus Linotype" w:cs="Lotus Linotype" w:hint="cs"/>
          <w:sz w:val="28"/>
          <w:szCs w:val="28"/>
          <w:rtl/>
          <w:lang w:bidi="ar-LB"/>
        </w:rPr>
        <w:t>:</w:t>
      </w:r>
      <w:r w:rsidRPr="00BE5963">
        <w:rPr>
          <w:rFonts w:ascii="Lotus Linotype" w:hAnsi="Lotus Linotype" w:cs="Lotus Linotype" w:hint="cs"/>
          <w:sz w:val="28"/>
          <w:szCs w:val="28"/>
          <w:rtl/>
          <w:lang w:bidi="ar-LB"/>
        </w:rPr>
        <w:t>إن كان مقتضى القاعدة صحة العبادة في مورد اجتماع ال</w:t>
      </w:r>
      <w:r w:rsidR="00BE5963">
        <w:rPr>
          <w:rFonts w:ascii="Lotus Linotype" w:hAnsi="Lotus Linotype" w:cs="Lotus Linotype" w:hint="cs"/>
          <w:sz w:val="28"/>
          <w:szCs w:val="28"/>
          <w:rtl/>
          <w:lang w:bidi="ar-LB"/>
        </w:rPr>
        <w:t>أمر والنهي ولو كان عالماً عامداً</w:t>
      </w:r>
      <w:r w:rsidRPr="00BE5963">
        <w:rPr>
          <w:rFonts w:ascii="Lotus Linotype" w:hAnsi="Lotus Linotype" w:cs="Lotus Linotype" w:hint="cs"/>
          <w:sz w:val="28"/>
          <w:szCs w:val="28"/>
          <w:rtl/>
          <w:lang w:bidi="ar-LB"/>
        </w:rPr>
        <w:t xml:space="preserve"> فلا موجب لرفع اليد عن مقتضى القاعدة بإجماعٍ لم يثبت، بل لو ثبت لم يكن إجماعاً تعبديّاً لاحتمال كونه مستنداً إلى وجهٍ عقليٍّ أو </w:t>
      </w:r>
      <w:r w:rsidRPr="00BE5963">
        <w:rPr>
          <w:rFonts w:ascii="Lotus Linotype" w:hAnsi="Lotus Linotype" w:cs="Lotus Linotype" w:hint="cs"/>
          <w:sz w:val="28"/>
          <w:szCs w:val="28"/>
          <w:rtl/>
          <w:lang w:bidi="ar-LB"/>
        </w:rPr>
        <w:lastRenderedPageBreak/>
        <w:t>عقلائي ذُكر في الكلمات، والإجماع المدركي ليس كاشفاً عن رأي المعصوم بعد أن كان مستنداً أو محت</w:t>
      </w:r>
      <w:r w:rsidR="00BE5963">
        <w:rPr>
          <w:rFonts w:ascii="Lotus Linotype" w:hAnsi="Lotus Linotype" w:cs="Lotus Linotype" w:hint="cs"/>
          <w:sz w:val="28"/>
          <w:szCs w:val="28"/>
          <w:rtl/>
          <w:lang w:bidi="ar-LB"/>
        </w:rPr>
        <w:t xml:space="preserve">مل الاستناد إلى وجهٍ وصل إلينا، </w:t>
      </w:r>
      <w:r w:rsidRPr="00BE5963">
        <w:rPr>
          <w:rFonts w:ascii="Lotus Linotype" w:hAnsi="Lotus Linotype" w:cs="Lotus Linotype" w:hint="cs"/>
          <w:sz w:val="28"/>
          <w:szCs w:val="28"/>
          <w:rtl/>
          <w:lang w:bidi="ar-LB"/>
        </w:rPr>
        <w:t>فلا بدّ أن نتأمل في ذلك الوجه الذي هو مستند المجمعين</w:t>
      </w:r>
      <w:r w:rsidR="00BE5963">
        <w:rPr>
          <w:rFonts w:ascii="Lotus Linotype" w:hAnsi="Lotus Linotype" w:cs="Lotus Linotype" w:hint="cs"/>
          <w:sz w:val="28"/>
          <w:szCs w:val="28"/>
          <w:rtl/>
          <w:lang w:bidi="ar-LB"/>
        </w:rPr>
        <w:t>.</w:t>
      </w:r>
    </w:p>
    <w:p w:rsidR="00BE5963" w:rsidRPr="00BE5963" w:rsidRDefault="00BE5963" w:rsidP="00BE5963">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705AF2" w:rsidRPr="00BE5963">
        <w:rPr>
          <w:rFonts w:ascii="Lotus Linotype" w:hAnsi="Lotus Linotype" w:cs="Lotus Linotype" w:hint="cs"/>
          <w:sz w:val="28"/>
          <w:szCs w:val="28"/>
          <w:rtl/>
          <w:lang w:bidi="ar-LB"/>
        </w:rPr>
        <w:t xml:space="preserve"> ولأجل ذلك أفتى السيد الزنجاني </w:t>
      </w:r>
      <w:r w:rsidRPr="00BE5963">
        <w:rPr>
          <w:rFonts w:ascii="Lotus Linotype" w:hAnsi="Lotus Linotype" w:cs="TAHER" w:hint="cs"/>
          <w:sz w:val="28"/>
          <w:szCs w:val="28"/>
          <w:rtl/>
          <w:lang w:bidi="ar-LB"/>
        </w:rPr>
        <w:t>=</w:t>
      </w:r>
      <w:r w:rsidR="00705AF2" w:rsidRPr="00BE5963">
        <w:rPr>
          <w:rFonts w:ascii="Lotus Linotype" w:hAnsi="Lotus Linotype" w:cs="Lotus Linotype" w:hint="cs"/>
          <w:sz w:val="28"/>
          <w:szCs w:val="28"/>
          <w:rtl/>
          <w:lang w:bidi="ar-LB"/>
        </w:rPr>
        <w:t xml:space="preserve"> سابقاً بصحة الوضوء بالماء المغصوب أو الصلاة في المكان المغصوب ولو كان عالماً عامداً</w:t>
      </w:r>
      <w:r w:rsidRPr="00BE5963">
        <w:rPr>
          <w:rFonts w:ascii="Lotus Linotype" w:hAnsi="Lotus Linotype" w:cs="Lotus Linotype" w:hint="cs"/>
          <w:sz w:val="28"/>
          <w:szCs w:val="28"/>
          <w:rtl/>
          <w:lang w:bidi="ar-LB"/>
        </w:rPr>
        <w:t>،</w:t>
      </w:r>
      <w:r w:rsidR="00705AF2" w:rsidRPr="00BE5963">
        <w:rPr>
          <w:rFonts w:ascii="Lotus Linotype" w:hAnsi="Lotus Linotype" w:cs="Lotus Linotype" w:hint="cs"/>
          <w:sz w:val="28"/>
          <w:szCs w:val="28"/>
          <w:rtl/>
          <w:lang w:bidi="ar-LB"/>
        </w:rPr>
        <w:t xml:space="preserve"> لكنّه أخيراً  عدل</w:t>
      </w:r>
      <w:r w:rsidRPr="00BE5963">
        <w:rPr>
          <w:rFonts w:ascii="Lotus Linotype" w:hAnsi="Lotus Linotype" w:cs="Lotus Linotype" w:hint="cs"/>
          <w:sz w:val="28"/>
          <w:szCs w:val="28"/>
          <w:rtl/>
          <w:lang w:bidi="ar-LB"/>
        </w:rPr>
        <w:t xml:space="preserve"> </w:t>
      </w:r>
      <w:r w:rsidRPr="00BE5963">
        <w:rPr>
          <w:rFonts w:ascii="Lotus Linotype" w:hAnsi="Lotus Linotype" w:cs="TAHER" w:hint="cs"/>
          <w:sz w:val="28"/>
          <w:szCs w:val="28"/>
          <w:rtl/>
          <w:lang w:bidi="ar-LB"/>
        </w:rPr>
        <w:t>=</w:t>
      </w:r>
      <w:r w:rsidR="00705AF2" w:rsidRPr="00BE5963">
        <w:rPr>
          <w:rFonts w:ascii="Lotus Linotype" w:hAnsi="Lotus Linotype" w:cs="Lotus Linotype" w:hint="cs"/>
          <w:sz w:val="28"/>
          <w:szCs w:val="28"/>
          <w:rtl/>
          <w:lang w:bidi="ar-LB"/>
        </w:rPr>
        <w:t xml:space="preserve"> إلى الاحتياط الوجوبي لأجل تشكيكه في انعقاد الإطلاق في دليل الأمر بالصلاة أو الوضوء بالنسبة إلى هذه الصلاة أو هذا الوضوء بالماء المغصوب، فليس الإشكال عنده إشكالاً ثبوتياً وإنّما إشكالٌ إثباتي إستظهاريّ. </w:t>
      </w:r>
    </w:p>
    <w:p w:rsidR="00BE5963" w:rsidRPr="00BE5963" w:rsidRDefault="00BE5963" w:rsidP="00BE5963">
      <w:pPr>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00705AF2" w:rsidRPr="00BE5963">
        <w:rPr>
          <w:rFonts w:ascii="Lotus Linotype" w:hAnsi="Lotus Linotype" w:cs="Lotus Linotype" w:hint="cs"/>
          <w:b/>
          <w:bCs/>
          <w:color w:val="FF0000"/>
          <w:sz w:val="28"/>
          <w:szCs w:val="28"/>
          <w:rtl/>
          <w:lang w:bidi="ar-LB"/>
        </w:rPr>
        <w:t>وقد أشكلنا عليه</w:t>
      </w:r>
      <w:r w:rsidRPr="00BE5963">
        <w:rPr>
          <w:rFonts w:ascii="Lotus Linotype" w:hAnsi="Lotus Linotype" w:cs="Lotus Linotype" w:hint="cs"/>
          <w:sz w:val="28"/>
          <w:szCs w:val="28"/>
          <w:rtl/>
          <w:lang w:bidi="ar-LB"/>
        </w:rPr>
        <w:t>:</w:t>
      </w:r>
      <w:r w:rsidR="00705AF2" w:rsidRPr="00BE5963">
        <w:rPr>
          <w:rFonts w:ascii="Lotus Linotype" w:hAnsi="Lotus Linotype" w:cs="Lotus Linotype" w:hint="cs"/>
          <w:sz w:val="28"/>
          <w:szCs w:val="28"/>
          <w:rtl/>
          <w:lang w:bidi="ar-LB"/>
        </w:rPr>
        <w:t xml:space="preserve"> بأنّه لو شكّكتم في انعقاد الإطلاق في الدليل فغايته وصول النوبة إلى الأصل العملي، ومقتضى الأصل العملي البراءة عن تقيّد العبادة بأن لا تكون مصداقاً للحرام.</w:t>
      </w:r>
    </w:p>
    <w:p w:rsidR="00BE5963" w:rsidRPr="00BE5963" w:rsidRDefault="00BE5963" w:rsidP="0096371C">
      <w:pPr>
        <w:jc w:val="both"/>
        <w:rPr>
          <w:rFonts w:ascii="Lotus Linotype" w:hAnsi="Lotus Linotype" w:cs="Lotus Linotype"/>
          <w:sz w:val="28"/>
          <w:szCs w:val="28"/>
          <w:rtl/>
          <w:lang w:bidi="ar-LB"/>
        </w:rPr>
      </w:pPr>
      <w:r w:rsidRPr="00BE5963">
        <w:rPr>
          <w:rFonts w:ascii="Lotus Linotype" w:hAnsi="Lotus Linotype" w:cs="Lotus Linotype" w:hint="cs"/>
          <w:sz w:val="28"/>
          <w:szCs w:val="28"/>
          <w:rtl/>
          <w:lang w:bidi="ar-LB"/>
        </w:rPr>
        <w:t xml:space="preserve">     </w:t>
      </w:r>
      <w:r w:rsidR="00894516" w:rsidRPr="00BE5963">
        <w:rPr>
          <w:rFonts w:ascii="Lotus Linotype" w:hAnsi="Lotus Linotype" w:cs="Lotus Linotype" w:hint="cs"/>
          <w:sz w:val="28"/>
          <w:szCs w:val="28"/>
          <w:rtl/>
          <w:lang w:bidi="ar-LB"/>
        </w:rPr>
        <w:t>والسيد السيستاني</w:t>
      </w:r>
      <w:r w:rsidR="00C77BDD" w:rsidRPr="00BE5963">
        <w:rPr>
          <w:rFonts w:ascii="Lotus Linotype" w:hAnsi="Lotus Linotype" w:cs="TAHER" w:hint="cs"/>
          <w:sz w:val="28"/>
          <w:szCs w:val="28"/>
          <w:rtl/>
          <w:lang w:bidi="ar-LB"/>
        </w:rPr>
        <w:t>=</w:t>
      </w:r>
      <w:r w:rsidR="00C77BDD" w:rsidRPr="00BE5963">
        <w:rPr>
          <w:rFonts w:ascii="Lotus Linotype" w:hAnsi="Lotus Linotype" w:cs="Lotus Linotype" w:hint="cs"/>
          <w:sz w:val="28"/>
          <w:szCs w:val="28"/>
          <w:rtl/>
          <w:lang w:bidi="ar-LB"/>
        </w:rPr>
        <w:t xml:space="preserve"> </w:t>
      </w:r>
      <w:r w:rsidR="00894516" w:rsidRPr="00BE5963">
        <w:rPr>
          <w:rFonts w:ascii="Lotus Linotype" w:hAnsi="Lotus Linotype" w:cs="Lotus Linotype" w:hint="cs"/>
          <w:sz w:val="28"/>
          <w:szCs w:val="28"/>
          <w:rtl/>
          <w:lang w:bidi="ar-LB"/>
        </w:rPr>
        <w:t xml:space="preserve">لولا الشهرة </w:t>
      </w:r>
      <w:r w:rsidR="009E1101" w:rsidRPr="00BE5963">
        <w:rPr>
          <w:rFonts w:ascii="Lotus Linotype" w:hAnsi="Lotus Linotype" w:cs="Lotus Linotype" w:hint="cs"/>
          <w:sz w:val="28"/>
          <w:szCs w:val="28"/>
          <w:rtl/>
          <w:lang w:bidi="ar-LB"/>
        </w:rPr>
        <w:t>يُفتي بصحة العبادة في مورد اجتماع الأمر والنهي، بل يقول حتى لو كان النهي متعلّقاً بنفس العنوان المتعلَّق للأمر بأن كان الأمر متعلِّقاً بعنوانٍ مطلق على نحو صِرف الوجود والنهي متعلّق</w:t>
      </w:r>
      <w:r w:rsidR="0096371C">
        <w:rPr>
          <w:rFonts w:ascii="Lotus Linotype" w:hAnsi="Lotus Linotype" w:cs="Lotus Linotype" w:hint="cs"/>
          <w:sz w:val="28"/>
          <w:szCs w:val="28"/>
          <w:rtl/>
          <w:lang w:bidi="ar-LB"/>
        </w:rPr>
        <w:t>اً</w:t>
      </w:r>
      <w:r w:rsidR="009E1101" w:rsidRPr="00BE5963">
        <w:rPr>
          <w:rFonts w:ascii="Lotus Linotype" w:hAnsi="Lotus Linotype" w:cs="Lotus Linotype" w:hint="cs"/>
          <w:sz w:val="28"/>
          <w:szCs w:val="28"/>
          <w:rtl/>
          <w:lang w:bidi="ar-LB"/>
        </w:rPr>
        <w:t xml:space="preserve"> بعنوان مقيّد، كما هو مختاره في النهي عن الغصب، حيث يراه عنواناً مشيراً إلى العناوين الذاتيّة للأفعال، فتعلّق الأمر بالصلاة وتعلّق النهي بالصلاة في المكان المغصوب، وتعلّق الأمر بالوضوء ثم تعلّق النهي</w:t>
      </w:r>
      <w:r w:rsidR="0096371C">
        <w:rPr>
          <w:rFonts w:ascii="Lotus Linotype" w:hAnsi="Lotus Linotype" w:cs="Lotus Linotype" w:hint="cs"/>
          <w:sz w:val="28"/>
          <w:szCs w:val="28"/>
          <w:rtl/>
          <w:lang w:bidi="ar-LB"/>
        </w:rPr>
        <w:t xml:space="preserve"> بالوضوء</w:t>
      </w:r>
      <w:r w:rsidR="009E1101" w:rsidRPr="00BE5963">
        <w:rPr>
          <w:rFonts w:ascii="Lotus Linotype" w:hAnsi="Lotus Linotype" w:cs="Lotus Linotype" w:hint="cs"/>
          <w:sz w:val="28"/>
          <w:szCs w:val="28"/>
          <w:rtl/>
          <w:lang w:bidi="ar-LB"/>
        </w:rPr>
        <w:t xml:space="preserve"> في المكان المغصوب</w:t>
      </w:r>
      <w:r w:rsidR="00FF4252" w:rsidRPr="00BE5963">
        <w:rPr>
          <w:rFonts w:ascii="Lotus Linotype" w:hAnsi="Lotus Linotype" w:cs="Lotus Linotype" w:hint="cs"/>
          <w:sz w:val="28"/>
          <w:szCs w:val="28"/>
          <w:rtl/>
          <w:lang w:bidi="ar-LB"/>
        </w:rPr>
        <w:t xml:space="preserve">. فهنا يقول </w:t>
      </w:r>
      <w:r w:rsidR="00C77BDD" w:rsidRPr="00BE5963">
        <w:rPr>
          <w:rFonts w:ascii="Lotus Linotype" w:hAnsi="Lotus Linotype" w:cs="Lotus Linotype" w:hint="cs"/>
          <w:sz w:val="28"/>
          <w:szCs w:val="28"/>
          <w:rtl/>
          <w:lang w:bidi="ar-LB"/>
        </w:rPr>
        <w:t xml:space="preserve">لا مانع من مقربيّة هذا العمل الذي هو مصداقٌ للحرام لأنّه امتثالٌ للواجب أيضاً، فالعمل مبعّدٌ من حيث ومقرّبٌ من حيثٍ آخر، وليس القرب والبعد قرباً وبعداً مكانياً حتى يمتنع اجتماعهما. فالقرب والبعد إلى الله سبحانه وتعالى معنويٌ، فيمكن أن يكون الشخص حيث إنّه بصدد امتثال الأمر بالصلاة متقرّباًَ إلى الله ومن حيث اختياره لهذا الفرد </w:t>
      </w:r>
      <w:r w:rsidR="00C77BDD" w:rsidRPr="00BE5963">
        <w:rPr>
          <w:rFonts w:ascii="Times New Roman" w:hAnsi="Times New Roman" w:cs="Times New Roman" w:hint="cs"/>
          <w:sz w:val="28"/>
          <w:szCs w:val="28"/>
          <w:rtl/>
          <w:lang w:bidi="ar-LB"/>
        </w:rPr>
        <w:t>–</w:t>
      </w:r>
      <w:r w:rsidR="00C77BDD" w:rsidRPr="00BE5963">
        <w:rPr>
          <w:rFonts w:ascii="Lotus Linotype" w:hAnsi="Lotus Linotype" w:cs="Lotus Linotype" w:hint="cs"/>
          <w:sz w:val="28"/>
          <w:szCs w:val="28"/>
          <w:rtl/>
          <w:lang w:bidi="ar-LB"/>
        </w:rPr>
        <w:t xml:space="preserve">وهو الصلاة في المكان المغصوب- عاصياً، ولا مانع من اجتماع القرب بلحاظ كونه بصدد امتثال الأمر بصرف وجود الصلاة لله مع مبعديّة اختياره </w:t>
      </w:r>
      <w:r>
        <w:rPr>
          <w:rFonts w:ascii="Lotus Linotype" w:hAnsi="Lotus Linotype" w:cs="Lotus Linotype" w:hint="cs"/>
          <w:sz w:val="28"/>
          <w:szCs w:val="28"/>
          <w:rtl/>
          <w:lang w:bidi="ar-LB"/>
        </w:rPr>
        <w:t xml:space="preserve">لهذه الحصّة المحرّمة. </w:t>
      </w:r>
      <w:r w:rsidR="00B51A67" w:rsidRPr="00BE5963">
        <w:rPr>
          <w:rFonts w:ascii="Lotus Linotype" w:hAnsi="Lotus Linotype" w:cs="Lotus Linotype" w:hint="cs"/>
          <w:sz w:val="28"/>
          <w:szCs w:val="28"/>
          <w:rtl/>
          <w:lang w:bidi="ar-LB"/>
        </w:rPr>
        <w:t>لكنّه في مقام الفتوى لم يفتِ بصحة الصلاة في المكان المغصوب عالماً عامداً وجاهلاً مقصِّراً، وأمّا في الوضوء فأفتى بصحة الوضوء بالماء المغصوب جاهلاً مقصِّراً ف</w:t>
      </w:r>
      <w:r w:rsidR="0096371C">
        <w:rPr>
          <w:rFonts w:ascii="Lotus Linotype" w:hAnsi="Lotus Linotype" w:cs="Lotus Linotype" w:hint="cs"/>
          <w:sz w:val="28"/>
          <w:szCs w:val="28"/>
          <w:rtl/>
          <w:lang w:bidi="ar-LB"/>
        </w:rPr>
        <w:t>ضلاً عن كونه جاهلاً قاصراً؛ لما</w:t>
      </w:r>
      <w:r w:rsidR="00B51A67" w:rsidRPr="00BE5963">
        <w:rPr>
          <w:rFonts w:ascii="Lotus Linotype" w:hAnsi="Lotus Linotype" w:cs="Lotus Linotype" w:hint="cs"/>
          <w:sz w:val="28"/>
          <w:szCs w:val="28"/>
          <w:rtl/>
          <w:lang w:bidi="ar-LB"/>
        </w:rPr>
        <w:t xml:space="preserve"> ذكره من أنّ الوضوء موضوعٌ للحكم بالطهارة بينما أنّ الصلاة متعلّقٌ للوجوب ولأجل ذلك فرّق بينهما</w:t>
      </w:r>
      <w:r w:rsidR="00A80847" w:rsidRPr="00BE5963">
        <w:rPr>
          <w:rFonts w:ascii="Lotus Linotype" w:hAnsi="Lotus Linotype" w:cs="Lotus Linotype" w:hint="cs"/>
          <w:sz w:val="28"/>
          <w:szCs w:val="28"/>
          <w:rtl/>
          <w:lang w:bidi="ar-LB"/>
        </w:rPr>
        <w:t>.</w:t>
      </w:r>
    </w:p>
    <w:p w:rsidR="00A80847" w:rsidRDefault="00BE5963" w:rsidP="0096371C">
      <w:pPr>
        <w:jc w:val="both"/>
        <w:rPr>
          <w:rFonts w:ascii="Lotus Linotype" w:hAnsi="Lotus Linotype" w:cs="Lotus Linotype"/>
          <w:sz w:val="28"/>
          <w:szCs w:val="28"/>
          <w:rtl/>
          <w:lang w:bidi="ar-LB"/>
        </w:rPr>
      </w:pPr>
      <w:r>
        <w:rPr>
          <w:rFonts w:ascii="Lotus Linotype" w:hAnsi="Lotus Linotype" w:cs="Lotus Linotype" w:hint="cs"/>
          <w:b/>
          <w:bCs/>
          <w:sz w:val="28"/>
          <w:szCs w:val="28"/>
          <w:rtl/>
          <w:lang w:bidi="ar-LB"/>
        </w:rPr>
        <w:t xml:space="preserve">     </w:t>
      </w:r>
      <w:r w:rsidR="00A80847" w:rsidRPr="00BE5963">
        <w:rPr>
          <w:rFonts w:ascii="Lotus Linotype" w:hAnsi="Lotus Linotype" w:cs="Lotus Linotype" w:hint="cs"/>
          <w:b/>
          <w:bCs/>
          <w:color w:val="FF0000"/>
          <w:sz w:val="28"/>
          <w:szCs w:val="28"/>
          <w:rtl/>
          <w:lang w:bidi="ar-LB"/>
        </w:rPr>
        <w:t>ولكن نحن أشكلنا عليه</w:t>
      </w:r>
      <w:r w:rsidRPr="00BE5963">
        <w:rPr>
          <w:rFonts w:ascii="Lotus Linotype" w:hAnsi="Lotus Linotype" w:cs="Lotus Linotype" w:hint="cs"/>
          <w:color w:val="FF0000"/>
          <w:sz w:val="28"/>
          <w:szCs w:val="28"/>
          <w:rtl/>
          <w:lang w:bidi="ar-LB"/>
        </w:rPr>
        <w:t>:</w:t>
      </w:r>
      <w:r w:rsidR="00A80847">
        <w:rPr>
          <w:rFonts w:ascii="Lotus Linotype" w:hAnsi="Lotus Linotype" w:cs="Lotus Linotype" w:hint="cs"/>
          <w:sz w:val="28"/>
          <w:szCs w:val="28"/>
          <w:rtl/>
          <w:lang w:bidi="ar-LB"/>
        </w:rPr>
        <w:t xml:space="preserve"> بأنّه لو تمشّى قصد القربة من الجاهل المقصّر فل</w:t>
      </w:r>
      <w:r w:rsidR="005D74CE">
        <w:rPr>
          <w:rFonts w:ascii="Lotus Linotype" w:hAnsi="Lotus Linotype" w:cs="Lotus Linotype" w:hint="cs"/>
          <w:sz w:val="28"/>
          <w:szCs w:val="28"/>
          <w:rtl/>
          <w:lang w:bidi="ar-LB"/>
        </w:rPr>
        <w:t>ا فرق بين الموردين وإن لم يتمشَ</w:t>
      </w:r>
      <w:r w:rsidR="00A80847">
        <w:rPr>
          <w:rFonts w:ascii="Lotus Linotype" w:hAnsi="Lotus Linotype" w:cs="Lotus Linotype" w:hint="cs"/>
          <w:sz w:val="28"/>
          <w:szCs w:val="28"/>
          <w:rtl/>
          <w:lang w:bidi="ar-LB"/>
        </w:rPr>
        <w:t xml:space="preserve"> منه قصد القرب</w:t>
      </w:r>
      <w:r w:rsidR="0096371C">
        <w:rPr>
          <w:rFonts w:ascii="Lotus Linotype" w:hAnsi="Lotus Linotype" w:cs="Lotus Linotype" w:hint="cs"/>
          <w:sz w:val="28"/>
          <w:szCs w:val="28"/>
          <w:rtl/>
          <w:lang w:bidi="ar-LB"/>
        </w:rPr>
        <w:t>ة</w:t>
      </w:r>
      <w:r w:rsidR="00A80847">
        <w:rPr>
          <w:rFonts w:ascii="Lotus Linotype" w:hAnsi="Lotus Linotype" w:cs="Lotus Linotype" w:hint="cs"/>
          <w:sz w:val="28"/>
          <w:szCs w:val="28"/>
          <w:rtl/>
          <w:lang w:bidi="ar-LB"/>
        </w:rPr>
        <w:t xml:space="preserve"> فكذلك لا فرق بين الموردين</w:t>
      </w:r>
      <w:r w:rsidR="005D74CE">
        <w:rPr>
          <w:rFonts w:ascii="Lotus Linotype" w:hAnsi="Lotus Linotype" w:cs="Lotus Linotype" w:hint="cs"/>
          <w:sz w:val="28"/>
          <w:szCs w:val="28"/>
          <w:rtl/>
          <w:lang w:bidi="ar-LB"/>
        </w:rPr>
        <w:t xml:space="preserve"> بعد اختيار السيد </w:t>
      </w:r>
      <w:r w:rsidR="0000469B">
        <w:rPr>
          <w:rFonts w:ascii="Lotus Linotype" w:hAnsi="Lotus Linotype" w:cs="TAHER" w:hint="cs"/>
          <w:sz w:val="28"/>
          <w:szCs w:val="28"/>
          <w:rtl/>
          <w:lang w:bidi="ar-LB"/>
        </w:rPr>
        <w:t>=</w:t>
      </w:r>
      <w:r w:rsidR="005D74CE">
        <w:rPr>
          <w:rFonts w:ascii="Lotus Linotype" w:hAnsi="Lotus Linotype" w:cs="Lotus Linotype" w:hint="cs"/>
          <w:sz w:val="28"/>
          <w:szCs w:val="28"/>
          <w:rtl/>
          <w:lang w:bidi="ar-LB"/>
        </w:rPr>
        <w:t xml:space="preserve"> جواز اجتماع الأمر والنهي مع تعدد العنوان بل مع وحدة العنوان.</w:t>
      </w:r>
    </w:p>
    <w:p w:rsidR="002F2F2A" w:rsidRDefault="002F2F2A" w:rsidP="0000469B">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     وكيف كان، تارةً ننظر إلى المسألة نظرةً عقليّةً محضة وأخرى ننظر إليها نظرةً عقلائيّة ومتشرعيّة، فبالنظرة العقليّة فكما يقول السيد الخميني </w:t>
      </w:r>
      <w:r w:rsidR="0000469B">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والسيد السيستاني </w:t>
      </w:r>
      <w:r w:rsidR="0000469B">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والسيد الزنجاني </w:t>
      </w:r>
      <w:r w:rsidR="0000469B">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يمكن أن يكون العمل الواحد مقرّباً ومبّعداّ من جهتين؛ فإنّ هذا المكلف تدينه ولو بتدينٍ نسبي</w:t>
      </w:r>
      <w:r w:rsidR="009D58D6">
        <w:rPr>
          <w:rFonts w:ascii="Lotus Linotype" w:hAnsi="Lotus Linotype" w:cs="Lotus Linotype" w:hint="cs"/>
          <w:sz w:val="28"/>
          <w:szCs w:val="28"/>
          <w:rtl/>
          <w:lang w:bidi="ar-LB"/>
        </w:rPr>
        <w:t xml:space="preserve"> جعله يقوم من النوم ويتوضأ ويصلّي لكن ليس</w:t>
      </w:r>
      <w:r w:rsidR="00414984">
        <w:rPr>
          <w:rFonts w:ascii="Lotus Linotype" w:hAnsi="Lotus Linotype" w:cs="Lotus Linotype" w:hint="cs"/>
          <w:sz w:val="28"/>
          <w:szCs w:val="28"/>
          <w:rtl/>
          <w:lang w:bidi="ar-LB"/>
        </w:rPr>
        <w:t xml:space="preserve"> تدينه بحيث يختار المكان المباح فهو يتكاسل أن يذهب إلى مكانٍ مباح، بيته متعلّقٌ للخمس أو متعلّقٌ لحق الأخوات ولم يعطِ حقهن من الميراث، فليس متديناً </w:t>
      </w:r>
      <w:r w:rsidR="007628BA">
        <w:rPr>
          <w:rFonts w:ascii="Lotus Linotype" w:hAnsi="Lotus Linotype" w:cs="Lotus Linotype" w:hint="cs"/>
          <w:sz w:val="28"/>
          <w:szCs w:val="28"/>
          <w:rtl/>
          <w:lang w:bidi="ar-LB"/>
        </w:rPr>
        <w:t>بالمستوى الكامل لكنّه لا يريد أن يكون تاركاً للصلاة فهو يقوم آذان الفجر ويتوضأ ويصلّي، كيف لا يكون قاصداً للقربة؟</w:t>
      </w:r>
      <w:r w:rsidR="0000469B">
        <w:rPr>
          <w:rFonts w:ascii="Lotus Linotype" w:hAnsi="Lotus Linotype" w:cs="Lotus Linotype" w:hint="cs"/>
          <w:sz w:val="28"/>
          <w:szCs w:val="28"/>
          <w:rtl/>
          <w:lang w:bidi="ar-LB"/>
        </w:rPr>
        <w:t>!</w:t>
      </w:r>
      <w:r w:rsidR="007628BA">
        <w:rPr>
          <w:rFonts w:ascii="Lotus Linotype" w:hAnsi="Lotus Linotype" w:cs="Lotus Linotype" w:hint="cs"/>
          <w:sz w:val="28"/>
          <w:szCs w:val="28"/>
          <w:rtl/>
          <w:lang w:bidi="ar-LB"/>
        </w:rPr>
        <w:t xml:space="preserve"> ولكن في نفس الوقت </w:t>
      </w:r>
      <w:r w:rsidR="00D47293">
        <w:rPr>
          <w:rFonts w:ascii="Lotus Linotype" w:hAnsi="Lotus Linotype" w:cs="Lotus Linotype" w:hint="cs"/>
          <w:sz w:val="28"/>
          <w:szCs w:val="28"/>
          <w:rtl/>
          <w:lang w:bidi="ar-LB"/>
        </w:rPr>
        <w:t xml:space="preserve">ضعف تديّنه جعله يختار هذا الفرد الحرام </w:t>
      </w:r>
      <w:r w:rsidR="00D47293">
        <w:rPr>
          <w:rFonts w:ascii="Times New Roman" w:hAnsi="Times New Roman" w:cs="Times New Roman" w:hint="cs"/>
          <w:sz w:val="28"/>
          <w:szCs w:val="28"/>
          <w:rtl/>
          <w:lang w:bidi="ar-LB"/>
        </w:rPr>
        <w:t>–</w:t>
      </w:r>
      <w:r w:rsidR="00D47293">
        <w:rPr>
          <w:rFonts w:ascii="Lotus Linotype" w:hAnsi="Lotus Linotype" w:cs="Lotus Linotype" w:hint="cs"/>
          <w:sz w:val="28"/>
          <w:szCs w:val="28"/>
          <w:rtl/>
          <w:lang w:bidi="ar-LB"/>
        </w:rPr>
        <w:t>وهو الوضوء بالماء المغصوب أو الصلاة في المكان المغصوب- فأيّ مانعٍ من أن يكون سبب قربه إلى المولى أنّ الداعي الإلهي</w:t>
      </w:r>
      <w:r w:rsidR="008C6D24">
        <w:rPr>
          <w:rFonts w:ascii="Lotus Linotype" w:hAnsi="Lotus Linotype" w:cs="Lotus Linotype" w:hint="cs"/>
          <w:sz w:val="28"/>
          <w:szCs w:val="28"/>
          <w:rtl/>
          <w:lang w:bidi="ar-LB"/>
        </w:rPr>
        <w:t xml:space="preserve"> دعاه وحرّكه إلى صِرف وجود الصلاة، وسبب بعده عن الله سبحانه وتعالى أنّ الداعي الشيطاني دعاه إلى هذا الغصب</w:t>
      </w:r>
      <w:r w:rsidR="00F178C7">
        <w:rPr>
          <w:rFonts w:ascii="Lotus Linotype" w:hAnsi="Lotus Linotype" w:cs="Lotus Linotype" w:hint="cs"/>
          <w:sz w:val="28"/>
          <w:szCs w:val="28"/>
          <w:rtl/>
          <w:lang w:bidi="ar-LB"/>
        </w:rPr>
        <w:t>؟</w:t>
      </w:r>
    </w:p>
    <w:p w:rsidR="00C310FB" w:rsidRDefault="00F178C7" w:rsidP="0000469B">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Pr="0000469B">
        <w:rPr>
          <w:rFonts w:ascii="Lotus Linotype" w:hAnsi="Lotus Linotype" w:cs="Lotus Linotype" w:hint="cs"/>
          <w:b/>
          <w:bCs/>
          <w:sz w:val="28"/>
          <w:szCs w:val="28"/>
          <w:rtl/>
          <w:lang w:bidi="ar-LB"/>
        </w:rPr>
        <w:t>هذا بالنظر العقليّ ولكن لا تكفي النظرة العقليّة المحضة</w:t>
      </w:r>
      <w:r>
        <w:rPr>
          <w:rFonts w:ascii="Lotus Linotype" w:hAnsi="Lotus Linotype" w:cs="Lotus Linotype" w:hint="cs"/>
          <w:sz w:val="28"/>
          <w:szCs w:val="28"/>
          <w:rtl/>
          <w:lang w:bidi="ar-LB"/>
        </w:rPr>
        <w:t xml:space="preserve">؛ فإنّ الخطاب المشروط بقصد القربة كقوله تعالى </w:t>
      </w:r>
      <w:r w:rsidR="0000469B">
        <w:rPr>
          <w:rFonts w:ascii="Lotus Linotype" w:hAnsi="Lotus Linotype" w:cs="Lotus Linotype"/>
          <w:sz w:val="28"/>
          <w:szCs w:val="28"/>
          <w:rtl/>
          <w:lang w:bidi="ar-LB"/>
        </w:rPr>
        <w:t>﴿</w:t>
      </w:r>
      <w:r w:rsidRPr="0000469B">
        <w:rPr>
          <w:rFonts w:ascii="Lotus Linotype" w:hAnsi="Lotus Linotype" w:cs="Lotus Linotype" w:hint="cs"/>
          <w:b/>
          <w:bCs/>
          <w:sz w:val="28"/>
          <w:szCs w:val="28"/>
          <w:rtl/>
          <w:lang w:bidi="ar-LB"/>
        </w:rPr>
        <w:t>وأتموا الحج والعمرة لله</w:t>
      </w:r>
      <w:r w:rsidR="0000469B">
        <w:rPr>
          <w:rFonts w:ascii="Lotus Linotype" w:hAnsi="Lotus Linotype" w:cs="Lotus Linotype"/>
          <w:sz w:val="28"/>
          <w:szCs w:val="28"/>
          <w:rtl/>
          <w:lang w:bidi="ar-LB"/>
        </w:rPr>
        <w:t>﴾</w:t>
      </w:r>
      <w:r>
        <w:rPr>
          <w:rFonts w:ascii="Lotus Linotype" w:hAnsi="Lotus Linotype" w:cs="Lotus Linotype" w:hint="cs"/>
          <w:sz w:val="28"/>
          <w:szCs w:val="28"/>
          <w:rtl/>
          <w:lang w:bidi="ar-LB"/>
        </w:rPr>
        <w:t xml:space="preserve"> أو </w:t>
      </w:r>
      <w:r w:rsidR="0000469B">
        <w:rPr>
          <w:rFonts w:ascii="Lotus Linotype" w:hAnsi="Lotus Linotype" w:cs="Lotus Linotype"/>
          <w:sz w:val="28"/>
          <w:szCs w:val="28"/>
          <w:rtl/>
          <w:lang w:bidi="ar-LB"/>
        </w:rPr>
        <w:t>﴿</w:t>
      </w:r>
      <w:r w:rsidRPr="0000469B">
        <w:rPr>
          <w:rFonts w:ascii="Lotus Linotype" w:hAnsi="Lotus Linotype" w:cs="Lotus Linotype" w:hint="cs"/>
          <w:b/>
          <w:bCs/>
          <w:sz w:val="28"/>
          <w:szCs w:val="28"/>
          <w:rtl/>
          <w:lang w:bidi="ar-LB"/>
        </w:rPr>
        <w:t>أقم الصلاة لذكري</w:t>
      </w:r>
      <w:r w:rsidR="0000469B">
        <w:rPr>
          <w:rFonts w:ascii="Lotus Linotype" w:hAnsi="Lotus Linotype" w:cs="Lotus Linotype"/>
          <w:sz w:val="28"/>
          <w:szCs w:val="28"/>
          <w:rtl/>
          <w:lang w:bidi="ar-LB"/>
        </w:rPr>
        <w:t>﴾</w:t>
      </w:r>
      <w:r>
        <w:rPr>
          <w:rFonts w:ascii="Lotus Linotype" w:hAnsi="Lotus Linotype" w:cs="Lotus Linotype" w:hint="cs"/>
          <w:sz w:val="28"/>
          <w:szCs w:val="28"/>
          <w:rtl/>
          <w:lang w:bidi="ar-LB"/>
        </w:rPr>
        <w:t xml:space="preserve"> حيث استُظهر منه الأمر بالصلاة لله أنّه لا بدّ </w:t>
      </w:r>
      <w:r w:rsidR="00574DAB">
        <w:rPr>
          <w:rFonts w:ascii="Lotus Linotype" w:hAnsi="Lotus Linotype" w:cs="Lotus Linotype" w:hint="cs"/>
          <w:sz w:val="28"/>
          <w:szCs w:val="28"/>
          <w:rtl/>
          <w:lang w:bidi="ar-LB"/>
        </w:rPr>
        <w:t>أن يكون العمل صالحاً لأن يُتقرب به</w:t>
      </w:r>
      <w:r w:rsidR="0000469B">
        <w:rPr>
          <w:rFonts w:ascii="Lotus Linotype" w:hAnsi="Lotus Linotype" w:cs="Lotus Linotype" w:hint="cs"/>
          <w:sz w:val="28"/>
          <w:szCs w:val="28"/>
          <w:rtl/>
          <w:lang w:bidi="ar-LB"/>
        </w:rPr>
        <w:t>.</w:t>
      </w:r>
      <w:r w:rsidR="00574DAB">
        <w:rPr>
          <w:rFonts w:ascii="Lotus Linotype" w:hAnsi="Lotus Linotype" w:cs="Lotus Linotype" w:hint="cs"/>
          <w:sz w:val="28"/>
          <w:szCs w:val="28"/>
          <w:rtl/>
          <w:lang w:bidi="ar-LB"/>
        </w:rPr>
        <w:t xml:space="preserve"> فلو </w:t>
      </w:r>
      <w:r w:rsidR="0025113A">
        <w:rPr>
          <w:rFonts w:ascii="Lotus Linotype" w:hAnsi="Lotus Linotype" w:cs="Lotus Linotype" w:hint="cs"/>
          <w:sz w:val="28"/>
          <w:szCs w:val="28"/>
          <w:rtl/>
          <w:lang w:bidi="ar-LB"/>
        </w:rPr>
        <w:t>ضرب ابن المولى وقصد التقرّب إلى المولى، العرف يقول هذا العمل لا يصلح لأن يُتقرّب به إلى المولى</w:t>
      </w:r>
      <w:r w:rsidR="0000469B">
        <w:rPr>
          <w:rFonts w:ascii="Lotus Linotype" w:hAnsi="Lotus Linotype" w:cs="Lotus Linotype" w:hint="cs"/>
          <w:sz w:val="28"/>
          <w:szCs w:val="28"/>
          <w:rtl/>
          <w:lang w:bidi="ar-LB"/>
        </w:rPr>
        <w:t>،</w:t>
      </w:r>
      <w:r w:rsidR="0025113A">
        <w:rPr>
          <w:rFonts w:ascii="Lotus Linotype" w:hAnsi="Lotus Linotype" w:cs="Lotus Linotype" w:hint="cs"/>
          <w:sz w:val="28"/>
          <w:szCs w:val="28"/>
          <w:rtl/>
          <w:lang w:bidi="ar-LB"/>
        </w:rPr>
        <w:t xml:space="preserve"> العمل الذي يكون مبعداً عن المولى والمولى يعاقب عليه ويوبخه عليه لا يصلح حسب المرتكز العقلائي والمتشرّعي لأن يُتقرّب به إلى الله ويكون </w:t>
      </w:r>
      <w:r w:rsidR="00C310FB">
        <w:rPr>
          <w:rFonts w:ascii="Lotus Linotype" w:hAnsi="Lotus Linotype" w:cs="Lotus Linotype" w:hint="cs"/>
          <w:sz w:val="28"/>
          <w:szCs w:val="28"/>
          <w:rtl/>
          <w:lang w:bidi="ar-LB"/>
        </w:rPr>
        <w:t xml:space="preserve">عبادة لله سبحانه وتعالى، كما ورد في حديثٍ مرسل "لا يُطاع الله من حيث يُعصى". هذا حديثٌ مرسل، ولو تمّ سنده مع ذلك لا يسعنا الاستدلال به في المقام لأنّه قد يقال بأنّ الله سبحانه وتعالى هنا لا يُطاع من حيث يُعصى، يطاع من حيثٍ ويُعصى من حيثٍ آخر، يطاع من حيث إنّه صلاة ويعصى من حيث إنّه غصبٌ. لكن أذكر ذلك </w:t>
      </w:r>
      <w:r w:rsidR="0096371C">
        <w:rPr>
          <w:rFonts w:ascii="Lotus Linotype" w:hAnsi="Lotus Linotype" w:cs="Lotus Linotype" w:hint="cs"/>
          <w:sz w:val="28"/>
          <w:szCs w:val="28"/>
          <w:rtl/>
          <w:lang w:bidi="ar-LB"/>
        </w:rPr>
        <w:t xml:space="preserve">كمؤيد </w:t>
      </w:r>
      <w:r w:rsidR="00C310FB">
        <w:rPr>
          <w:rFonts w:ascii="Lotus Linotype" w:hAnsi="Lotus Linotype" w:cs="Lotus Linotype" w:hint="cs"/>
          <w:sz w:val="28"/>
          <w:szCs w:val="28"/>
          <w:rtl/>
          <w:lang w:bidi="ar-LB"/>
        </w:rPr>
        <w:t xml:space="preserve">لما هو المرتكز العقلائي والمتشرّعي، فلا يبعد بطلان العبادة </w:t>
      </w:r>
      <w:r w:rsidR="005D1CB2">
        <w:rPr>
          <w:rFonts w:ascii="Lotus Linotype" w:hAnsi="Lotus Linotype" w:cs="Lotus Linotype" w:hint="cs"/>
          <w:sz w:val="28"/>
          <w:szCs w:val="28"/>
          <w:rtl/>
          <w:lang w:bidi="ar-LB"/>
        </w:rPr>
        <w:t xml:space="preserve">في فرض تنجّز الحرمة، بأن كان عالماً عامداً أو جاهلاً مقصّراً أو ناسياً مقصّرا. </w:t>
      </w:r>
    </w:p>
    <w:p w:rsidR="0000469B" w:rsidRDefault="0000469B" w:rsidP="0000469B">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5D1CB2">
        <w:rPr>
          <w:rFonts w:ascii="Lotus Linotype" w:hAnsi="Lotus Linotype" w:cs="Lotus Linotype" w:hint="cs"/>
          <w:sz w:val="28"/>
          <w:szCs w:val="28"/>
          <w:rtl/>
          <w:lang w:bidi="ar-LB"/>
        </w:rPr>
        <w:t xml:space="preserve">فما ذكره السيد السيستاني </w:t>
      </w:r>
      <w:r>
        <w:rPr>
          <w:rFonts w:ascii="Lotus Linotype" w:hAnsi="Lotus Linotype" w:cs="TAHER" w:hint="cs"/>
          <w:sz w:val="28"/>
          <w:szCs w:val="28"/>
          <w:rtl/>
          <w:lang w:bidi="ar-LB"/>
        </w:rPr>
        <w:t>=</w:t>
      </w:r>
      <w:r w:rsidR="005D1CB2">
        <w:rPr>
          <w:rFonts w:ascii="Lotus Linotype" w:hAnsi="Lotus Linotype" w:cs="Lotus Linotype" w:hint="cs"/>
          <w:sz w:val="28"/>
          <w:szCs w:val="28"/>
          <w:rtl/>
          <w:lang w:bidi="ar-LB"/>
        </w:rPr>
        <w:t xml:space="preserve"> من أنّه لو صلّى شخصٌ فرادى في مكانٍ أُقيمت فيه الجماعة وكانت صلاته هتكاً للإمام الذي لا يجوز هتكه فصلاته صحيحة وإن كان يصدق عليها أنّها هتكٌ للمؤمن</w:t>
      </w:r>
      <w:r w:rsidR="00B95D21">
        <w:rPr>
          <w:rFonts w:ascii="Lotus Linotype" w:hAnsi="Lotus Linotype" w:cs="Lotus Linotype" w:hint="cs"/>
          <w:sz w:val="28"/>
          <w:szCs w:val="28"/>
          <w:rtl/>
          <w:lang w:bidi="ar-LB"/>
        </w:rPr>
        <w:t xml:space="preserve"> فلا يتمّ بإطلاقه. </w:t>
      </w:r>
    </w:p>
    <w:p w:rsidR="00B95D21" w:rsidRDefault="0000469B" w:rsidP="00061E17">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B95D21">
        <w:rPr>
          <w:rFonts w:ascii="Lotus Linotype" w:hAnsi="Lotus Linotype" w:cs="Lotus Linotype" w:hint="cs"/>
          <w:sz w:val="28"/>
          <w:szCs w:val="28"/>
          <w:rtl/>
          <w:lang w:bidi="ar-LB"/>
        </w:rPr>
        <w:t xml:space="preserve">ولعلّ السيد السيستاني </w:t>
      </w:r>
      <w:r>
        <w:rPr>
          <w:rFonts w:ascii="Lotus Linotype" w:hAnsi="Lotus Linotype" w:cs="TAHER" w:hint="cs"/>
          <w:sz w:val="28"/>
          <w:szCs w:val="28"/>
          <w:rtl/>
          <w:lang w:bidi="ar-LB"/>
        </w:rPr>
        <w:t>=</w:t>
      </w:r>
      <w:r w:rsidR="00B95D21">
        <w:rPr>
          <w:rFonts w:ascii="Lotus Linotype" w:hAnsi="Lotus Linotype" w:cs="Lotus Linotype" w:hint="cs"/>
          <w:sz w:val="28"/>
          <w:szCs w:val="28"/>
          <w:rtl/>
          <w:lang w:bidi="ar-LB"/>
        </w:rPr>
        <w:t xml:space="preserve"> مشى وفق ما اختاره من صحة العبادة التي تكون مصداقاً للحرام وإنّما منعه من الفتوى وفق هذه القاعدة في الصلاة في المكان المغصوب لأجل اشتهار الفتوى ببطلانها</w:t>
      </w:r>
      <w:r w:rsidR="00061E17">
        <w:rPr>
          <w:rFonts w:ascii="Lotus Linotype" w:hAnsi="Lotus Linotype" w:cs="Lotus Linotype" w:hint="cs"/>
          <w:sz w:val="28"/>
          <w:szCs w:val="28"/>
          <w:rtl/>
          <w:lang w:bidi="ar-LB"/>
        </w:rPr>
        <w:t>،</w:t>
      </w:r>
      <w:r w:rsidR="00B95D21">
        <w:rPr>
          <w:rFonts w:ascii="Lotus Linotype" w:hAnsi="Lotus Linotype" w:cs="Lotus Linotype" w:hint="cs"/>
          <w:sz w:val="28"/>
          <w:szCs w:val="28"/>
          <w:rtl/>
          <w:lang w:bidi="ar-LB"/>
        </w:rPr>
        <w:t xml:space="preserve"> فإذ</w:t>
      </w:r>
      <w:r w:rsidR="0096371C">
        <w:rPr>
          <w:rFonts w:ascii="Lotus Linotype" w:hAnsi="Lotus Linotype" w:cs="Lotus Linotype" w:hint="cs"/>
          <w:sz w:val="28"/>
          <w:szCs w:val="28"/>
          <w:rtl/>
          <w:lang w:bidi="ar-LB"/>
        </w:rPr>
        <w:t>ا</w:t>
      </w:r>
      <w:r w:rsidR="00B95D21">
        <w:rPr>
          <w:rFonts w:ascii="Lotus Linotype" w:hAnsi="Lotus Linotype" w:cs="Lotus Linotype" w:hint="cs"/>
          <w:sz w:val="28"/>
          <w:szCs w:val="28"/>
          <w:rtl/>
          <w:lang w:bidi="ar-LB"/>
        </w:rPr>
        <w:t xml:space="preserve"> لم تكن شهرةٌ على بطلان </w:t>
      </w:r>
      <w:r w:rsidR="00B95D21">
        <w:rPr>
          <w:rFonts w:ascii="Lotus Linotype" w:hAnsi="Lotus Linotype" w:cs="Lotus Linotype" w:hint="cs"/>
          <w:sz w:val="28"/>
          <w:szCs w:val="28"/>
          <w:rtl/>
          <w:lang w:bidi="ar-LB"/>
        </w:rPr>
        <w:lastRenderedPageBreak/>
        <w:t>عبادةٍ، تكون مصداقاً للحرام فيرجع السيد السيستاني</w:t>
      </w:r>
      <w:r w:rsidR="005E78ED">
        <w:rPr>
          <w:rFonts w:ascii="Lotus Linotype" w:hAnsi="Lotus Linotype" w:cs="Lotus Linotype" w:hint="cs"/>
          <w:sz w:val="28"/>
          <w:szCs w:val="28"/>
          <w:rtl/>
          <w:lang w:bidi="ar-LB"/>
        </w:rPr>
        <w:t xml:space="preserve"> </w:t>
      </w:r>
      <w:r w:rsidR="005E78ED">
        <w:rPr>
          <w:rFonts w:ascii="Lotus Linotype" w:hAnsi="Lotus Linotype" w:cs="TAHER" w:hint="cs"/>
          <w:sz w:val="28"/>
          <w:szCs w:val="28"/>
          <w:rtl/>
          <w:lang w:bidi="ar-LB"/>
        </w:rPr>
        <w:t>=</w:t>
      </w:r>
      <w:r w:rsidR="00B95D21">
        <w:rPr>
          <w:rFonts w:ascii="Lotus Linotype" w:hAnsi="Lotus Linotype" w:cs="Lotus Linotype" w:hint="cs"/>
          <w:sz w:val="28"/>
          <w:szCs w:val="28"/>
          <w:rtl/>
          <w:lang w:bidi="ar-LB"/>
        </w:rPr>
        <w:t xml:space="preserve"> إلى مقتضى القاعدة التي اختارها، وهي صحة الصلاة التي تكون مصداقاً للحرام.</w:t>
      </w:r>
    </w:p>
    <w:p w:rsidR="00061E17" w:rsidRDefault="00122AF3" w:rsidP="00914261">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5E78ED">
        <w:rPr>
          <w:rFonts w:ascii="Lotus Linotype" w:hAnsi="Lotus Linotype" w:cs="Lotus Linotype" w:hint="cs"/>
          <w:sz w:val="28"/>
          <w:szCs w:val="28"/>
          <w:rtl/>
          <w:lang w:bidi="ar-LB"/>
        </w:rPr>
        <w:t>هنا ينبغي أن نتعرّض لكلام صاحب الكفاية وكلام المحقق النائيني</w:t>
      </w:r>
      <w:r w:rsidR="00061E17">
        <w:rPr>
          <w:rFonts w:ascii="Lotus Linotype" w:hAnsi="Lotus Linotype" w:cs="Lotus Linotype" w:hint="cs"/>
          <w:sz w:val="28"/>
          <w:szCs w:val="28"/>
          <w:rtl/>
          <w:lang w:bidi="ar-LB"/>
        </w:rPr>
        <w:t xml:space="preserve"> </w:t>
      </w:r>
      <w:r w:rsidR="00061E17">
        <w:rPr>
          <w:rFonts w:ascii="Lotus Linotype" w:hAnsi="Lotus Linotype" w:cs="TAHER" w:hint="cs"/>
          <w:sz w:val="28"/>
          <w:szCs w:val="28"/>
          <w:rtl/>
          <w:lang w:bidi="ar-LB"/>
        </w:rPr>
        <w:t>‚</w:t>
      </w:r>
      <w:r w:rsidR="005E78ED">
        <w:rPr>
          <w:rFonts w:ascii="Lotus Linotype" w:hAnsi="Lotus Linotype" w:cs="Lotus Linotype" w:hint="cs"/>
          <w:sz w:val="28"/>
          <w:szCs w:val="28"/>
          <w:rtl/>
          <w:lang w:bidi="ar-LB"/>
        </w:rPr>
        <w:t>، صاحب الكفاية قال: بناءً على جواز اجتماع الأمر والنهي تصحّ العبادة التي تكون مصداقاً للحرام مطلقاً ولكن بناءً على امتناع اجتماع الأمر والنهي تصحّ العبادة في فرض الجهل القصوري، لماذا؟</w:t>
      </w:r>
      <w:r w:rsidR="00914261">
        <w:rPr>
          <w:rFonts w:ascii="Lotus Linotype" w:hAnsi="Lotus Linotype" w:cs="Lotus Linotype" w:hint="cs"/>
          <w:sz w:val="28"/>
          <w:szCs w:val="28"/>
          <w:rtl/>
          <w:lang w:bidi="ar-LB"/>
        </w:rPr>
        <w:t xml:space="preserve"> </w:t>
      </w:r>
    </w:p>
    <w:p w:rsidR="00122AF3" w:rsidRDefault="00061E17" w:rsidP="00914261">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14261">
        <w:rPr>
          <w:rFonts w:ascii="Lotus Linotype" w:hAnsi="Lotus Linotype" w:cs="Lotus Linotype" w:hint="cs"/>
          <w:sz w:val="28"/>
          <w:szCs w:val="28"/>
          <w:rtl/>
          <w:lang w:bidi="ar-LB"/>
        </w:rPr>
        <w:t xml:space="preserve">لأنّه في مورد اجتماع الأمر والنهي وإن سقط الأمر لوجود النهي لكن الملاك مُحرز، فالصلاة في المكان المغصوب واجدةٌ للملاك، وحيث تمشّى قصد القربة من المكلّف في فرض الجهل القصوري فنحكم بصحة الصلاة في المكان المغصوب عن جهلٍ قصوريٍّ. </w:t>
      </w:r>
    </w:p>
    <w:p w:rsidR="00061E17" w:rsidRDefault="00914261" w:rsidP="00914261">
      <w:pPr>
        <w:jc w:val="both"/>
        <w:rPr>
          <w:rFonts w:ascii="Lotus Linotype" w:hAnsi="Lotus Linotype" w:cs="Lotus Linotype"/>
          <w:sz w:val="28"/>
          <w:szCs w:val="28"/>
          <w:rtl/>
          <w:lang w:bidi="ar-LB"/>
        </w:rPr>
      </w:pPr>
      <w:r w:rsidRPr="00061E17">
        <w:rPr>
          <w:rFonts w:ascii="Lotus Linotype" w:hAnsi="Lotus Linotype" w:cs="Lotus Linotype" w:hint="cs"/>
          <w:b/>
          <w:bCs/>
          <w:color w:val="FF0000"/>
          <w:sz w:val="28"/>
          <w:szCs w:val="28"/>
          <w:rtl/>
          <w:lang w:bidi="ar-LB"/>
        </w:rPr>
        <w:t xml:space="preserve">     فنقول</w:t>
      </w:r>
      <w:r w:rsidRPr="00061E17">
        <w:rPr>
          <w:rFonts w:ascii="Lotus Linotype" w:hAnsi="Lotus Linotype" w:cs="Lotus Linotype" w:hint="cs"/>
          <w:b/>
          <w:bCs/>
          <w:sz w:val="28"/>
          <w:szCs w:val="28"/>
          <w:rtl/>
          <w:lang w:bidi="ar-LB"/>
        </w:rPr>
        <w:t>: يا صاحب الكفاية:</w:t>
      </w:r>
    </w:p>
    <w:p w:rsidR="00061E17" w:rsidRDefault="00914261" w:rsidP="00061E17">
      <w:pPr>
        <w:pStyle w:val="ListParagraph"/>
        <w:numPr>
          <w:ilvl w:val="0"/>
          <w:numId w:val="2"/>
        </w:numPr>
        <w:jc w:val="both"/>
        <w:rPr>
          <w:rFonts w:ascii="Lotus Linotype" w:hAnsi="Lotus Linotype" w:cs="Lotus Linotype"/>
          <w:sz w:val="28"/>
          <w:szCs w:val="28"/>
          <w:lang w:bidi="ar-LB"/>
        </w:rPr>
      </w:pPr>
      <w:r w:rsidRPr="00061E17">
        <w:rPr>
          <w:rFonts w:ascii="Lotus Linotype" w:hAnsi="Lotus Linotype" w:cs="Lotus Linotype" w:hint="cs"/>
          <w:b/>
          <w:bCs/>
          <w:sz w:val="28"/>
          <w:szCs w:val="28"/>
          <w:rtl/>
          <w:lang w:bidi="ar-LB"/>
        </w:rPr>
        <w:t>إن تمشّى قصد القربة من المكلف</w:t>
      </w:r>
      <w:r w:rsidRPr="00061E17">
        <w:rPr>
          <w:rFonts w:ascii="Lotus Linotype" w:hAnsi="Lotus Linotype" w:cs="Lotus Linotype" w:hint="cs"/>
          <w:sz w:val="28"/>
          <w:szCs w:val="28"/>
          <w:rtl/>
          <w:lang w:bidi="ar-LB"/>
        </w:rPr>
        <w:t xml:space="preserve"> </w:t>
      </w:r>
      <w:r w:rsidRPr="00061E17">
        <w:rPr>
          <w:rFonts w:ascii="Times New Roman" w:hAnsi="Times New Roman" w:cs="Times New Roman" w:hint="cs"/>
          <w:sz w:val="28"/>
          <w:szCs w:val="28"/>
          <w:rtl/>
          <w:lang w:bidi="ar-LB"/>
        </w:rPr>
        <w:t>–</w:t>
      </w:r>
      <w:r w:rsidRPr="00061E17">
        <w:rPr>
          <w:rFonts w:ascii="Lotus Linotype" w:hAnsi="Lotus Linotype" w:cs="Lotus Linotype" w:hint="cs"/>
          <w:sz w:val="28"/>
          <w:szCs w:val="28"/>
          <w:rtl/>
          <w:lang w:bidi="ar-LB"/>
        </w:rPr>
        <w:t>كما هو مبناكم من أنّ العبادة مع القول بجواز اجتماع الأمر والنهي صحيحةٌ مطلقاً، ويعني ذلك تمشّي قصد القربة من المكلّف مطلقاً حتى لو ك</w:t>
      </w:r>
      <w:r w:rsidR="00BE1538" w:rsidRPr="00061E17">
        <w:rPr>
          <w:rFonts w:ascii="Lotus Linotype" w:hAnsi="Lotus Linotype" w:cs="Lotus Linotype" w:hint="cs"/>
          <w:sz w:val="28"/>
          <w:szCs w:val="28"/>
          <w:rtl/>
          <w:lang w:bidi="ar-LB"/>
        </w:rPr>
        <w:t xml:space="preserve">ان عالماً عامداً وجاهلاً مقصّرا- فلماذا قلتم باختصاص تمشّي قصد القربة بناء على امتناع اجتماع الأمر والنهي من الجاهل القاصر؟ المفروض أنّكم أحرزتم الملاك وبقيت مشكلة قصد القربة من المكلّف، لماذا تقولون بناءً على القول بالامتناع باختصاص تمشّي قصد القربة من الجاهل القاصر؟ </w:t>
      </w:r>
    </w:p>
    <w:p w:rsidR="00061E17" w:rsidRDefault="00053D02" w:rsidP="00061E17">
      <w:pPr>
        <w:pStyle w:val="ListParagraph"/>
        <w:numPr>
          <w:ilvl w:val="0"/>
          <w:numId w:val="2"/>
        </w:numPr>
        <w:jc w:val="both"/>
        <w:rPr>
          <w:rFonts w:ascii="Lotus Linotype" w:hAnsi="Lotus Linotype" w:cs="Lotus Linotype"/>
          <w:sz w:val="28"/>
          <w:szCs w:val="28"/>
          <w:lang w:bidi="ar-LB"/>
        </w:rPr>
      </w:pPr>
      <w:r w:rsidRPr="00061E17">
        <w:rPr>
          <w:rFonts w:ascii="Lotus Linotype" w:hAnsi="Lotus Linotype" w:cs="Lotus Linotype" w:hint="cs"/>
          <w:b/>
          <w:bCs/>
          <w:sz w:val="28"/>
          <w:szCs w:val="28"/>
          <w:rtl/>
          <w:lang w:bidi="ar-LB"/>
        </w:rPr>
        <w:t>إن كنتم تمنعون من تمشّي قصد القربة</w:t>
      </w:r>
      <w:r w:rsidRPr="00061E17">
        <w:rPr>
          <w:rFonts w:ascii="Lotus Linotype" w:hAnsi="Lotus Linotype" w:cs="Lotus Linotype" w:hint="cs"/>
          <w:sz w:val="28"/>
          <w:szCs w:val="28"/>
          <w:rtl/>
          <w:lang w:bidi="ar-LB"/>
        </w:rPr>
        <w:t xml:space="preserve"> من العالم العامد والجاهل المقصّر فقولوا بذلك حتى بناءً على جواز اجتماع الأمر والنهي. </w:t>
      </w:r>
      <w:bookmarkStart w:id="0" w:name="_GoBack"/>
      <w:bookmarkEnd w:id="0"/>
    </w:p>
    <w:p w:rsidR="00061E17" w:rsidRDefault="00061E17" w:rsidP="00061E17">
      <w:pPr>
        <w:pStyle w:val="ListParagraph"/>
        <w:ind w:left="767"/>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053D02" w:rsidRPr="00061E17">
        <w:rPr>
          <w:rFonts w:ascii="Lotus Linotype" w:hAnsi="Lotus Linotype" w:cs="Lotus Linotype" w:hint="cs"/>
          <w:sz w:val="28"/>
          <w:szCs w:val="28"/>
          <w:rtl/>
          <w:lang w:bidi="ar-LB"/>
        </w:rPr>
        <w:t xml:space="preserve">نعم، </w:t>
      </w:r>
      <w:r w:rsidR="00914BC4" w:rsidRPr="00061E17">
        <w:rPr>
          <w:rFonts w:ascii="Lotus Linotype" w:hAnsi="Lotus Linotype" w:cs="Lotus Linotype" w:hint="cs"/>
          <w:sz w:val="28"/>
          <w:szCs w:val="28"/>
          <w:rtl/>
          <w:lang w:bidi="ar-LB"/>
        </w:rPr>
        <w:t xml:space="preserve">إذا كان </w:t>
      </w:r>
      <w:r w:rsidR="00AF3380" w:rsidRPr="00061E17">
        <w:rPr>
          <w:rFonts w:ascii="Lotus Linotype" w:hAnsi="Lotus Linotype" w:cs="Lotus Linotype" w:hint="cs"/>
          <w:sz w:val="28"/>
          <w:szCs w:val="28"/>
          <w:rtl/>
          <w:lang w:bidi="ar-LB"/>
        </w:rPr>
        <w:t>مبناكم في جواز اجتماع الأمر والنهي تعدد المعنون في الخارج فتقولون بأنّ من يرى جواز اجتماع الأمر والنهي يرى المعنون الخارجي متعدداً، بخلاف من يرى امتناع اجتماع الأمر والنهي فإنّه يرى المعنون الخارجي واحداً، إن كان هذا مبناك</w:t>
      </w:r>
      <w:r w:rsidR="0096371C">
        <w:rPr>
          <w:rFonts w:ascii="Lotus Linotype" w:hAnsi="Lotus Linotype" w:cs="Lotus Linotype" w:hint="cs"/>
          <w:sz w:val="28"/>
          <w:szCs w:val="28"/>
          <w:rtl/>
          <w:lang w:bidi="ar-LB"/>
        </w:rPr>
        <w:t>م</w:t>
      </w:r>
      <w:r w:rsidR="00AF3380" w:rsidRPr="00061E17">
        <w:rPr>
          <w:rFonts w:ascii="Lotus Linotype" w:hAnsi="Lotus Linotype" w:cs="Lotus Linotype" w:hint="cs"/>
          <w:sz w:val="28"/>
          <w:szCs w:val="28"/>
          <w:rtl/>
          <w:lang w:bidi="ar-LB"/>
        </w:rPr>
        <w:t xml:space="preserve"> فلا بدّ أن نتكلم عنه لأنّ المحقق النائيني </w:t>
      </w:r>
      <w:r w:rsidR="00AF3380" w:rsidRPr="00061E17">
        <w:rPr>
          <w:rFonts w:ascii="Lotus Linotype" w:hAnsi="Lotus Linotype" w:cs="TAHER" w:hint="cs"/>
          <w:sz w:val="28"/>
          <w:szCs w:val="28"/>
          <w:rtl/>
          <w:lang w:bidi="ar-LB"/>
        </w:rPr>
        <w:t>&amp;</w:t>
      </w:r>
      <w:r w:rsidR="00AF3380" w:rsidRPr="00061E17">
        <w:rPr>
          <w:rFonts w:ascii="Lotus Linotype" w:hAnsi="Lotus Linotype" w:cs="Lotus Linotype" w:hint="cs"/>
          <w:sz w:val="28"/>
          <w:szCs w:val="28"/>
          <w:rtl/>
          <w:lang w:bidi="ar-LB"/>
        </w:rPr>
        <w:t xml:space="preserve"> هكذا قرّر، فقال بالتفصيل بين التركيب الاتحادي والتركيب الانضمامي، التركيب الاتحادي هو مورد وحدة المعنون والتركيب الانضمامي هو مورد تعدد المعنون، ولكن يا صاحب الكفاية أنتم ما بنيتم جواز الاجتماع على تعدد المعنون وامتناع الاجتماع على وحدة المعنون، لا. </w:t>
      </w:r>
    </w:p>
    <w:p w:rsidR="00053D02" w:rsidRPr="00061E17" w:rsidRDefault="00061E17" w:rsidP="00061E17">
      <w:pPr>
        <w:pStyle w:val="ListParagraph"/>
        <w:ind w:left="767"/>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     </w:t>
      </w:r>
      <w:r w:rsidR="00AF3380" w:rsidRPr="00061E17">
        <w:rPr>
          <w:rFonts w:ascii="Lotus Linotype" w:hAnsi="Lotus Linotype" w:cs="Lotus Linotype" w:hint="cs"/>
          <w:sz w:val="28"/>
          <w:szCs w:val="28"/>
          <w:rtl/>
          <w:lang w:bidi="ar-LB"/>
        </w:rPr>
        <w:t>قلتم بامتناع الاجتماع، ومن يرى جواز الاجتماع لعلّه يرى وحدة المعنون أيضاً لكن يكفيه تعدد العنوان، فيقول بكفاية تعدد العنوان ولو مع وحدة المعنون.</w:t>
      </w:r>
    </w:p>
    <w:p w:rsidR="00061E17" w:rsidRDefault="00AF3380" w:rsidP="00061E17">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p>
    <w:p w:rsidR="00061E17" w:rsidRPr="00061E17" w:rsidRDefault="00AF3380" w:rsidP="00061E17">
      <w:pPr>
        <w:jc w:val="both"/>
        <w:rPr>
          <w:rFonts w:ascii="Lotus Linotype" w:hAnsi="Lotus Linotype" w:cs="Lotus Linotype"/>
          <w:color w:val="FF0000"/>
          <w:sz w:val="28"/>
          <w:szCs w:val="28"/>
          <w:rtl/>
          <w:lang w:bidi="ar-LB"/>
        </w:rPr>
      </w:pPr>
      <w:r w:rsidRPr="00061E17">
        <w:rPr>
          <w:rFonts w:ascii="Lotus Linotype" w:hAnsi="Lotus Linotype" w:cs="Lotus Linotype" w:hint="cs"/>
          <w:b/>
          <w:bCs/>
          <w:color w:val="FF0000"/>
          <w:sz w:val="28"/>
          <w:szCs w:val="28"/>
          <w:rtl/>
          <w:lang w:bidi="ar-LB"/>
        </w:rPr>
        <w:t xml:space="preserve"> فإذاً نقول يا صاحب الكفاية</w:t>
      </w:r>
      <w:r w:rsidR="00061E17" w:rsidRPr="00061E17">
        <w:rPr>
          <w:rFonts w:ascii="Lotus Linotype" w:hAnsi="Lotus Linotype" w:cs="Lotus Linotype" w:hint="cs"/>
          <w:color w:val="FF0000"/>
          <w:sz w:val="28"/>
          <w:szCs w:val="28"/>
          <w:rtl/>
          <w:lang w:bidi="ar-LB"/>
        </w:rPr>
        <w:t>:</w:t>
      </w:r>
    </w:p>
    <w:p w:rsidR="00061E17" w:rsidRDefault="00AF3380" w:rsidP="00061E17">
      <w:pPr>
        <w:pStyle w:val="ListParagraph"/>
        <w:numPr>
          <w:ilvl w:val="0"/>
          <w:numId w:val="3"/>
        </w:numPr>
        <w:jc w:val="both"/>
        <w:rPr>
          <w:rFonts w:ascii="Lotus Linotype" w:hAnsi="Lotus Linotype" w:cs="Lotus Linotype"/>
          <w:sz w:val="28"/>
          <w:szCs w:val="28"/>
          <w:lang w:bidi="ar-LB"/>
        </w:rPr>
      </w:pPr>
      <w:r w:rsidRPr="00061E17">
        <w:rPr>
          <w:rFonts w:ascii="Lotus Linotype" w:hAnsi="Lotus Linotype" w:cs="Lotus Linotype" w:hint="cs"/>
          <w:b/>
          <w:bCs/>
          <w:sz w:val="28"/>
          <w:szCs w:val="28"/>
          <w:rtl/>
          <w:lang w:bidi="ar-LB"/>
        </w:rPr>
        <w:t>إمّا أن يتمشى قصد القربة من العالم العامد والجاهل المقصّر</w:t>
      </w:r>
      <w:r w:rsidRPr="00061E17">
        <w:rPr>
          <w:rFonts w:ascii="Lotus Linotype" w:hAnsi="Lotus Linotype" w:cs="Lotus Linotype" w:hint="cs"/>
          <w:sz w:val="28"/>
          <w:szCs w:val="28"/>
          <w:rtl/>
          <w:lang w:bidi="ar-LB"/>
        </w:rPr>
        <w:t xml:space="preserve"> فلماذا بناء على امتناع اجتماع الأمر والنهي حكمتم ببطلان عبادتهما وقلتم بأنّه لا يتمشى قصد القربة إلّا من الجاهل القاصر وإن كان الملاك محرزاً على أيّ تقدير. </w:t>
      </w:r>
    </w:p>
    <w:p w:rsidR="00AF3380" w:rsidRPr="00061E17" w:rsidRDefault="00061E17" w:rsidP="00061E17">
      <w:pPr>
        <w:pStyle w:val="ListParagraph"/>
        <w:numPr>
          <w:ilvl w:val="0"/>
          <w:numId w:val="3"/>
        </w:num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F3380" w:rsidRPr="00061E17">
        <w:rPr>
          <w:rFonts w:ascii="Lotus Linotype" w:hAnsi="Lotus Linotype" w:cs="Lotus Linotype" w:hint="cs"/>
          <w:b/>
          <w:bCs/>
          <w:sz w:val="28"/>
          <w:szCs w:val="28"/>
          <w:rtl/>
          <w:lang w:bidi="ar-LB"/>
        </w:rPr>
        <w:t xml:space="preserve">وإن كنتم تقولون بامتناع </w:t>
      </w:r>
      <w:r w:rsidR="007A627A" w:rsidRPr="00061E17">
        <w:rPr>
          <w:rFonts w:ascii="Lotus Linotype" w:hAnsi="Lotus Linotype" w:cs="Lotus Linotype" w:hint="cs"/>
          <w:b/>
          <w:bCs/>
          <w:sz w:val="28"/>
          <w:szCs w:val="28"/>
          <w:rtl/>
          <w:lang w:bidi="ar-LB"/>
        </w:rPr>
        <w:t>تمشّي قصد القربة من العالم العامد والجاهل المقصّر</w:t>
      </w:r>
      <w:r w:rsidR="007A627A" w:rsidRPr="00061E17">
        <w:rPr>
          <w:rFonts w:ascii="Lotus Linotype" w:hAnsi="Lotus Linotype" w:cs="Lotus Linotype" w:hint="cs"/>
          <w:sz w:val="28"/>
          <w:szCs w:val="28"/>
          <w:rtl/>
          <w:lang w:bidi="ar-LB"/>
        </w:rPr>
        <w:t xml:space="preserve"> فلماذا بناءً على جواز اجتماع الأمر والنهي حكمتم بصحة عبادة العالم العامد والجاهل المقصّر.</w:t>
      </w:r>
    </w:p>
    <w:p w:rsidR="007A627A" w:rsidRDefault="007A627A" w:rsidP="007A627A">
      <w:pPr>
        <w:jc w:val="both"/>
        <w:rPr>
          <w:rFonts w:ascii="Lotus Linotype" w:hAnsi="Lotus Linotype" w:cs="Lotus Linotype"/>
          <w:sz w:val="28"/>
          <w:szCs w:val="28"/>
          <w:rtl/>
          <w:lang w:bidi="ar-LB"/>
        </w:rPr>
      </w:pPr>
      <w:r w:rsidRPr="00061E17">
        <w:rPr>
          <w:rFonts w:ascii="Lotus Linotype" w:hAnsi="Lotus Linotype" w:cs="Lotus Linotype" w:hint="cs"/>
          <w:b/>
          <w:bCs/>
          <w:sz w:val="28"/>
          <w:szCs w:val="28"/>
          <w:rtl/>
          <w:lang w:bidi="ar-LB"/>
        </w:rPr>
        <w:t xml:space="preserve">     فإذاً، كلام صاحب الكفاية غير متجه</w:t>
      </w:r>
      <w:r>
        <w:rPr>
          <w:rFonts w:ascii="Lotus Linotype" w:hAnsi="Lotus Linotype" w:cs="Lotus Linotype" w:hint="cs"/>
          <w:sz w:val="28"/>
          <w:szCs w:val="28"/>
          <w:rtl/>
          <w:lang w:bidi="ar-LB"/>
        </w:rPr>
        <w:t>، ونتكلّم عمّا قاله المحقق النائيني غداً إن شاء الله.</w:t>
      </w:r>
    </w:p>
    <w:p w:rsidR="007A627A" w:rsidRDefault="007A627A" w:rsidP="007A627A">
      <w:pPr>
        <w:jc w:val="both"/>
        <w:rPr>
          <w:rFonts w:ascii="Lotus Linotype" w:hAnsi="Lotus Linotype" w:cs="Lotus Linotype"/>
          <w:sz w:val="28"/>
          <w:szCs w:val="28"/>
          <w:rtl/>
          <w:lang w:bidi="ar-LB"/>
        </w:rPr>
      </w:pPr>
    </w:p>
    <w:p w:rsidR="00F81B90" w:rsidRPr="007A627A" w:rsidRDefault="007A627A" w:rsidP="007A627A">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والحمد لله ربّ العالمين.</w:t>
      </w:r>
    </w:p>
    <w:sectPr w:rsidR="00F81B90" w:rsidRPr="007A627A"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4D5" w:rsidRDefault="00F124D5" w:rsidP="00C77BDD">
      <w:pPr>
        <w:spacing w:after="0" w:line="240" w:lineRule="auto"/>
      </w:pPr>
      <w:r>
        <w:separator/>
      </w:r>
    </w:p>
  </w:endnote>
  <w:endnote w:type="continuationSeparator" w:id="0">
    <w:p w:rsidR="00F124D5" w:rsidRDefault="00F124D5" w:rsidP="00C7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Lotus Linotype">
    <w:charset w:val="00"/>
    <w:family w:val="auto"/>
    <w:pitch w:val="variable"/>
    <w:sig w:usb0="00002007" w:usb1="80000000" w:usb2="00000008" w:usb3="00000000" w:csb0="00000043"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47779874"/>
      <w:docPartObj>
        <w:docPartGallery w:val="Page Numbers (Bottom of Page)"/>
        <w:docPartUnique/>
      </w:docPartObj>
    </w:sdtPr>
    <w:sdtEndPr/>
    <w:sdtContent>
      <w:p w:rsidR="00C77BDD" w:rsidRDefault="00C77BDD">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7BD77DA"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C77BDD" w:rsidRDefault="00C77BDD">
        <w:pPr>
          <w:pStyle w:val="Footer"/>
          <w:jc w:val="center"/>
        </w:pPr>
        <w:r>
          <w:fldChar w:fldCharType="begin"/>
        </w:r>
        <w:r>
          <w:instrText xml:space="preserve"> PAGE    \* MERGEFORMAT </w:instrText>
        </w:r>
        <w:r>
          <w:fldChar w:fldCharType="separate"/>
        </w:r>
        <w:r w:rsidR="0096371C">
          <w:rPr>
            <w:noProof/>
            <w:rtl/>
          </w:rPr>
          <w:t>5</w:t>
        </w:r>
        <w:r>
          <w:rPr>
            <w:noProof/>
          </w:rPr>
          <w:fldChar w:fldCharType="end"/>
        </w:r>
      </w:p>
    </w:sdtContent>
  </w:sdt>
  <w:p w:rsidR="00C77BDD" w:rsidRDefault="00C77B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4D5" w:rsidRDefault="00F124D5" w:rsidP="00C77BDD">
      <w:pPr>
        <w:spacing w:after="0" w:line="240" w:lineRule="auto"/>
      </w:pPr>
      <w:r>
        <w:separator/>
      </w:r>
    </w:p>
  </w:footnote>
  <w:footnote w:type="continuationSeparator" w:id="0">
    <w:p w:rsidR="00F124D5" w:rsidRDefault="00F124D5" w:rsidP="00C77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16F70"/>
    <w:multiLevelType w:val="hybridMultilevel"/>
    <w:tmpl w:val="EE8C1EFA"/>
    <w:lvl w:ilvl="0" w:tplc="63B8F3C6">
      <w:start w:val="1"/>
      <w:numFmt w:val="arabicAbjad"/>
      <w:lvlText w:val="%1)"/>
      <w:lvlJc w:val="left"/>
      <w:pPr>
        <w:ind w:left="767" w:hanging="360"/>
      </w:pPr>
      <w:rPr>
        <w:rFonts w:hint="default"/>
        <w:color w:val="FF0000"/>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 w15:restartNumberingAfterBreak="0">
    <w:nsid w:val="528E49C4"/>
    <w:multiLevelType w:val="hybridMultilevel"/>
    <w:tmpl w:val="AEBE1A4C"/>
    <w:lvl w:ilvl="0" w:tplc="63B8F3C6">
      <w:start w:val="1"/>
      <w:numFmt w:val="arabicAbjad"/>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E10F1A"/>
    <w:multiLevelType w:val="hybridMultilevel"/>
    <w:tmpl w:val="F9F48AA4"/>
    <w:lvl w:ilvl="0" w:tplc="63B8F3C6">
      <w:start w:val="1"/>
      <w:numFmt w:val="arabicAbjad"/>
      <w:lvlText w:val="%1)"/>
      <w:lvlJc w:val="left"/>
      <w:pPr>
        <w:ind w:left="767" w:hanging="360"/>
      </w:pPr>
      <w:rPr>
        <w:rFonts w:hint="default"/>
        <w:color w:val="FF0000"/>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C7"/>
    <w:rsid w:val="0000469B"/>
    <w:rsid w:val="00053D02"/>
    <w:rsid w:val="00061E17"/>
    <w:rsid w:val="00103A97"/>
    <w:rsid w:val="00122AF3"/>
    <w:rsid w:val="0025113A"/>
    <w:rsid w:val="00277652"/>
    <w:rsid w:val="002F2F2A"/>
    <w:rsid w:val="003D16DA"/>
    <w:rsid w:val="003D1AA1"/>
    <w:rsid w:val="00414984"/>
    <w:rsid w:val="00512EC7"/>
    <w:rsid w:val="00574DAB"/>
    <w:rsid w:val="005D1CB2"/>
    <w:rsid w:val="005D74CE"/>
    <w:rsid w:val="005E78ED"/>
    <w:rsid w:val="00625DDA"/>
    <w:rsid w:val="00705AF2"/>
    <w:rsid w:val="007628BA"/>
    <w:rsid w:val="007A627A"/>
    <w:rsid w:val="00894516"/>
    <w:rsid w:val="008A2F93"/>
    <w:rsid w:val="008C6D24"/>
    <w:rsid w:val="00914261"/>
    <w:rsid w:val="00914BC4"/>
    <w:rsid w:val="0096371C"/>
    <w:rsid w:val="009A7F75"/>
    <w:rsid w:val="009D58D6"/>
    <w:rsid w:val="009E1101"/>
    <w:rsid w:val="00A80847"/>
    <w:rsid w:val="00AF3380"/>
    <w:rsid w:val="00B51A67"/>
    <w:rsid w:val="00B95D21"/>
    <w:rsid w:val="00BE1538"/>
    <w:rsid w:val="00BE5963"/>
    <w:rsid w:val="00C310FB"/>
    <w:rsid w:val="00C77BDD"/>
    <w:rsid w:val="00D47293"/>
    <w:rsid w:val="00E37969"/>
    <w:rsid w:val="00F124D5"/>
    <w:rsid w:val="00F178C7"/>
    <w:rsid w:val="00F81B90"/>
    <w:rsid w:val="00FF4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E72AF"/>
  <w15:chartTrackingRefBased/>
  <w15:docId w15:val="{DC183638-A4DD-43C7-B7D1-E80B34AC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AA1"/>
    <w:pPr>
      <w:bidi/>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BDD"/>
  </w:style>
  <w:style w:type="paragraph" w:styleId="Footer">
    <w:name w:val="footer"/>
    <w:basedOn w:val="Normal"/>
    <w:link w:val="FooterChar"/>
    <w:uiPriority w:val="99"/>
    <w:unhideWhenUsed/>
    <w:rsid w:val="00C77B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BDD"/>
  </w:style>
  <w:style w:type="paragraph" w:styleId="ListParagraph">
    <w:name w:val="List Paragraph"/>
    <w:basedOn w:val="Normal"/>
    <w:uiPriority w:val="34"/>
    <w:qFormat/>
    <w:rsid w:val="00BE5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3115</TotalTime>
  <Pages>5</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30</cp:revision>
  <cp:lastPrinted>2022-02-03T00:02:00Z</cp:lastPrinted>
  <dcterms:created xsi:type="dcterms:W3CDTF">2022-01-31T17:24:00Z</dcterms:created>
  <dcterms:modified xsi:type="dcterms:W3CDTF">2022-02-03T11:20:00Z</dcterms:modified>
</cp:coreProperties>
</file>