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C2" w:rsidRDefault="009A07C2" w:rsidP="009A07C2">
      <w:pPr>
        <w:spacing w:before="240" w:line="276" w:lineRule="auto"/>
        <w:jc w:val="center"/>
        <w:rPr>
          <w:rFonts w:ascii="Arabic Typesetting" w:hAnsi="Arabic Typesetting" w:cs="Arabic Typesetting"/>
          <w:b/>
          <w:bCs/>
          <w:sz w:val="28"/>
          <w:szCs w:val="28"/>
          <w:lang w:bidi="ar-LB"/>
        </w:rPr>
      </w:pPr>
      <w:bookmarkStart w:id="0" w:name="_GoBack"/>
      <w:r>
        <w:rPr>
          <w:rFonts w:ascii="Arabic Typesetting" w:hAnsi="Arabic Typesetting" w:cs="Arabic Typesetting"/>
          <w:b/>
          <w:bCs/>
          <w:sz w:val="28"/>
          <w:szCs w:val="28"/>
          <w:rtl/>
          <w:lang w:bidi="ar-LB"/>
        </w:rPr>
        <w:t>بسم الله الرحمن الرحيم</w:t>
      </w:r>
    </w:p>
    <w:p w:rsidR="009A07C2" w:rsidRDefault="009A07C2" w:rsidP="009A07C2">
      <w:pPr>
        <w:spacing w:before="240" w:line="276" w:lineRule="auto"/>
        <w:jc w:val="center"/>
        <w:rPr>
          <w:rFonts w:ascii="Arabic Typesetting" w:hAnsi="Arabic Typesetting" w:cs="Arabic Typesetting"/>
          <w:sz w:val="28"/>
          <w:szCs w:val="28"/>
          <w:lang w:bidi="ar-LB"/>
        </w:rPr>
      </w:pPr>
    </w:p>
    <w:p w:rsidR="009A07C2" w:rsidRDefault="009A07C2" w:rsidP="009A07C2">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32"/>
          <w:szCs w:val="32"/>
          <w:rtl/>
          <w:lang w:bidi="ar-LB"/>
        </w:rPr>
        <w:t>29</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9A07C2" w:rsidRDefault="009A07C2" w:rsidP="009A07C2">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b/>
          <w:bCs/>
          <w:color w:val="FF0000"/>
          <w:sz w:val="28"/>
          <w:szCs w:val="28"/>
          <w:rtl/>
          <w:lang w:bidi="ar-LB"/>
        </w:rPr>
        <w:t>تنب</w:t>
      </w:r>
      <w:r w:rsidR="00B3005E">
        <w:rPr>
          <w:rFonts w:ascii="Arabic Typesetting" w:hAnsi="Arabic Typesetting" w:cs="Arabic Typesetting" w:hint="cs"/>
          <w:b/>
          <w:bCs/>
          <w:color w:val="FF0000"/>
          <w:sz w:val="28"/>
          <w:szCs w:val="28"/>
          <w:rtl/>
          <w:lang w:bidi="ar-LB"/>
        </w:rPr>
        <w:t>ي</w:t>
      </w:r>
      <w:r>
        <w:rPr>
          <w:rFonts w:ascii="Arabic Typesetting" w:hAnsi="Arabic Typesetting" w:cs="Arabic Typesetting"/>
          <w:b/>
          <w:bCs/>
          <w:color w:val="FF0000"/>
          <w:sz w:val="28"/>
          <w:szCs w:val="28"/>
          <w:rtl/>
          <w:lang w:bidi="ar-LB"/>
        </w:rPr>
        <w:t>هات اجتماع الأمر والنهي</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9A07C2" w:rsidRDefault="009A07C2" w:rsidP="009A07C2">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الثلاثاء</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22</w:t>
      </w:r>
      <w:r>
        <w:rPr>
          <w:rFonts w:ascii="Arabic Typesetting" w:hAnsi="Arabic Typesetting" w:cs="Arabic Typesetting"/>
          <w:sz w:val="28"/>
          <w:szCs w:val="28"/>
          <w:rtl/>
          <w:lang w:bidi="ar-LB"/>
        </w:rPr>
        <w:t>/2/2022 (</w:t>
      </w:r>
      <w:r>
        <w:rPr>
          <w:rFonts w:ascii="Arabic Typesetting" w:hAnsi="Arabic Typesetting" w:cs="Arabic Typesetting" w:hint="cs"/>
          <w:sz w:val="28"/>
          <w:szCs w:val="28"/>
          <w:rtl/>
          <w:lang w:bidi="ar-LB"/>
        </w:rPr>
        <w:t>20</w:t>
      </w:r>
      <w:r>
        <w:rPr>
          <w:rFonts w:ascii="Arabic Typesetting" w:hAnsi="Arabic Typesetting" w:cs="Arabic Typesetting"/>
          <w:sz w:val="28"/>
          <w:szCs w:val="28"/>
          <w:rtl/>
          <w:lang w:bidi="ar-LB"/>
        </w:rPr>
        <w:t>/ رجب/ 1443</w:t>
      </w:r>
      <w:r>
        <w:rPr>
          <w:rFonts w:ascii="Arabic Typesetting" w:hAnsi="Arabic Typesetting" w:cs="Arabic Typesetting"/>
          <w:b/>
          <w:bCs/>
          <w:sz w:val="28"/>
          <w:szCs w:val="28"/>
          <w:rtl/>
          <w:lang w:bidi="ar-LB"/>
        </w:rPr>
        <w:t xml:space="preserve"> ه)</w:t>
      </w:r>
    </w:p>
    <w:p w:rsidR="009A07C2" w:rsidRDefault="009A07C2" w:rsidP="004A71FC">
      <w:pPr>
        <w:rPr>
          <w:rFonts w:ascii="Lotus Linotype" w:hAnsi="Lotus Linotype" w:cs="Lotus Linotype"/>
          <w:sz w:val="28"/>
          <w:szCs w:val="28"/>
          <w:rtl/>
          <w:lang w:bidi="ar-LB"/>
        </w:rPr>
      </w:pPr>
    </w:p>
    <w:p w:rsidR="00452D5A" w:rsidRDefault="009A07C2" w:rsidP="009A07C2">
      <w:pPr>
        <w:jc w:val="center"/>
        <w:rPr>
          <w:rFonts w:ascii="Lotus Linotype" w:hAnsi="Lotus Linotype" w:cs="Lotus Linotype"/>
          <w:sz w:val="28"/>
          <w:szCs w:val="28"/>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452D5A" w:rsidRPr="004A71FC" w:rsidRDefault="00452D5A" w:rsidP="00452D5A">
      <w:pPr>
        <w:rPr>
          <w:rFonts w:ascii="Lotus Linotype" w:hAnsi="Lotus Linotype" w:cs="Lotus Linotype"/>
          <w:sz w:val="28"/>
          <w:szCs w:val="28"/>
          <w:lang w:bidi="ar-LB"/>
        </w:rPr>
      </w:pPr>
    </w:p>
    <w:p w:rsidR="00665352" w:rsidRDefault="00665352" w:rsidP="0066535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A64A4E" w:rsidRDefault="006E2E60" w:rsidP="00452D5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w:t>
      </w:r>
      <w:r w:rsidRPr="00A64A4E">
        <w:rPr>
          <w:rFonts w:ascii="Lotus Linotype" w:hAnsi="Lotus Linotype" w:cs="Lotus Linotype" w:hint="cs"/>
          <w:b/>
          <w:bCs/>
          <w:color w:val="FF0000"/>
          <w:sz w:val="28"/>
          <w:szCs w:val="28"/>
          <w:rtl/>
          <w:lang w:bidi="ar-LB"/>
        </w:rPr>
        <w:t>التنبيه السادس</w:t>
      </w:r>
      <w:r w:rsidRPr="00A64A4E">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حيث ذكر صاحب الكفاية</w:t>
      </w:r>
      <w:r w:rsidR="00A64A4E">
        <w:rPr>
          <w:rFonts w:ascii="Lotus Linotype" w:hAnsi="Lotus Linotype" w:cs="Lotus Linotype" w:hint="cs"/>
          <w:sz w:val="28"/>
          <w:szCs w:val="28"/>
          <w:rtl/>
          <w:lang w:bidi="ar-LB"/>
        </w:rPr>
        <w:t xml:space="preserve"> </w:t>
      </w:r>
      <w:r w:rsidR="00A64A4E">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أنّ دخول أيّة مسألةٍ في بحث اجتماع الأمر والنهي يتوقف على اجتماع ملاك الأمر والنهي فيها، </w:t>
      </w:r>
      <w:r w:rsidRPr="00A64A4E">
        <w:rPr>
          <w:rFonts w:ascii="Lotus Linotype" w:hAnsi="Lotus Linotype" w:cs="Lotus Linotype" w:hint="cs"/>
          <w:b/>
          <w:bCs/>
          <w:sz w:val="28"/>
          <w:szCs w:val="28"/>
          <w:rtl/>
          <w:lang w:bidi="ar-LB"/>
        </w:rPr>
        <w:t>فأنكرنا ذلك</w:t>
      </w:r>
      <w:r>
        <w:rPr>
          <w:rFonts w:ascii="Lotus Linotype" w:hAnsi="Lotus Linotype" w:cs="Lotus Linotype" w:hint="cs"/>
          <w:sz w:val="28"/>
          <w:szCs w:val="28"/>
          <w:rtl/>
          <w:lang w:bidi="ar-LB"/>
        </w:rPr>
        <w:t xml:space="preserve"> وقلنا</w:t>
      </w:r>
      <w:r w:rsidR="00A64A4E">
        <w:rPr>
          <w:rFonts w:ascii="Lotus Linotype" w:hAnsi="Lotus Linotype" w:cs="Lotus Linotype" w:hint="cs"/>
          <w:sz w:val="28"/>
          <w:szCs w:val="28"/>
          <w:rtl/>
          <w:lang w:bidi="ar-LB"/>
        </w:rPr>
        <w:t>:</w:t>
      </w:r>
    </w:p>
    <w:p w:rsidR="00AB300D" w:rsidRDefault="006E2E60" w:rsidP="00452D5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64A4E">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أنّ البحث في اجتماع الأمر والنهي</w:t>
      </w:r>
      <w:r w:rsidR="004A71F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في أنّ الأمر والنهي مع تعدد العنوان ووحدة المعنون متضادان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لا ي</w:t>
      </w:r>
      <w:r w:rsidR="00AB300D">
        <w:rPr>
          <w:rFonts w:ascii="Lotus Linotype" w:hAnsi="Lotus Linotype" w:cs="Lotus Linotype" w:hint="cs"/>
          <w:sz w:val="28"/>
          <w:szCs w:val="28"/>
          <w:rtl/>
          <w:lang w:bidi="ar-LB"/>
        </w:rPr>
        <w:t>مكن اجتماعهما- أو ليسا بمت</w:t>
      </w:r>
      <w:r w:rsidR="00AD3502">
        <w:rPr>
          <w:rFonts w:ascii="Lotus Linotype" w:hAnsi="Lotus Linotype" w:cs="Lotus Linotype" w:hint="cs"/>
          <w:sz w:val="28"/>
          <w:szCs w:val="28"/>
          <w:rtl/>
          <w:lang w:bidi="ar-LB"/>
        </w:rPr>
        <w:t>ضا</w:t>
      </w:r>
      <w:r w:rsidR="00AB300D">
        <w:rPr>
          <w:rFonts w:ascii="Lotus Linotype" w:hAnsi="Lotus Linotype" w:cs="Lotus Linotype" w:hint="cs"/>
          <w:sz w:val="28"/>
          <w:szCs w:val="28"/>
          <w:rtl/>
          <w:lang w:bidi="ar-LB"/>
        </w:rPr>
        <w:t>دين</w:t>
      </w:r>
      <w:r w:rsidR="004A71FC">
        <w:rPr>
          <w:rFonts w:ascii="Lotus Linotype" w:hAnsi="Lotus Linotype" w:cs="Lotus Linotype" w:hint="cs"/>
          <w:sz w:val="28"/>
          <w:szCs w:val="28"/>
          <w:rtl/>
          <w:lang w:bidi="ar-LB"/>
        </w:rPr>
        <w:t>:</w:t>
      </w:r>
    </w:p>
    <w:p w:rsidR="004A71FC" w:rsidRDefault="00A64A4E" w:rsidP="004A71FC">
      <w:pPr>
        <w:pStyle w:val="ListParagraph"/>
        <w:numPr>
          <w:ilvl w:val="0"/>
          <w:numId w:val="3"/>
        </w:numPr>
        <w:jc w:val="both"/>
        <w:rPr>
          <w:rFonts w:ascii="Lotus Linotype" w:hAnsi="Lotus Linotype" w:cs="Lotus Linotype"/>
          <w:sz w:val="28"/>
          <w:szCs w:val="28"/>
          <w:lang w:bidi="ar-LB"/>
        </w:rPr>
      </w:pPr>
      <w:r w:rsidRPr="004A71FC">
        <w:rPr>
          <w:rFonts w:ascii="Lotus Linotype" w:hAnsi="Lotus Linotype" w:cs="Lotus Linotype" w:hint="cs"/>
          <w:sz w:val="28"/>
          <w:szCs w:val="28"/>
          <w:rtl/>
          <w:lang w:bidi="ar-LB"/>
        </w:rPr>
        <w:t xml:space="preserve"> </w:t>
      </w:r>
      <w:r w:rsidR="006E2E60" w:rsidRPr="004A71FC">
        <w:rPr>
          <w:rFonts w:ascii="Lotus Linotype" w:hAnsi="Lotus Linotype" w:cs="Lotus Linotype" w:hint="cs"/>
          <w:sz w:val="28"/>
          <w:szCs w:val="28"/>
          <w:rtl/>
          <w:lang w:bidi="ar-LB"/>
        </w:rPr>
        <w:t>فإن قلنا بجواز اجتماع الأمر والنهي</w:t>
      </w:r>
      <w:r w:rsidR="004A71FC">
        <w:rPr>
          <w:rFonts w:ascii="Lotus Linotype" w:hAnsi="Lotus Linotype" w:cs="Lotus Linotype" w:hint="cs"/>
          <w:sz w:val="28"/>
          <w:szCs w:val="28"/>
          <w:rtl/>
          <w:lang w:bidi="ar-LB"/>
        </w:rPr>
        <w:t>؛</w:t>
      </w:r>
      <w:r w:rsidR="006E2E60" w:rsidRPr="004A71FC">
        <w:rPr>
          <w:rFonts w:ascii="Lotus Linotype" w:hAnsi="Lotus Linotype" w:cs="Lotus Linotype" w:hint="cs"/>
          <w:sz w:val="28"/>
          <w:szCs w:val="28"/>
          <w:rtl/>
          <w:lang w:bidi="ar-LB"/>
        </w:rPr>
        <w:t xml:space="preserve"> لعدم تضادّ الأمر والنهي مع تعدد العنوان</w:t>
      </w:r>
      <w:r w:rsidR="004A71FC">
        <w:rPr>
          <w:rFonts w:ascii="Lotus Linotype" w:hAnsi="Lotus Linotype" w:cs="Lotus Linotype" w:hint="cs"/>
          <w:sz w:val="28"/>
          <w:szCs w:val="28"/>
          <w:rtl/>
          <w:lang w:bidi="ar-LB"/>
        </w:rPr>
        <w:t>:</w:t>
      </w:r>
    </w:p>
    <w:p w:rsidR="004A71FC" w:rsidRDefault="004A71FC" w:rsidP="004A71FC">
      <w:pPr>
        <w:pStyle w:val="ListParagraph"/>
        <w:ind w:left="60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6E2E60" w:rsidRPr="004A71FC">
        <w:rPr>
          <w:rFonts w:ascii="Lotus Linotype" w:hAnsi="Lotus Linotype" w:cs="Lotus Linotype" w:hint="cs"/>
          <w:sz w:val="28"/>
          <w:szCs w:val="28"/>
          <w:rtl/>
          <w:lang w:bidi="ar-LB"/>
        </w:rPr>
        <w:t xml:space="preserve"> انكشف بذلك ثبوت ملاك الأمر والنهي في مورد الاجتماع</w:t>
      </w:r>
      <w:r>
        <w:rPr>
          <w:rFonts w:ascii="Lotus Linotype" w:hAnsi="Lotus Linotype" w:cs="Lotus Linotype" w:hint="cs"/>
          <w:sz w:val="28"/>
          <w:szCs w:val="28"/>
          <w:rtl/>
          <w:lang w:bidi="ar-LB"/>
        </w:rPr>
        <w:t xml:space="preserve">، </w:t>
      </w:r>
      <w:r w:rsidR="006E2E60" w:rsidRPr="004A71FC">
        <w:rPr>
          <w:rFonts w:ascii="Lotus Linotype" w:hAnsi="Lotus Linotype" w:cs="Lotus Linotype" w:hint="cs"/>
          <w:sz w:val="28"/>
          <w:szCs w:val="28"/>
          <w:rtl/>
          <w:lang w:bidi="ar-LB"/>
        </w:rPr>
        <w:t>كالصلاة في مكان مغصوب أو الد</w:t>
      </w:r>
      <w:r>
        <w:rPr>
          <w:rFonts w:ascii="Lotus Linotype" w:hAnsi="Lotus Linotype" w:cs="Lotus Linotype" w:hint="cs"/>
          <w:sz w:val="28"/>
          <w:szCs w:val="28"/>
          <w:rtl/>
          <w:lang w:bidi="ar-LB"/>
        </w:rPr>
        <w:t>فن في مكان مغصوب.</w:t>
      </w:r>
    </w:p>
    <w:p w:rsidR="004A71FC" w:rsidRDefault="006E2E60" w:rsidP="004A71FC">
      <w:pPr>
        <w:pStyle w:val="ListParagraph"/>
        <w:numPr>
          <w:ilvl w:val="0"/>
          <w:numId w:val="3"/>
        </w:numPr>
        <w:jc w:val="both"/>
        <w:rPr>
          <w:rFonts w:ascii="Lotus Linotype" w:hAnsi="Lotus Linotype" w:cs="Lotus Linotype"/>
          <w:sz w:val="28"/>
          <w:szCs w:val="28"/>
          <w:lang w:bidi="ar-LB"/>
        </w:rPr>
      </w:pPr>
      <w:r w:rsidRPr="004A71FC">
        <w:rPr>
          <w:rFonts w:ascii="Lotus Linotype" w:hAnsi="Lotus Linotype" w:cs="Lotus Linotype" w:hint="cs"/>
          <w:sz w:val="28"/>
          <w:szCs w:val="28"/>
          <w:rtl/>
          <w:lang w:bidi="ar-LB"/>
        </w:rPr>
        <w:t>وأمّا لو قلنا بامتناع اجتماع الأمر والنهي</w:t>
      </w:r>
      <w:r w:rsidR="004A71FC">
        <w:rPr>
          <w:rFonts w:ascii="Lotus Linotype" w:hAnsi="Lotus Linotype" w:cs="Lotus Linotype" w:hint="cs"/>
          <w:sz w:val="28"/>
          <w:szCs w:val="28"/>
          <w:rtl/>
          <w:lang w:bidi="ar-LB"/>
        </w:rPr>
        <w:t>:</w:t>
      </w:r>
    </w:p>
    <w:p w:rsidR="004A71FC" w:rsidRDefault="004A71FC" w:rsidP="004A71FC">
      <w:pPr>
        <w:pStyle w:val="ListParagraph"/>
        <w:ind w:left="60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6E2E60" w:rsidRPr="004A71FC">
        <w:rPr>
          <w:rFonts w:ascii="Lotus Linotype" w:hAnsi="Lotus Linotype" w:cs="Lotus Linotype" w:hint="cs"/>
          <w:sz w:val="28"/>
          <w:szCs w:val="28"/>
          <w:rtl/>
          <w:lang w:bidi="ar-LB"/>
        </w:rPr>
        <w:t xml:space="preserve"> فبعد تعارضهما وسقوط خطاب الأمر في مورد الاجتماع لا يمكن است</w:t>
      </w:r>
      <w:r>
        <w:rPr>
          <w:rFonts w:ascii="Lotus Linotype" w:hAnsi="Lotus Linotype" w:cs="Lotus Linotype" w:hint="cs"/>
          <w:sz w:val="28"/>
          <w:szCs w:val="28"/>
          <w:rtl/>
          <w:lang w:bidi="ar-LB"/>
        </w:rPr>
        <w:t>كشاف ملاك الأمر، ولأجل ذلك نقبل إ</w:t>
      </w:r>
      <w:r w:rsidR="006E2E60" w:rsidRPr="004A71FC">
        <w:rPr>
          <w:rFonts w:ascii="Lotus Linotype" w:hAnsi="Lotus Linotype" w:cs="Lotus Linotype" w:hint="cs"/>
          <w:sz w:val="28"/>
          <w:szCs w:val="28"/>
          <w:rtl/>
          <w:lang w:bidi="ar-LB"/>
        </w:rPr>
        <w:t>شكال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6E2E60" w:rsidRPr="004A71FC">
        <w:rPr>
          <w:rFonts w:ascii="Lotus Linotype" w:hAnsi="Lotus Linotype" w:cs="Lotus Linotype" w:hint="cs"/>
          <w:sz w:val="28"/>
          <w:szCs w:val="28"/>
          <w:rtl/>
          <w:lang w:bidi="ar-LB"/>
        </w:rPr>
        <w:t xml:space="preserve"> على المشهور حيث جمعوا بين القول بامتناع اجتماع الأمر والنهي والقول بصحّة الإتيان بالفعل الذي هو موردُ اجتماع الأمر والنهي لاستيفائه ملاك الأمر.</w:t>
      </w:r>
      <w:r w:rsidR="007872B3" w:rsidRPr="004A71FC">
        <w:rPr>
          <w:rFonts w:ascii="Lotus Linotype" w:hAnsi="Lotus Linotype" w:cs="Lotus Linotype" w:hint="cs"/>
          <w:sz w:val="28"/>
          <w:szCs w:val="28"/>
          <w:rtl/>
          <w:lang w:bidi="ar-LB"/>
        </w:rPr>
        <w:t xml:space="preserve"> </w:t>
      </w:r>
    </w:p>
    <w:p w:rsidR="00452D5A" w:rsidRPr="004A71FC" w:rsidRDefault="00CE542D" w:rsidP="004A71FC">
      <w:pPr>
        <w:pStyle w:val="ListParagraph"/>
        <w:ind w:left="600"/>
        <w:jc w:val="both"/>
        <w:rPr>
          <w:rFonts w:ascii="Lotus Linotype" w:hAnsi="Lotus Linotype" w:cs="Lotus Linotype"/>
          <w:sz w:val="28"/>
          <w:szCs w:val="28"/>
          <w:rtl/>
          <w:lang w:bidi="ar-LB"/>
        </w:rPr>
      </w:pPr>
      <w:r w:rsidRPr="004A71FC">
        <w:rPr>
          <w:rFonts w:ascii="Lotus Linotype" w:hAnsi="Lotus Linotype" w:cs="Lotus Linotype" w:hint="cs"/>
          <w:sz w:val="28"/>
          <w:szCs w:val="28"/>
          <w:rtl/>
          <w:lang w:bidi="ar-LB"/>
        </w:rPr>
        <w:t xml:space="preserve">      </w:t>
      </w:r>
      <w:r w:rsidR="007872B3" w:rsidRPr="004A71FC">
        <w:rPr>
          <w:rFonts w:ascii="Lotus Linotype" w:hAnsi="Lotus Linotype" w:cs="Lotus Linotype" w:hint="cs"/>
          <w:sz w:val="28"/>
          <w:szCs w:val="28"/>
          <w:rtl/>
          <w:lang w:bidi="ar-LB"/>
        </w:rPr>
        <w:t xml:space="preserve">فذكر </w:t>
      </w:r>
      <w:r w:rsidR="004A71FC">
        <w:rPr>
          <w:rFonts w:ascii="Lotus Linotype" w:hAnsi="Lotus Linotype" w:cs="Lotus Linotype" w:hint="cs"/>
          <w:sz w:val="28"/>
          <w:szCs w:val="28"/>
          <w:rtl/>
          <w:lang w:bidi="ar-LB"/>
        </w:rPr>
        <w:t xml:space="preserve">السيد الخوئي </w:t>
      </w:r>
      <w:r w:rsidR="004A71FC">
        <w:rPr>
          <w:rFonts w:ascii="Lotus Linotype" w:hAnsi="Lotus Linotype" w:cs="TAHER" w:hint="cs"/>
          <w:sz w:val="28"/>
          <w:szCs w:val="28"/>
          <w:rtl/>
          <w:lang w:bidi="ar-LB"/>
        </w:rPr>
        <w:t>&amp;</w:t>
      </w:r>
      <w:r w:rsidR="004A71FC">
        <w:rPr>
          <w:rFonts w:ascii="Lotus Linotype" w:hAnsi="Lotus Linotype" w:cs="Lotus Linotype" w:hint="cs"/>
          <w:sz w:val="28"/>
          <w:szCs w:val="28"/>
          <w:rtl/>
          <w:lang w:bidi="ar-LB"/>
        </w:rPr>
        <w:t xml:space="preserve"> أنّه </w:t>
      </w:r>
      <w:r w:rsidR="007872B3" w:rsidRPr="004A71FC">
        <w:rPr>
          <w:rFonts w:ascii="Lotus Linotype" w:hAnsi="Lotus Linotype" w:cs="Lotus Linotype" w:hint="cs"/>
          <w:sz w:val="28"/>
          <w:szCs w:val="28"/>
          <w:rtl/>
          <w:lang w:bidi="ar-LB"/>
        </w:rPr>
        <w:t>من أين استكشف المشهور ثبوت ملاك الأمر بعد أنّ خطاب الأمر قد سقط في مورد الاجتماع، وإشكاله في محلّه.</w:t>
      </w:r>
    </w:p>
    <w:p w:rsidR="007872B3" w:rsidRPr="004A71FC" w:rsidRDefault="007872B3" w:rsidP="004A71FC">
      <w:pPr>
        <w:jc w:val="center"/>
        <w:rPr>
          <w:rFonts w:ascii="Lotus Linotype" w:hAnsi="Lotus Linotype" w:cs="Lotus Linotype"/>
          <w:b/>
          <w:bCs/>
          <w:color w:val="FF0000"/>
          <w:sz w:val="32"/>
          <w:szCs w:val="32"/>
          <w:rtl/>
          <w:lang w:bidi="ar-LB"/>
        </w:rPr>
      </w:pPr>
      <w:r w:rsidRPr="004A71FC">
        <w:rPr>
          <w:rFonts w:ascii="Lotus Linotype" w:hAnsi="Lotus Linotype" w:cs="Lotus Linotype" w:hint="cs"/>
          <w:b/>
          <w:bCs/>
          <w:color w:val="FF0000"/>
          <w:sz w:val="32"/>
          <w:szCs w:val="32"/>
          <w:rtl/>
          <w:lang w:bidi="ar-LB"/>
        </w:rPr>
        <w:lastRenderedPageBreak/>
        <w:t xml:space="preserve">التنبيه </w:t>
      </w:r>
      <w:r w:rsidR="004A71FC">
        <w:rPr>
          <w:rFonts w:ascii="Lotus Linotype" w:hAnsi="Lotus Linotype" w:cs="Lotus Linotype" w:hint="cs"/>
          <w:b/>
          <w:bCs/>
          <w:color w:val="FF0000"/>
          <w:sz w:val="32"/>
          <w:szCs w:val="32"/>
          <w:rtl/>
          <w:lang w:bidi="ar-LB"/>
        </w:rPr>
        <w:t>السابع</w:t>
      </w:r>
    </w:p>
    <w:p w:rsidR="004A71FC" w:rsidRDefault="004A71FC" w:rsidP="00452D5A">
      <w:pPr>
        <w:jc w:val="both"/>
        <w:rPr>
          <w:rFonts w:ascii="Lotus Linotype" w:hAnsi="Lotus Linotype" w:cs="Lotus Linotype"/>
          <w:sz w:val="28"/>
          <w:szCs w:val="28"/>
          <w:rtl/>
          <w:lang w:bidi="ar-LB"/>
        </w:rPr>
      </w:pPr>
    </w:p>
    <w:p w:rsidR="007872B3" w:rsidRPr="004A71FC" w:rsidRDefault="004A71FC" w:rsidP="00452D5A">
      <w:pPr>
        <w:jc w:val="both"/>
        <w:rPr>
          <w:rFonts w:ascii="Lotus Linotype" w:hAnsi="Lotus Linotype" w:cs="Lotus Linotype"/>
          <w:b/>
          <w:bCs/>
          <w:sz w:val="28"/>
          <w:szCs w:val="28"/>
          <w:rtl/>
          <w:lang w:bidi="ar-LB"/>
        </w:rPr>
      </w:pPr>
      <w:r>
        <w:rPr>
          <w:rFonts w:ascii="Lotus Linotype" w:hAnsi="Lotus Linotype" w:cs="Lotus Linotype" w:hint="cs"/>
          <w:sz w:val="28"/>
          <w:szCs w:val="28"/>
          <w:rtl/>
          <w:lang w:bidi="ar-LB"/>
        </w:rPr>
        <w:t xml:space="preserve">     </w:t>
      </w:r>
      <w:r w:rsidR="007872B3" w:rsidRPr="004A71FC">
        <w:rPr>
          <w:rFonts w:ascii="Lotus Linotype" w:hAnsi="Lotus Linotype" w:cs="Lotus Linotype" w:hint="cs"/>
          <w:b/>
          <w:bCs/>
          <w:sz w:val="28"/>
          <w:szCs w:val="28"/>
          <w:rtl/>
          <w:lang w:bidi="ar-LB"/>
        </w:rPr>
        <w:t>بناءً على القول بامتناع اجتماع الأمر والنهي كما هو المشهور وقع الكلام في أنّه في مورد الاجتماع هل يتعارض خطاب الأمر والنهي ويتساقطان أو أنّه يُقدّم خطاب النهي على خطاب الأمر؟</w:t>
      </w:r>
    </w:p>
    <w:p w:rsidR="00C7775F" w:rsidRDefault="007872B3" w:rsidP="00C7775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مثلاً: خطاب "صلِّ" مع خطاب "لا تغصب</w:t>
      </w:r>
      <w:r>
        <w:rPr>
          <w:rFonts w:ascii="Lotus Linotype" w:hAnsi="Lotus Linotype" w:cs="Cambria" w:hint="cs"/>
          <w:sz w:val="28"/>
          <w:szCs w:val="28"/>
          <w:rtl/>
          <w:lang w:bidi="ar-LB"/>
        </w:rPr>
        <w:t xml:space="preserve">" </w:t>
      </w:r>
      <w:r>
        <w:rPr>
          <w:rFonts w:ascii="Lotus Linotype" w:hAnsi="Lotus Linotype" w:cs="Lotus Linotype"/>
          <w:sz w:val="28"/>
          <w:szCs w:val="28"/>
          <w:rtl/>
          <w:lang w:bidi="ar-LB"/>
        </w:rPr>
        <w:t>في مورد الصلاة في المكان المغصو</w:t>
      </w:r>
      <w:r>
        <w:rPr>
          <w:rFonts w:ascii="Lotus Linotype" w:hAnsi="Lotus Linotype" w:cs="Lotus Linotype" w:hint="cs"/>
          <w:sz w:val="28"/>
          <w:szCs w:val="28"/>
          <w:rtl/>
          <w:lang w:bidi="ar-LB"/>
        </w:rPr>
        <w:t>ب</w:t>
      </w:r>
      <w:r w:rsidR="00AB300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هل يتعارضان ويتساقطان لأنّ النسبة بينهما عموم وخصوص من وجه، وبناءً على القول بامتناع اجتماع الأمر والنهي يحصل علمٌ إجماليٌّ بكذب أحد الإطلاقين: إمّا أنّ إطلاق الأمر كاذبٌ بالنسبة إلى الصلاة في المكان المغصوب أو أنّ إطلاق الأمر عن الغصب كاذب بالنسبة إليه </w:t>
      </w:r>
      <w:r w:rsidR="00C7775F">
        <w:rPr>
          <w:rFonts w:ascii="Lotus Linotype" w:hAnsi="Lotus Linotype" w:cs="Lotus Linotype" w:hint="cs"/>
          <w:sz w:val="28"/>
          <w:szCs w:val="28"/>
          <w:rtl/>
          <w:lang w:bidi="ar-LB"/>
        </w:rPr>
        <w:t>حيث لا يمكن اجتماعهما معاً، وبعد ذلك يرجع إلى الأصل العملي كالبراءة عن حرمة الصلاة في هذا المكان.</w:t>
      </w:r>
    </w:p>
    <w:p w:rsidR="00261211" w:rsidRDefault="00261211" w:rsidP="00261211">
      <w:pPr>
        <w:jc w:val="both"/>
        <w:rPr>
          <w:rFonts w:ascii="Lotus Linotype" w:hAnsi="Lotus Linotype" w:cs="Lotus Linotype"/>
          <w:sz w:val="28"/>
          <w:szCs w:val="28"/>
          <w:rtl/>
          <w:lang w:bidi="ar-LB"/>
        </w:rPr>
      </w:pPr>
      <w:r w:rsidRPr="004A71FC">
        <w:rPr>
          <w:rFonts w:ascii="Lotus Linotype" w:hAnsi="Lotus Linotype" w:cs="Lotus Linotype" w:hint="cs"/>
          <w:b/>
          <w:bCs/>
          <w:sz w:val="28"/>
          <w:szCs w:val="28"/>
          <w:rtl/>
          <w:lang w:bidi="ar-LB"/>
        </w:rPr>
        <w:t xml:space="preserve">     المشهور</w:t>
      </w:r>
      <w:r>
        <w:rPr>
          <w:rFonts w:ascii="Lotus Linotype" w:hAnsi="Lotus Linotype" w:cs="Lotus Linotype" w:hint="cs"/>
          <w:sz w:val="28"/>
          <w:szCs w:val="28"/>
          <w:rtl/>
          <w:lang w:bidi="ar-LB"/>
        </w:rPr>
        <w:t xml:space="preserve"> قالوا بلزوم تقديم خطاب النهي على خطاب الأمر في مورد وجود المندوحة، إذا أمك</w:t>
      </w:r>
      <w:r w:rsidR="00AB300D">
        <w:rPr>
          <w:rFonts w:ascii="Lotus Linotype" w:hAnsi="Lotus Linotype" w:cs="Lotus Linotype" w:hint="cs"/>
          <w:sz w:val="28"/>
          <w:szCs w:val="28"/>
          <w:rtl/>
          <w:lang w:bidi="ar-LB"/>
        </w:rPr>
        <w:t>ن</w:t>
      </w:r>
      <w:r>
        <w:rPr>
          <w:rFonts w:ascii="Lotus Linotype" w:hAnsi="Lotus Linotype" w:cs="Lotus Linotype" w:hint="cs"/>
          <w:sz w:val="28"/>
          <w:szCs w:val="28"/>
          <w:rtl/>
          <w:lang w:bidi="ar-LB"/>
        </w:rPr>
        <w:t xml:space="preserve"> الصلاة في مكانٍ مبا</w:t>
      </w:r>
      <w:r w:rsidR="00AB300D">
        <w:rPr>
          <w:rFonts w:ascii="Lotus Linotype" w:hAnsi="Lotus Linotype" w:cs="Lotus Linotype" w:hint="cs"/>
          <w:sz w:val="28"/>
          <w:szCs w:val="28"/>
          <w:rtl/>
          <w:lang w:bidi="ar-LB"/>
        </w:rPr>
        <w:t>ح فيُقدّم خطاب النهي عن الغصب على إطلاق</w:t>
      </w:r>
      <w:r>
        <w:rPr>
          <w:rFonts w:ascii="Lotus Linotype" w:hAnsi="Lotus Linotype" w:cs="Lotus Linotype" w:hint="cs"/>
          <w:sz w:val="28"/>
          <w:szCs w:val="28"/>
          <w:rtl/>
          <w:lang w:bidi="ar-LB"/>
        </w:rPr>
        <w:t xml:space="preserve"> خطاب ا</w:t>
      </w:r>
      <w:r w:rsidR="00AB300D">
        <w:rPr>
          <w:rFonts w:ascii="Lotus Linotype" w:hAnsi="Lotus Linotype" w:cs="Lotus Linotype" w:hint="cs"/>
          <w:sz w:val="28"/>
          <w:szCs w:val="28"/>
          <w:rtl/>
          <w:lang w:bidi="ar-LB"/>
        </w:rPr>
        <w:t>لأمر ويقيّد خطاب الأمر بالصلاة</w:t>
      </w:r>
      <w:r>
        <w:rPr>
          <w:rFonts w:ascii="Lotus Linotype" w:hAnsi="Lotus Linotype" w:cs="Lotus Linotype" w:hint="cs"/>
          <w:sz w:val="28"/>
          <w:szCs w:val="28"/>
          <w:rtl/>
          <w:lang w:bidi="ar-LB"/>
        </w:rPr>
        <w:t xml:space="preserve"> بالصلاة في مكانٍ مباح.</w:t>
      </w:r>
      <w:r>
        <w:rPr>
          <w:rFonts w:ascii="Lotus Linotype" w:hAnsi="Lotus Linotype" w:cs="Lotus Linotype"/>
          <w:sz w:val="28"/>
          <w:szCs w:val="28"/>
          <w:rtl/>
          <w:lang w:bidi="ar-LB"/>
        </w:rPr>
        <w:br/>
      </w:r>
      <w:r w:rsidR="004A71FC" w:rsidRPr="004A71FC">
        <w:rPr>
          <w:rFonts w:ascii="Lotus Linotype" w:hAnsi="Lotus Linotype" w:cs="Lotus Linotype" w:hint="cs"/>
          <w:b/>
          <w:bCs/>
          <w:color w:val="FF0000"/>
          <w:sz w:val="28"/>
          <w:szCs w:val="28"/>
          <w:rtl/>
          <w:lang w:bidi="ar-LB"/>
        </w:rPr>
        <w:t>وقد استُدلّ</w:t>
      </w:r>
      <w:r w:rsidRPr="004A71FC">
        <w:rPr>
          <w:rFonts w:ascii="Lotus Linotype" w:hAnsi="Lotus Linotype" w:cs="Lotus Linotype" w:hint="cs"/>
          <w:b/>
          <w:bCs/>
          <w:color w:val="FF0000"/>
          <w:sz w:val="28"/>
          <w:szCs w:val="28"/>
          <w:rtl/>
          <w:lang w:bidi="ar-LB"/>
        </w:rPr>
        <w:t xml:space="preserve"> لذلك بعدة وجوه:</w:t>
      </w:r>
    </w:p>
    <w:p w:rsidR="00AB300D" w:rsidRDefault="00261211" w:rsidP="004A71FC">
      <w:pPr>
        <w:pStyle w:val="ListParagraph"/>
        <w:numPr>
          <w:ilvl w:val="0"/>
          <w:numId w:val="1"/>
        </w:numPr>
        <w:jc w:val="both"/>
        <w:rPr>
          <w:rFonts w:ascii="Lotus Linotype" w:hAnsi="Lotus Linotype" w:cs="Lotus Linotype"/>
          <w:sz w:val="28"/>
          <w:szCs w:val="28"/>
          <w:lang w:bidi="ar-LB"/>
        </w:rPr>
      </w:pPr>
      <w:r w:rsidRPr="004A71FC">
        <w:rPr>
          <w:rFonts w:ascii="Lotus Linotype" w:hAnsi="Lotus Linotype" w:cs="Lotus Linotype" w:hint="cs"/>
          <w:b/>
          <w:bCs/>
          <w:color w:val="FF0000"/>
          <w:sz w:val="28"/>
          <w:szCs w:val="28"/>
          <w:rtl/>
          <w:lang w:bidi="ar-LB"/>
        </w:rPr>
        <w:t>الوجه الأول:</w:t>
      </w:r>
      <w:r w:rsidRPr="004A71FC">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ما ذكره الشيخ الأنصاري</w:t>
      </w:r>
      <w:r w:rsidR="004A71FC">
        <w:rPr>
          <w:rFonts w:ascii="Lotus Linotype" w:hAnsi="Lotus Linotype" w:cs="Lotus Linotype" w:hint="cs"/>
          <w:sz w:val="28"/>
          <w:szCs w:val="28"/>
          <w:rtl/>
          <w:lang w:bidi="ar-LB"/>
        </w:rPr>
        <w:t xml:space="preserve"> </w:t>
      </w:r>
      <w:r w:rsidR="004A71FC">
        <w:rPr>
          <w:rFonts w:ascii="Lotus Linotype" w:hAnsi="Lotus Linotype" w:cs="TAHER" w:hint="cs"/>
          <w:sz w:val="28"/>
          <w:szCs w:val="28"/>
          <w:rtl/>
          <w:lang w:bidi="ar-LB"/>
        </w:rPr>
        <w:t>+</w:t>
      </w:r>
      <w:r w:rsidR="004A71F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من أنّ خطاب النهي مطلقٌ شموليّ وخطاب الأمر مطلق بدلي؛ لأنّ خطاب النهي انحلاليٌّ، النهي عن الغصب ينحلُّ إلى نواهي متعددة بعدد أفراد الغصب ولكن خطاب الأمر بالصلاة بدليٌّ، في هذا اليوم لا يطلب منكم إلا صلاةً واحدة، صلاة صبح واحدة صلاة ظهر واحدة صلاة عصرٍ واحدة وهكذا. </w:t>
      </w:r>
    </w:p>
    <w:p w:rsidR="00261211" w:rsidRDefault="004A71FC" w:rsidP="00AB300D">
      <w:pPr>
        <w:pStyle w:val="ListParagraph"/>
        <w:ind w:left="360"/>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261211">
        <w:rPr>
          <w:rFonts w:ascii="Lotus Linotype" w:hAnsi="Lotus Linotype" w:cs="Lotus Linotype" w:hint="cs"/>
          <w:sz w:val="28"/>
          <w:szCs w:val="28"/>
          <w:rtl/>
          <w:lang w:bidi="ar-LB"/>
        </w:rPr>
        <w:t>فإطلاق قوله: "إذا طلع الفجر فصلِّ صلاة الصبح" مطلق بدلي</w:t>
      </w:r>
      <w:r w:rsidR="00511F56">
        <w:rPr>
          <w:rFonts w:ascii="Lotus Linotype" w:hAnsi="Lotus Linotype" w:cs="Lotus Linotype" w:hint="cs"/>
          <w:sz w:val="28"/>
          <w:szCs w:val="28"/>
          <w:rtl/>
          <w:lang w:bidi="ar-LB"/>
        </w:rPr>
        <w:t>، يعني تعلّق الأمر بصرف وجود صلاة الصبح في هذا اليوم، وكلّما وقع التعارض بين مطلقٍ شموليّ ومطلقٍ بدليّ فحيث إنّ خطاب المطلق الشمولي أقوى فيُقدّم بنكتة ا</w:t>
      </w:r>
      <w:r w:rsidR="0002310F">
        <w:rPr>
          <w:rFonts w:ascii="Lotus Linotype" w:hAnsi="Lotus Linotype" w:cs="Lotus Linotype" w:hint="cs"/>
          <w:sz w:val="28"/>
          <w:szCs w:val="28"/>
          <w:rtl/>
          <w:lang w:bidi="ar-LB"/>
        </w:rPr>
        <w:t>لأقوائي</w:t>
      </w:r>
      <w:r w:rsidR="00AB300D">
        <w:rPr>
          <w:rFonts w:ascii="Lotus Linotype" w:hAnsi="Lotus Linotype" w:cs="Lotus Linotype" w:hint="cs"/>
          <w:sz w:val="28"/>
          <w:szCs w:val="28"/>
          <w:rtl/>
          <w:lang w:bidi="ar-LB"/>
        </w:rPr>
        <w:t>ّ</w:t>
      </w:r>
      <w:r w:rsidR="0002310F">
        <w:rPr>
          <w:rFonts w:ascii="Lotus Linotype" w:hAnsi="Lotus Linotype" w:cs="Lotus Linotype" w:hint="cs"/>
          <w:sz w:val="28"/>
          <w:szCs w:val="28"/>
          <w:rtl/>
          <w:lang w:bidi="ar-LB"/>
        </w:rPr>
        <w:t xml:space="preserve">ة على خطاب المطلق البدلي، نظير قوله: "أكرم عالماً" حيث يتعارض مع قوله "لا تكرم الفاسق"، والتعارض بينهما بالعموم والخصوص من وجه، يتعارضان في مورد العالم الفاسق، فإطلاق </w:t>
      </w:r>
      <w:r w:rsidR="0002310F">
        <w:rPr>
          <w:rFonts w:ascii="Lotus Linotype" w:hAnsi="Lotus Linotype" w:cs="Cambria" w:hint="cs"/>
          <w:sz w:val="28"/>
          <w:szCs w:val="28"/>
          <w:rtl/>
          <w:lang w:bidi="ar-LB"/>
        </w:rPr>
        <w:t>"</w:t>
      </w:r>
      <w:r w:rsidR="0002310F">
        <w:rPr>
          <w:rFonts w:ascii="Lotus Linotype" w:hAnsi="Lotus Linotype" w:cs="Lotus Linotype" w:hint="cs"/>
          <w:sz w:val="28"/>
          <w:szCs w:val="28"/>
          <w:rtl/>
          <w:lang w:bidi="ar-LB"/>
        </w:rPr>
        <w:t>أكرم عالماً</w:t>
      </w:r>
      <w:r w:rsidR="0002310F">
        <w:rPr>
          <w:rFonts w:ascii="Lotus Linotype" w:hAnsi="Lotus Linotype" w:cs="Cambria" w:hint="cs"/>
          <w:sz w:val="28"/>
          <w:szCs w:val="28"/>
          <w:rtl/>
          <w:lang w:bidi="ar-LB"/>
        </w:rPr>
        <w:t>"</w:t>
      </w:r>
      <w:r w:rsidR="0002310F">
        <w:rPr>
          <w:rFonts w:ascii="Lotus Linotype" w:hAnsi="Lotus Linotype" w:cs="Lotus Linotype" w:hint="cs"/>
          <w:sz w:val="28"/>
          <w:szCs w:val="28"/>
          <w:rtl/>
          <w:lang w:bidi="ar-LB"/>
        </w:rPr>
        <w:t xml:space="preserve"> يقتضي جواز التطبيق، يقتضي جواز اختيار إكرام العالم الفاسق في امتثال خطاب الأمر بإكرام عالمٍ، </w:t>
      </w:r>
      <w:r w:rsidR="0002310F">
        <w:rPr>
          <w:rFonts w:ascii="Lotus Linotype" w:hAnsi="Lotus Linotype" w:cs="Lotus Linotype" w:hint="cs"/>
          <w:sz w:val="28"/>
          <w:szCs w:val="28"/>
          <w:rtl/>
          <w:lang w:bidi="ar-LB"/>
        </w:rPr>
        <w:lastRenderedPageBreak/>
        <w:t>فيتعارض مع إطلاق "لا تكرم الفاسق" حيث يقتضي النهي عن إكرام العالم الفاسق، ولكن حيث إنّ خط</w:t>
      </w:r>
      <w:r w:rsidR="00AB300D">
        <w:rPr>
          <w:rFonts w:ascii="Lotus Linotype" w:hAnsi="Lotus Linotype" w:cs="Lotus Linotype" w:hint="cs"/>
          <w:sz w:val="28"/>
          <w:szCs w:val="28"/>
          <w:rtl/>
          <w:lang w:bidi="ar-LB"/>
        </w:rPr>
        <w:t>اب "لا تكرم الفاسق" مطلق شمولي و</w:t>
      </w:r>
      <w:r w:rsidR="0002310F">
        <w:rPr>
          <w:rFonts w:ascii="Lotus Linotype" w:hAnsi="Lotus Linotype" w:cs="Lotus Linotype" w:hint="cs"/>
          <w:sz w:val="28"/>
          <w:szCs w:val="28"/>
          <w:rtl/>
          <w:lang w:bidi="ar-LB"/>
        </w:rPr>
        <w:t xml:space="preserve">هو أقوى دلالةً من </w:t>
      </w:r>
      <w:r w:rsidR="00AB300D">
        <w:rPr>
          <w:rFonts w:ascii="Lotus Linotype" w:hAnsi="Lotus Linotype" w:cs="Lotus Linotype" w:hint="cs"/>
          <w:sz w:val="28"/>
          <w:szCs w:val="28"/>
          <w:rtl/>
          <w:lang w:bidi="ar-LB"/>
        </w:rPr>
        <w:t>خطاب المطلق البدلي فيقدّم عليه</w:t>
      </w:r>
      <w:r w:rsidR="0002310F">
        <w:rPr>
          <w:rFonts w:ascii="Lotus Linotype" w:hAnsi="Lotus Linotype" w:cs="Lotus Linotype" w:hint="cs"/>
          <w:sz w:val="28"/>
          <w:szCs w:val="28"/>
          <w:rtl/>
          <w:lang w:bidi="ar-LB"/>
        </w:rPr>
        <w:t>.</w:t>
      </w:r>
    </w:p>
    <w:p w:rsidR="004A71FC" w:rsidRDefault="004A71FC" w:rsidP="0002310F">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2310F">
        <w:rPr>
          <w:rFonts w:ascii="Lotus Linotype" w:hAnsi="Lotus Linotype" w:cs="Lotus Linotype" w:hint="cs"/>
          <w:sz w:val="28"/>
          <w:szCs w:val="28"/>
          <w:rtl/>
          <w:lang w:bidi="ar-LB"/>
        </w:rPr>
        <w:t xml:space="preserve">صاحب الكفاية </w:t>
      </w:r>
      <w:r>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w:t>
      </w:r>
      <w:r w:rsidR="0002310F">
        <w:rPr>
          <w:rFonts w:ascii="Lotus Linotype" w:hAnsi="Lotus Linotype" w:cs="Lotus Linotype" w:hint="cs"/>
          <w:sz w:val="28"/>
          <w:szCs w:val="28"/>
          <w:rtl/>
          <w:lang w:bidi="ar-LB"/>
        </w:rPr>
        <w:t>أنكر ذلك وقال لا وجه لتقديم خطاب المطلق الشمولي على خطاب المطلق البدلي، ولكن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02310F">
        <w:rPr>
          <w:rFonts w:ascii="Lotus Linotype" w:hAnsi="Lotus Linotype" w:cs="Lotus Linotype" w:hint="cs"/>
          <w:sz w:val="28"/>
          <w:szCs w:val="28"/>
          <w:rtl/>
          <w:lang w:bidi="ar-LB"/>
        </w:rPr>
        <w:t xml:space="preserve"> حاول أن يقوّي كلام الشيخ الأنصاري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02310F">
        <w:rPr>
          <w:rFonts w:ascii="Lotus Linotype" w:hAnsi="Lotus Linotype" w:cs="Lotus Linotype" w:hint="cs"/>
          <w:sz w:val="28"/>
          <w:szCs w:val="28"/>
          <w:rtl/>
          <w:lang w:bidi="ar-LB"/>
        </w:rPr>
        <w:t xml:space="preserve"> بوجوهٍ لا محصّل لها،</w:t>
      </w:r>
      <w:r>
        <w:rPr>
          <w:rFonts w:ascii="Lotus Linotype" w:hAnsi="Lotus Linotype" w:cs="Lotus Linotype" w:hint="cs"/>
          <w:sz w:val="28"/>
          <w:szCs w:val="28"/>
          <w:rtl/>
          <w:lang w:bidi="ar-LB"/>
        </w:rPr>
        <w:t xml:space="preserve"> أذكر منها وجهاً واحداً،</w:t>
      </w:r>
      <w:r w:rsidR="0002310F">
        <w:rPr>
          <w:rFonts w:ascii="Lotus Linotype" w:hAnsi="Lotus Linotype" w:cs="Lotus Linotype" w:hint="cs"/>
          <w:sz w:val="28"/>
          <w:szCs w:val="28"/>
          <w:rtl/>
          <w:lang w:bidi="ar-LB"/>
        </w:rPr>
        <w:t xml:space="preserve"> حيث قال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02310F">
        <w:rPr>
          <w:rFonts w:ascii="Lotus Linotype" w:hAnsi="Lotus Linotype" w:cs="Lotus Linotype" w:hint="cs"/>
          <w:sz w:val="28"/>
          <w:szCs w:val="28"/>
          <w:rtl/>
          <w:lang w:bidi="ar-LB"/>
        </w:rPr>
        <w:t xml:space="preserve">: </w:t>
      </w:r>
    </w:p>
    <w:p w:rsidR="0002310F" w:rsidRDefault="004A71FC" w:rsidP="0002310F">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2310F">
        <w:rPr>
          <w:rFonts w:ascii="Lotus Linotype" w:hAnsi="Lotus Linotype" w:cs="Lotus Linotype" w:hint="cs"/>
          <w:sz w:val="28"/>
          <w:szCs w:val="28"/>
          <w:rtl/>
          <w:lang w:bidi="ar-LB"/>
        </w:rPr>
        <w:t>إنّ خطاب المطلق الشموليّ كخطاب "لا تكرم الفاسق" ينحلّ إلى دلالات متعددة، يدلّ بالدلالة التضمنيّة على حرمة إكرام العالم الفاسق وينحلّ إلى دلالة تضمنيّة أخرى تدلّ على حرمة إكرام الجاهل الفاسق وهكذا، بينما أنّ خطاب "أكرم عالماً" ليس له إلّا دلالة واحدة على وجوب إكرام عالمٍ، فتقديم "لا تكرم الفاسق" على خطاب "أكرم عالماً" لا يقتضي رفع اليد عن دلالته على وجوب إكرام عالمٍ، بينما أنّ تقديم خطاب أكرم عالماً على خطاب لا تكرم الفاسق بأن نحمل خطاب لا تكرم الفاسق على أنّ المراد منه إكرام الجاهل الفاسق يعني رفع اليد عن بعض دلالات هذا الخطاب المطلق الشمولي.</w:t>
      </w:r>
    </w:p>
    <w:p w:rsidR="0002310F" w:rsidRDefault="004A71FC" w:rsidP="00796DAE">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2310F" w:rsidRPr="004A71FC">
        <w:rPr>
          <w:rFonts w:ascii="Lotus Linotype" w:hAnsi="Lotus Linotype" w:cs="Lotus Linotype" w:hint="cs"/>
          <w:b/>
          <w:bCs/>
          <w:sz w:val="28"/>
          <w:szCs w:val="28"/>
          <w:rtl/>
          <w:lang w:bidi="ar-LB"/>
        </w:rPr>
        <w:t>ف</w:t>
      </w:r>
      <w:r w:rsidRPr="004A71FC">
        <w:rPr>
          <w:rFonts w:ascii="Lotus Linotype" w:hAnsi="Lotus Linotype" w:cs="Lotus Linotype" w:hint="cs"/>
          <w:b/>
          <w:bCs/>
          <w:sz w:val="28"/>
          <w:szCs w:val="28"/>
          <w:rtl/>
          <w:lang w:bidi="ar-LB"/>
        </w:rPr>
        <w:t>ُ</w:t>
      </w:r>
      <w:r w:rsidR="0002310F" w:rsidRPr="004A71FC">
        <w:rPr>
          <w:rFonts w:ascii="Lotus Linotype" w:hAnsi="Lotus Linotype" w:cs="Lotus Linotype" w:hint="cs"/>
          <w:b/>
          <w:bCs/>
          <w:sz w:val="28"/>
          <w:szCs w:val="28"/>
          <w:rtl/>
          <w:lang w:bidi="ar-LB"/>
        </w:rPr>
        <w:t>أجيب عن ذلك</w:t>
      </w:r>
      <w:r w:rsidR="0002310F">
        <w:rPr>
          <w:rFonts w:ascii="Lotus Linotype" w:hAnsi="Lotus Linotype" w:cs="Lotus Linotype" w:hint="cs"/>
          <w:sz w:val="28"/>
          <w:szCs w:val="28"/>
          <w:rtl/>
          <w:lang w:bidi="ar-LB"/>
        </w:rPr>
        <w:t xml:space="preserve"> بأنّ خطاب المطلق البدليّ أيضاً ينحلّ إلى دلالت متعددة، فقوله "أكرم عالماً" يدلّ بدلالةٍ ولو التزاميّة إن لم نقل أنّها دلالة تضمنيّة- يدلّ على جواز اختيار إكرام العالم الفاسق في امتثال خطاب "أكرم عالماً" كما يدلّ بدلالة أخرى على جواز اختيار إكرام العالم العادل في امتثال خطاب "أكرم عالماً"، فينحلّ خطاب "أكرم عالماً" أيضاً إلى دلالات متعددة على الترخيص في التطبيق، أي جواز اختيار أيّ فردٍ من أفراد العالم في سبيل امتثال هذا الواجب البدلي.</w:t>
      </w:r>
      <w:r w:rsidR="00796DAE">
        <w:rPr>
          <w:rFonts w:ascii="Lotus Linotype" w:hAnsi="Lotus Linotype" w:cs="Lotus Linotype" w:hint="cs"/>
          <w:sz w:val="28"/>
          <w:szCs w:val="28"/>
          <w:rtl/>
          <w:lang w:bidi="ar-LB"/>
        </w:rPr>
        <w:t xml:space="preserve"> فتقديم "لا تكرم الفاسق" أيضاً يقتضي رفع اليد عن بعض هذه الدلالات، يقتضي</w:t>
      </w:r>
      <w:r w:rsidR="004B7340">
        <w:rPr>
          <w:rFonts w:ascii="Lotus Linotype" w:hAnsi="Lotus Linotype" w:cs="Lotus Linotype" w:hint="cs"/>
          <w:sz w:val="28"/>
          <w:szCs w:val="28"/>
          <w:rtl/>
          <w:lang w:bidi="ar-LB"/>
        </w:rPr>
        <w:t xml:space="preserve"> رفع</w:t>
      </w:r>
      <w:r w:rsidR="00796DAE">
        <w:rPr>
          <w:rFonts w:ascii="Lotus Linotype" w:hAnsi="Lotus Linotype" w:cs="Lotus Linotype" w:hint="cs"/>
          <w:sz w:val="28"/>
          <w:szCs w:val="28"/>
          <w:rtl/>
          <w:lang w:bidi="ar-LB"/>
        </w:rPr>
        <w:t xml:space="preserve"> اليد عن دلالة إطلاق "أكرم عالماً" على جواز اختيار</w:t>
      </w:r>
      <w:r w:rsidR="004B7340">
        <w:rPr>
          <w:rFonts w:ascii="Lotus Linotype" w:hAnsi="Lotus Linotype" w:cs="Lotus Linotype" w:hint="cs"/>
          <w:sz w:val="28"/>
          <w:szCs w:val="28"/>
          <w:rtl/>
          <w:lang w:bidi="ar-LB"/>
        </w:rPr>
        <w:t xml:space="preserve"> إكرام</w:t>
      </w:r>
      <w:r w:rsidR="00796DAE">
        <w:rPr>
          <w:rFonts w:ascii="Lotus Linotype" w:hAnsi="Lotus Linotype" w:cs="Lotus Linotype" w:hint="cs"/>
          <w:sz w:val="28"/>
          <w:szCs w:val="28"/>
          <w:rtl/>
          <w:lang w:bidi="ar-LB"/>
        </w:rPr>
        <w:t xml:space="preserve"> العالم الفاسق في امتثال هذا الواجب البدلي، فلا مرجّح لتقديم خطاب "لا تكرم الفاسق" كمطلق</w:t>
      </w:r>
      <w:r w:rsidR="004B7340">
        <w:rPr>
          <w:rFonts w:ascii="Lotus Linotype" w:hAnsi="Lotus Linotype" w:cs="Lotus Linotype" w:hint="cs"/>
          <w:sz w:val="28"/>
          <w:szCs w:val="28"/>
          <w:rtl/>
          <w:lang w:bidi="ar-LB"/>
        </w:rPr>
        <w:t>ٍ</w:t>
      </w:r>
      <w:r w:rsidR="00796DAE">
        <w:rPr>
          <w:rFonts w:ascii="Lotus Linotype" w:hAnsi="Lotus Linotype" w:cs="Lotus Linotype" w:hint="cs"/>
          <w:sz w:val="28"/>
          <w:szCs w:val="28"/>
          <w:rtl/>
          <w:lang w:bidi="ar-LB"/>
        </w:rPr>
        <w:t xml:space="preserve"> شمولي على خطاب "أكرم عالماً" كمطلق</w:t>
      </w:r>
      <w:r w:rsidR="004B7340">
        <w:rPr>
          <w:rFonts w:ascii="Lotus Linotype" w:hAnsi="Lotus Linotype" w:cs="Lotus Linotype" w:hint="cs"/>
          <w:sz w:val="28"/>
          <w:szCs w:val="28"/>
          <w:rtl/>
          <w:lang w:bidi="ar-LB"/>
        </w:rPr>
        <w:t>ٍ</w:t>
      </w:r>
      <w:r w:rsidR="00796DAE">
        <w:rPr>
          <w:rFonts w:ascii="Lotus Linotype" w:hAnsi="Lotus Linotype" w:cs="Lotus Linotype" w:hint="cs"/>
          <w:sz w:val="28"/>
          <w:szCs w:val="28"/>
          <w:rtl/>
          <w:lang w:bidi="ar-LB"/>
        </w:rPr>
        <w:t xml:space="preserve"> بدليّ.</w:t>
      </w:r>
    </w:p>
    <w:p w:rsidR="00AB300D" w:rsidRDefault="00AB300D" w:rsidP="00796DAE">
      <w:pPr>
        <w:pStyle w:val="ListParagraph"/>
        <w:ind w:left="360"/>
        <w:jc w:val="both"/>
        <w:rPr>
          <w:rFonts w:ascii="Lotus Linotype" w:hAnsi="Lotus Linotype" w:cs="Lotus Linotype"/>
          <w:sz w:val="28"/>
          <w:szCs w:val="28"/>
          <w:rtl/>
          <w:lang w:bidi="ar-LB"/>
        </w:rPr>
      </w:pPr>
    </w:p>
    <w:p w:rsidR="004A71FC" w:rsidRDefault="004B7340" w:rsidP="004A71FC">
      <w:pPr>
        <w:pStyle w:val="ListParagraph"/>
        <w:numPr>
          <w:ilvl w:val="0"/>
          <w:numId w:val="1"/>
        </w:numPr>
        <w:jc w:val="both"/>
        <w:rPr>
          <w:rFonts w:ascii="Lotus Linotype" w:hAnsi="Lotus Linotype" w:cs="Lotus Linotype"/>
          <w:sz w:val="28"/>
          <w:szCs w:val="28"/>
          <w:lang w:bidi="ar-LB"/>
        </w:rPr>
      </w:pPr>
      <w:r w:rsidRPr="004A71FC">
        <w:rPr>
          <w:rFonts w:ascii="Lotus Linotype" w:hAnsi="Lotus Linotype" w:cs="Lotus Linotype" w:hint="cs"/>
          <w:b/>
          <w:bCs/>
          <w:color w:val="FF0000"/>
          <w:sz w:val="28"/>
          <w:szCs w:val="28"/>
          <w:rtl/>
          <w:lang w:bidi="ar-LB"/>
        </w:rPr>
        <w:t>الوجه الثاني</w:t>
      </w:r>
      <w:r w:rsidRPr="004A71FC">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لتقديم خطاب النهي على خطاب الأمر بناءً على امتناع اجتماع الأمر والنهي</w:t>
      </w:r>
      <w:r w:rsidR="004A71FC">
        <w:rPr>
          <w:rFonts w:ascii="Lotus Linotype" w:hAnsi="Lotus Linotype" w:cs="Lotus Linotype" w:hint="cs"/>
          <w:sz w:val="28"/>
          <w:szCs w:val="28"/>
          <w:rtl/>
          <w:lang w:bidi="ar-LB"/>
        </w:rPr>
        <w:t>:</w:t>
      </w:r>
    </w:p>
    <w:p w:rsidR="00796DAE" w:rsidRDefault="004A71FC" w:rsidP="004A71FC">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4B7340">
        <w:rPr>
          <w:rFonts w:ascii="Lotus Linotype" w:hAnsi="Lotus Linotype" w:cs="Lotus Linotype" w:hint="cs"/>
          <w:sz w:val="28"/>
          <w:szCs w:val="28"/>
          <w:rtl/>
          <w:lang w:bidi="ar-LB"/>
        </w:rPr>
        <w:t xml:space="preserve"> ما هو الصحيح من أنّه إذا كان النهي متعلّقاً بعنوانٍ ثانوي كعنوان الغصب والخطاب المتكفل لهذا العنوان الثانوي يدلّ على حكمٍ إلزاميّ، يدلّ على تحريم الغصب، فالعرف </w:t>
      </w:r>
      <w:r w:rsidR="00DC6190">
        <w:rPr>
          <w:rFonts w:ascii="Lotus Linotype" w:hAnsi="Lotus Linotype" w:cs="Lotus Linotype" w:hint="cs"/>
          <w:sz w:val="28"/>
          <w:szCs w:val="28"/>
          <w:rtl/>
          <w:lang w:bidi="ar-LB"/>
        </w:rPr>
        <w:t xml:space="preserve">يجمع بين هذا الخطاب وخطاب الواجب البدلي الذي يقتضي الترخيص في التطبيق على أيّ فردٍ من أفراد الصلاة مثلاً في قوله "صلّ"، العرف يجمع بين الخطابين بحمل خطاب "صلّ" على الترخيص الشأنيّ أي الترخيص في اختيار أيّ فردٍ من أفراد الصلاة لولا </w:t>
      </w:r>
      <w:r w:rsidR="00DC6190">
        <w:rPr>
          <w:rFonts w:ascii="Lotus Linotype" w:hAnsi="Lotus Linotype" w:cs="Lotus Linotype" w:hint="cs"/>
          <w:sz w:val="28"/>
          <w:szCs w:val="28"/>
          <w:rtl/>
          <w:lang w:bidi="ar-LB"/>
        </w:rPr>
        <w:lastRenderedPageBreak/>
        <w:t>طرو عنوانٍ ثانويٍّ عليه، فإذا طرأ العنوان الثانوي كعنوان الغصب يرتفع الترخيص في التطبيق، وإذا ارتفع الترخيص في التطبيق على الصلاة في المكان المغصوب فبناءً على امتناع اجتماع الأمر والنهي يرتفع الأمر؛ لأنّ قوام الأمر بالترخيص في التطبيق، قوام إطلاق الأمر على الصلاة في المكان المغصوب بترخيص المولى في اختيار الصلاة في المكان المغصوب في سبيل امتثال الأمر بالصلاة.</w:t>
      </w:r>
    </w:p>
    <w:p w:rsidR="005A1E2E" w:rsidRDefault="004A71FC"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A5AA7">
        <w:rPr>
          <w:rFonts w:ascii="Lotus Linotype" w:hAnsi="Lotus Linotype" w:cs="Lotus Linotype" w:hint="cs"/>
          <w:sz w:val="28"/>
          <w:szCs w:val="28"/>
          <w:rtl/>
          <w:lang w:bidi="ar-LB"/>
        </w:rPr>
        <w:t xml:space="preserve">ففرق بين مثل خطاب "أكرم عالماً" وخطاب "لا تكرم الفاسق" فتقع المعارضة بينهما في مورد العالم الفاسق؛ لأنّ كلّاً من العنوانين عنوان أولي، عنوان العالم عنوان أولّي، عنوان الفاسق عنوان أولّي، ولكن في خطاب "صلّ ولا تغصب" العنوان المتعلّق للنهي عنوانٌ ثانويٌّ فيقدمه العرف على الترخيص الثابت في التطبيق في خطاب الواجب البدلي الذي تعلّق بعنوانٍ أولّيّ، وهذا هو المتفاهم عرفاً في غير هذا المقام. </w:t>
      </w:r>
    </w:p>
    <w:p w:rsidR="005A1E2E" w:rsidRDefault="005A1E2E"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A5AA7">
        <w:rPr>
          <w:rFonts w:ascii="Lotus Linotype" w:hAnsi="Lotus Linotype" w:cs="Lotus Linotype" w:hint="cs"/>
          <w:sz w:val="28"/>
          <w:szCs w:val="28"/>
          <w:rtl/>
          <w:lang w:bidi="ar-LB"/>
        </w:rPr>
        <w:t xml:space="preserve">فإذا ورد في خطابٍ "أكل الجبن حلال" وورد في خطاب آخر "أكل ما يضرّ بالبدن حرام"، فالعرف يوفّق بينهما ويجمع بينهما ويقدّم خطاب النهي عن أكل ما يضرّ </w:t>
      </w:r>
      <w:r w:rsidR="00A73B21">
        <w:rPr>
          <w:rFonts w:ascii="Lotus Linotype" w:hAnsi="Lotus Linotype" w:cs="Lotus Linotype" w:hint="cs"/>
          <w:sz w:val="28"/>
          <w:szCs w:val="28"/>
          <w:rtl/>
          <w:lang w:bidi="ar-LB"/>
        </w:rPr>
        <w:t xml:space="preserve">بالبدن على خطاب إباحة أكل الجبن؛ لأنّ الخطاب الدالّ على حليّة أكل الجبن خطابٌ أولّيٌّ وخطاب تحريم ما يضرّ بالبدن خطابٌ ثانويٌّ تعلّق بعنوانٍ ثانوي. </w:t>
      </w:r>
      <w:r>
        <w:rPr>
          <w:rFonts w:ascii="Lotus Linotype" w:hAnsi="Lotus Linotype" w:cs="Lotus Linotype" w:hint="cs"/>
          <w:sz w:val="28"/>
          <w:szCs w:val="28"/>
          <w:rtl/>
          <w:lang w:bidi="ar-LB"/>
        </w:rPr>
        <w:t xml:space="preserve"> </w:t>
      </w:r>
    </w:p>
    <w:p w:rsidR="005A1E2E" w:rsidRDefault="005A1E2E"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73B21">
        <w:rPr>
          <w:rFonts w:ascii="Lotus Linotype" w:hAnsi="Lotus Linotype" w:cs="Lotus Linotype" w:hint="cs"/>
          <w:sz w:val="28"/>
          <w:szCs w:val="28"/>
          <w:rtl/>
          <w:lang w:bidi="ar-LB"/>
        </w:rPr>
        <w:t xml:space="preserve">وهكذا في مثال "صلّ ولا تغصب" فإنّ الغصب عنوان ثانوي، يعني ليس عنوان الغصب منتزعاً عن ذات الفعل، ذات الفعل هو </w:t>
      </w:r>
      <w:r w:rsidR="005D7A5B">
        <w:rPr>
          <w:rFonts w:ascii="Lotus Linotype" w:hAnsi="Lotus Linotype" w:cs="Lotus Linotype" w:hint="cs"/>
          <w:sz w:val="28"/>
          <w:szCs w:val="28"/>
          <w:rtl/>
          <w:lang w:bidi="ar-LB"/>
        </w:rPr>
        <w:t>البقاء في ملك الغير، السجو</w:t>
      </w:r>
      <w:r>
        <w:rPr>
          <w:rFonts w:ascii="Lotus Linotype" w:hAnsi="Lotus Linotype" w:cs="Lotus Linotype" w:hint="cs"/>
          <w:sz w:val="28"/>
          <w:szCs w:val="28"/>
          <w:rtl/>
          <w:lang w:bidi="ar-LB"/>
        </w:rPr>
        <w:t>د في ملك الغير، هذا عنوان أولّي.</w:t>
      </w:r>
      <w:r w:rsidR="005D7A5B">
        <w:rPr>
          <w:rFonts w:ascii="Lotus Linotype" w:hAnsi="Lotus Linotype" w:cs="Lotus Linotype" w:hint="cs"/>
          <w:sz w:val="28"/>
          <w:szCs w:val="28"/>
          <w:rtl/>
          <w:lang w:bidi="ar-LB"/>
        </w:rPr>
        <w:t xml:space="preserve"> هذا سجودٌ</w:t>
      </w:r>
      <w:r>
        <w:rPr>
          <w:rFonts w:ascii="Lotus Linotype" w:hAnsi="Lotus Linotype" w:cs="Lotus Linotype" w:hint="cs"/>
          <w:sz w:val="28"/>
          <w:szCs w:val="28"/>
          <w:rtl/>
          <w:lang w:bidi="ar-LB"/>
        </w:rPr>
        <w:t>،</w:t>
      </w:r>
      <w:r w:rsidR="005D7A5B">
        <w:rPr>
          <w:rFonts w:ascii="Lotus Linotype" w:hAnsi="Lotus Linotype" w:cs="Lotus Linotype" w:hint="cs"/>
          <w:sz w:val="28"/>
          <w:szCs w:val="28"/>
          <w:rtl/>
          <w:lang w:bidi="ar-LB"/>
        </w:rPr>
        <w:t xml:space="preserve"> مكثٌ</w:t>
      </w:r>
      <w:r>
        <w:rPr>
          <w:rFonts w:ascii="Lotus Linotype" w:hAnsi="Lotus Linotype" w:cs="Lotus Linotype" w:hint="cs"/>
          <w:sz w:val="28"/>
          <w:szCs w:val="28"/>
          <w:rtl/>
          <w:lang w:bidi="ar-LB"/>
        </w:rPr>
        <w:t>،</w:t>
      </w:r>
      <w:r w:rsidR="005D7A5B">
        <w:rPr>
          <w:rFonts w:ascii="Lotus Linotype" w:hAnsi="Lotus Linotype" w:cs="Lotus Linotype" w:hint="cs"/>
          <w:sz w:val="28"/>
          <w:szCs w:val="28"/>
          <w:rtl/>
          <w:lang w:bidi="ar-LB"/>
        </w:rPr>
        <w:t xml:space="preserve"> بقاءٌ، ذاك شربٌ، إذا شرب </w:t>
      </w:r>
      <w:r>
        <w:rPr>
          <w:rFonts w:ascii="Lotus Linotype" w:hAnsi="Lotus Linotype" w:cs="Lotus Linotype" w:hint="cs"/>
          <w:sz w:val="28"/>
          <w:szCs w:val="28"/>
          <w:rtl/>
          <w:lang w:bidi="ar-LB"/>
        </w:rPr>
        <w:t>الماء أو غسلٌ إذا غسل به وجهه.</w:t>
      </w:r>
      <w:r w:rsidR="005D7A5B">
        <w:rPr>
          <w:rFonts w:ascii="Lotus Linotype" w:hAnsi="Lotus Linotype" w:cs="Lotus Linotype" w:hint="cs"/>
          <w:sz w:val="28"/>
          <w:szCs w:val="28"/>
          <w:rtl/>
          <w:lang w:bidi="ar-LB"/>
        </w:rPr>
        <w:t xml:space="preserve"> ولكن إذا قيس هذا التصرّف بشيءٍ آخر وهو كونه تصرّفاً في مال الغير بغير إذنه اُنتزع منه عنوان الغصب، ولأجل ذلك يُسمّى عنوان الغصب بالعنوان الثانو</w:t>
      </w:r>
      <w:r w:rsidR="009C3E9E">
        <w:rPr>
          <w:rFonts w:ascii="Lotus Linotype" w:hAnsi="Lotus Linotype" w:cs="Lotus Linotype" w:hint="cs"/>
          <w:sz w:val="28"/>
          <w:szCs w:val="28"/>
          <w:rtl/>
          <w:lang w:bidi="ar-LB"/>
        </w:rPr>
        <w:t>ي، وكلّما تعلّق النهي بعنوانٍ ثانوي فيقدّمه العرف على الترخيص الثابت بالعنوان الأولّي، سواءً كان الترخيص مدلولاً مطابقياً للخطاب كقوله "أكل الجبن حلال" أو مدلولاً التزاميّاً للخطاب كقوله "صلّ" أي يجوز لك اختيار كلّ فردٍ م</w:t>
      </w:r>
      <w:r w:rsidR="00CF44DA">
        <w:rPr>
          <w:rFonts w:ascii="Lotus Linotype" w:hAnsi="Lotus Linotype" w:cs="Lotus Linotype" w:hint="cs"/>
          <w:sz w:val="28"/>
          <w:szCs w:val="28"/>
          <w:rtl/>
          <w:lang w:bidi="ar-LB"/>
        </w:rPr>
        <w:t xml:space="preserve">ن أفراد الصلاة في مقام الامتثال، بل يمكننا أن ندّعي أنّ خطاب  الترخيص في العنوان الأولي لا نظر له إلى العناوين الثانوية، حينما يقول المولى "أكل الجبن حلال" أصلاً لا ظهور له في كونه حلالاً حتى ولو كان مضرّاً بالبدن، حتى لو كان مغصوباً. </w:t>
      </w:r>
    </w:p>
    <w:p w:rsidR="00CF44DA" w:rsidRDefault="005A1E2E"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CF44DA">
        <w:rPr>
          <w:rFonts w:ascii="Lotus Linotype" w:hAnsi="Lotus Linotype" w:cs="Lotus Linotype" w:hint="cs"/>
          <w:sz w:val="28"/>
          <w:szCs w:val="28"/>
          <w:rtl/>
          <w:lang w:bidi="ar-LB"/>
        </w:rPr>
        <w:t xml:space="preserve">العرف لا يفهم من خطاب العنوان الأولّي الترخيصي حكم طرو العنوان الثانوي، لا. فلا يفهم العرف من قوله  مثلا "أكل الجبن حلال" أنّه لو كان أكل الجبن مضرّاً بالبدن أو مصداقاً لغصب مال الغير أو مصداقاً لإيذاء الأبوين فلا يحرم، لا. </w:t>
      </w:r>
    </w:p>
    <w:p w:rsidR="004A71FC" w:rsidRDefault="004A71FC"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CF44DA">
        <w:rPr>
          <w:rFonts w:ascii="Lotus Linotype" w:hAnsi="Lotus Linotype" w:cs="Lotus Linotype" w:hint="cs"/>
          <w:sz w:val="28"/>
          <w:szCs w:val="28"/>
          <w:rtl/>
          <w:lang w:bidi="ar-LB"/>
        </w:rPr>
        <w:t>فبناءً على الصحيح وخلافاً لما ذكره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CF44DA">
        <w:rPr>
          <w:rFonts w:ascii="Lotus Linotype" w:hAnsi="Lotus Linotype" w:cs="Lotus Linotype" w:hint="cs"/>
          <w:sz w:val="28"/>
          <w:szCs w:val="28"/>
          <w:rtl/>
          <w:lang w:bidi="ar-LB"/>
        </w:rPr>
        <w:t xml:space="preserve"> أصلاً لا منافاة بين خطاب الترخيص بالعنوان الأولّي مع خطاب الإلزام بالعنوان الثانوي ولو بدواً حتى يجمع العرف بينهما، فالفرق بين ما نقول وبين ما قاله السيد الخوئي</w:t>
      </w:r>
      <w:r>
        <w:rPr>
          <w:rFonts w:ascii="Lotus Linotype" w:hAnsi="Lotus Linotype" w:cs="TAHER" w:hint="cs"/>
          <w:sz w:val="28"/>
          <w:szCs w:val="28"/>
          <w:rtl/>
          <w:lang w:bidi="ar-LB"/>
        </w:rPr>
        <w:t>&amp;</w:t>
      </w:r>
      <w:r>
        <w:rPr>
          <w:rFonts w:ascii="Lotus Linotype" w:hAnsi="Lotus Linotype" w:cs="Lotus Linotype" w:hint="cs"/>
          <w:sz w:val="28"/>
          <w:szCs w:val="28"/>
          <w:rtl/>
          <w:lang w:bidi="ar-LB"/>
        </w:rPr>
        <w:t>:</w:t>
      </w:r>
      <w:r w:rsidR="00CF44DA">
        <w:rPr>
          <w:rFonts w:ascii="Lotus Linotype" w:hAnsi="Lotus Linotype" w:cs="Lotus Linotype" w:hint="cs"/>
          <w:sz w:val="28"/>
          <w:szCs w:val="28"/>
          <w:rtl/>
          <w:lang w:bidi="ar-LB"/>
        </w:rPr>
        <w:t xml:space="preserve"> </w:t>
      </w:r>
    </w:p>
    <w:p w:rsidR="00CF44DA" w:rsidRPr="004A71FC" w:rsidRDefault="004A71FC" w:rsidP="004A71FC">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CF44DA">
        <w:rPr>
          <w:rFonts w:ascii="Lotus Linotype" w:hAnsi="Lotus Linotype" w:cs="Lotus Linotype" w:hint="cs"/>
          <w:sz w:val="28"/>
          <w:szCs w:val="28"/>
          <w:rtl/>
          <w:lang w:bidi="ar-LB"/>
        </w:rPr>
        <w:t>أنّ السيد الخوئي إذا شكّ في حكم عنوانٍ ثانوي "إيذاء الوالدين حرام" إيذاء الجد وال</w:t>
      </w:r>
      <w:r>
        <w:rPr>
          <w:rFonts w:ascii="Lotus Linotype" w:hAnsi="Lotus Linotype" w:cs="Lotus Linotype" w:hint="cs"/>
          <w:sz w:val="28"/>
          <w:szCs w:val="28"/>
          <w:rtl/>
          <w:lang w:bidi="ar-LB"/>
        </w:rPr>
        <w:t>جد</w:t>
      </w:r>
      <w:r w:rsidR="00CF44DA">
        <w:rPr>
          <w:rFonts w:ascii="Lotus Linotype" w:hAnsi="Lotus Linotype" w:cs="Lotus Linotype" w:hint="cs"/>
          <w:sz w:val="28"/>
          <w:szCs w:val="28"/>
          <w:rtl/>
          <w:lang w:bidi="ar-LB"/>
        </w:rPr>
        <w:t xml:space="preserve">ة ماذا؟ ليس معلوماً حلال أم حرام، إيذاء الأخ الأكبر، إيذاء الزوج حلال أم حرام؟ </w:t>
      </w:r>
      <w:r w:rsidR="00CF44DA" w:rsidRPr="004A71FC">
        <w:rPr>
          <w:rFonts w:ascii="Lotus Linotype" w:hAnsi="Lotus Linotype" w:cs="Lotus Linotype" w:hint="cs"/>
          <w:sz w:val="28"/>
          <w:szCs w:val="28"/>
          <w:rtl/>
          <w:lang w:bidi="ar-LB"/>
        </w:rPr>
        <w:t>إذا شككنا فيه فهذا عنوان ثانوي، فإذا كان المكلّف يريد أن يأكل الجبنة ويكون أكله للجبن مصداقاً لإيذاء الجدّ أو الزوجة أو الزوج، فيشك أنّ هذا</w:t>
      </w:r>
      <w:r w:rsidR="00824EAF" w:rsidRPr="004A71FC">
        <w:rPr>
          <w:rFonts w:ascii="Lotus Linotype" w:hAnsi="Lotus Linotype" w:cs="Lotus Linotype" w:hint="cs"/>
          <w:sz w:val="28"/>
          <w:szCs w:val="28"/>
          <w:rtl/>
          <w:lang w:bidi="ar-LB"/>
        </w:rPr>
        <w:t xml:space="preserve"> العنوان الثانوي حرام أو حلال. </w:t>
      </w:r>
    </w:p>
    <w:p w:rsidR="00824EAF" w:rsidRDefault="004A71FC"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24EAF">
        <w:rPr>
          <w:rFonts w:ascii="Lotus Linotype" w:hAnsi="Lotus Linotype" w:cs="Lotus Linotype" w:hint="cs"/>
          <w:sz w:val="28"/>
          <w:szCs w:val="28"/>
          <w:rtl/>
          <w:lang w:bidi="ar-LB"/>
        </w:rPr>
        <w:t>فبناء على ما يقوله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824EAF">
        <w:rPr>
          <w:rFonts w:ascii="Lotus Linotype" w:hAnsi="Lotus Linotype" w:cs="Lotus Linotype" w:hint="cs"/>
          <w:sz w:val="28"/>
          <w:szCs w:val="28"/>
          <w:rtl/>
          <w:lang w:bidi="ar-LB"/>
        </w:rPr>
        <w:t xml:space="preserve"> يمكن التمسك بإطلاق قوله "أكل الجبن حلال" لإثبات أنّ هذا الأكل للجبن حلالٌ حتى مع طرو هذا العنوان الثانوي كإيذاء الجد، بينما أنّه</w:t>
      </w:r>
      <w:r w:rsidR="00AD3502">
        <w:rPr>
          <w:rFonts w:ascii="Lotus Linotype" w:hAnsi="Lotus Linotype" w:cs="Lotus Linotype" w:hint="cs"/>
          <w:sz w:val="28"/>
          <w:szCs w:val="28"/>
          <w:rtl/>
          <w:lang w:bidi="ar-LB"/>
        </w:rPr>
        <w:t xml:space="preserve"> بناء</w:t>
      </w:r>
      <w:r w:rsidR="00824EAF">
        <w:rPr>
          <w:rFonts w:ascii="Lotus Linotype" w:hAnsi="Lotus Linotype" w:cs="Lotus Linotype" w:hint="cs"/>
          <w:sz w:val="28"/>
          <w:szCs w:val="28"/>
          <w:rtl/>
          <w:lang w:bidi="ar-LB"/>
        </w:rPr>
        <w:t xml:space="preserve"> ما قلناه نشكُ في الحلّيّة الفعليّة لأكل الجبن هذا الذي صار مصداقاً لإيذاء الجد، فلعلّ إيذاء الجد حرام كإيذاء الأبوين. فلا بدّ أن نجري الأصل العملي ال</w:t>
      </w:r>
      <w:r>
        <w:rPr>
          <w:rFonts w:ascii="Lotus Linotype" w:hAnsi="Lotus Linotype" w:cs="Lotus Linotype" w:hint="cs"/>
          <w:sz w:val="28"/>
          <w:szCs w:val="28"/>
          <w:rtl/>
          <w:lang w:bidi="ar-LB"/>
        </w:rPr>
        <w:t>نافي والمؤمن لحرمة إيذاء الجد.</w:t>
      </w:r>
    </w:p>
    <w:p w:rsidR="00824EAF" w:rsidRDefault="00824EAF"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فإذاً نحن قويّنا هذا الوجه الثاني بناءً على الامتناع في اجتماع الأمر والنهي فيما إذا كان النهي متعلّقاً بعنوانٍ ثانويّ.</w:t>
      </w:r>
    </w:p>
    <w:p w:rsidR="00FC3401" w:rsidRDefault="00FC3401" w:rsidP="00CF44DA">
      <w:pPr>
        <w:pStyle w:val="ListParagraph"/>
        <w:ind w:left="360"/>
        <w:jc w:val="both"/>
        <w:rPr>
          <w:rFonts w:ascii="Lotus Linotype" w:hAnsi="Lotus Linotype" w:cs="Lotus Linotype"/>
          <w:sz w:val="28"/>
          <w:szCs w:val="28"/>
          <w:rtl/>
          <w:lang w:bidi="ar-LB"/>
        </w:rPr>
      </w:pPr>
    </w:p>
    <w:p w:rsidR="00FC3401" w:rsidRPr="004A71FC" w:rsidRDefault="00FC3401" w:rsidP="004A71FC">
      <w:pPr>
        <w:pStyle w:val="ListParagraph"/>
        <w:numPr>
          <w:ilvl w:val="0"/>
          <w:numId w:val="1"/>
        </w:numPr>
        <w:jc w:val="both"/>
        <w:rPr>
          <w:rFonts w:ascii="Lotus Linotype" w:hAnsi="Lotus Linotype" w:cs="Lotus Linotype"/>
          <w:b/>
          <w:bCs/>
          <w:color w:val="FF0000"/>
          <w:sz w:val="28"/>
          <w:szCs w:val="28"/>
          <w:rtl/>
          <w:lang w:bidi="ar-LB"/>
        </w:rPr>
      </w:pPr>
      <w:r w:rsidRPr="004A71FC">
        <w:rPr>
          <w:rFonts w:ascii="Lotus Linotype" w:hAnsi="Lotus Linotype" w:cs="Lotus Linotype" w:hint="cs"/>
          <w:b/>
          <w:bCs/>
          <w:color w:val="FF0000"/>
          <w:sz w:val="28"/>
          <w:szCs w:val="28"/>
          <w:rtl/>
          <w:lang w:bidi="ar-LB"/>
        </w:rPr>
        <w:t>الوجه الثالث</w:t>
      </w:r>
      <w:r w:rsidR="004A71FC">
        <w:rPr>
          <w:rFonts w:ascii="Lotus Linotype" w:hAnsi="Lotus Linotype" w:cs="Lotus Linotype" w:hint="cs"/>
          <w:b/>
          <w:bCs/>
          <w:color w:val="FF0000"/>
          <w:sz w:val="28"/>
          <w:szCs w:val="28"/>
          <w:rtl/>
          <w:lang w:bidi="ar-LB"/>
        </w:rPr>
        <w:t xml:space="preserve">: </w:t>
      </w:r>
      <w:r w:rsidRPr="004A71FC">
        <w:rPr>
          <w:rFonts w:ascii="Lotus Linotype" w:hAnsi="Lotus Linotype" w:cs="Lotus Linotype" w:hint="cs"/>
          <w:sz w:val="28"/>
          <w:szCs w:val="28"/>
          <w:rtl/>
          <w:lang w:bidi="ar-LB"/>
        </w:rPr>
        <w:t xml:space="preserve">ما يُقال من أنّنا بالاستقراء في الفقه عرفنا أنّ الشارع رجّح جانب الحرمة على جانب الوجوب، فإذا وقع التزاحم بين الحرمة والوجوب </w:t>
      </w:r>
      <w:r w:rsidR="00604CDA" w:rsidRPr="004A71FC">
        <w:rPr>
          <w:rFonts w:ascii="Lotus Linotype" w:hAnsi="Lotus Linotype" w:cs="Lotus Linotype" w:hint="cs"/>
          <w:sz w:val="28"/>
          <w:szCs w:val="28"/>
          <w:rtl/>
          <w:lang w:bidi="ar-LB"/>
        </w:rPr>
        <w:t>فلا بدّ من تقديم الحرمة ورعايتها. فإذا صار تزاحم بين وجوب الصلاة وحرمة الغصب فبالاستقراء عرفنا أنّ الشارع ر</w:t>
      </w:r>
      <w:r w:rsidR="007A41C7" w:rsidRPr="004A71FC">
        <w:rPr>
          <w:rFonts w:ascii="Lotus Linotype" w:hAnsi="Lotus Linotype" w:cs="Lotus Linotype" w:hint="cs"/>
          <w:sz w:val="28"/>
          <w:szCs w:val="28"/>
          <w:rtl/>
          <w:lang w:bidi="ar-LB"/>
        </w:rPr>
        <w:t>جّح كفّة الحرمة على كفّة الوجوب وألزمنا برعاية جانب الحرمة، كيف حصل الاستقراء؟</w:t>
      </w:r>
    </w:p>
    <w:p w:rsidR="007A41C7" w:rsidRDefault="007A41C7"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ذكروا مثالين: المثال الأول في استظهار المرأة الحائض، إذا كانت عادة المرأة سبعة أيام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مثلاً- واستمرّ دمها بعد سبعة أيام، فإن كانت تعلم بأنّ الدم سوف ينقطع قبل مضي عشرة أيام فكلّه حيض وإذا كانت تعلم بأنّ الدم سوف يستمر إلى أكثر من عشرة أيام فما يزيد على أيام عادتها يكون استحاضة، ولكن إذا شك</w:t>
      </w:r>
      <w:r w:rsidR="007747CF">
        <w:rPr>
          <w:rFonts w:ascii="Lotus Linotype" w:hAnsi="Lotus Linotype" w:cs="Lotus Linotype" w:hint="cs"/>
          <w:sz w:val="28"/>
          <w:szCs w:val="28"/>
          <w:rtl/>
          <w:lang w:bidi="ar-LB"/>
        </w:rPr>
        <w:t>ّ</w:t>
      </w:r>
      <w:r>
        <w:rPr>
          <w:rFonts w:ascii="Lotus Linotype" w:hAnsi="Lotus Linotype" w:cs="Lotus Linotype" w:hint="cs"/>
          <w:sz w:val="28"/>
          <w:szCs w:val="28"/>
          <w:rtl/>
          <w:lang w:bidi="ar-LB"/>
        </w:rPr>
        <w:t>ت تقول لا أدري هل هذا الدم الذي زاد على سبعة أيام وهي أيام عادتي الوقتية والعددية، هل يستمر إلى أكثر من عشرة</w:t>
      </w:r>
      <w:r w:rsidR="004A71FC">
        <w:rPr>
          <w:rFonts w:ascii="Lotus Linotype" w:hAnsi="Lotus Linotype" w:cs="Lotus Linotype" w:hint="cs"/>
          <w:sz w:val="28"/>
          <w:szCs w:val="28"/>
          <w:rtl/>
          <w:lang w:bidi="ar-LB"/>
        </w:rPr>
        <w:t xml:space="preserve"> أيام أو لا؟ فأُمرت في الروايات</w:t>
      </w:r>
      <w:r>
        <w:rPr>
          <w:rFonts w:ascii="Lotus Linotype" w:hAnsi="Lotus Linotype" w:cs="Lotus Linotype" w:hint="cs"/>
          <w:sz w:val="28"/>
          <w:szCs w:val="28"/>
          <w:rtl/>
          <w:lang w:bidi="ar-LB"/>
        </w:rPr>
        <w:t xml:space="preserve"> بالاستظهار، تستظهر بيوم أو بيومين، </w:t>
      </w:r>
      <w:r w:rsidR="007747CF">
        <w:rPr>
          <w:rFonts w:ascii="Lotus Linotype" w:hAnsi="Lotus Linotype" w:cs="Lotus Linotype" w:hint="cs"/>
          <w:sz w:val="28"/>
          <w:szCs w:val="28"/>
          <w:rtl/>
          <w:lang w:bidi="ar-LB"/>
        </w:rPr>
        <w:t xml:space="preserve">أو ورد في بعض الروايات فلتحتط بيوم أو يومين. ما هو المقصود من الاستظهار والاحتياط؟ المقصود من ذلك ترك الصلاة لاحتمال حرمتها؛ حيث  </w:t>
      </w:r>
      <w:r w:rsidR="007747CF">
        <w:rPr>
          <w:rFonts w:ascii="Lotus Linotype" w:hAnsi="Lotus Linotype" w:cs="Lotus Linotype" w:hint="cs"/>
          <w:sz w:val="28"/>
          <w:szCs w:val="28"/>
          <w:rtl/>
          <w:lang w:bidi="ar-LB"/>
        </w:rPr>
        <w:lastRenderedPageBreak/>
        <w:t>تحتمل أنّها حائض فتحتمل حرمة الصلاة بينما أنّها تحتمل أنّها مستحاضة إذا استمر الدم إلى أكثر من عشرة أيام، وتجب الصلاة على المستحاضة لكن الشارع رجّح احتمال حرمة الصلاة عليها على احتمال وجوب الصلاة عليه</w:t>
      </w:r>
      <w:r w:rsidR="00AD3502">
        <w:rPr>
          <w:rFonts w:ascii="Lotus Linotype" w:hAnsi="Lotus Linotype" w:cs="Lotus Linotype" w:hint="cs"/>
          <w:sz w:val="28"/>
          <w:szCs w:val="28"/>
          <w:rtl/>
          <w:lang w:bidi="ar-LB"/>
        </w:rPr>
        <w:t>ا</w:t>
      </w:r>
      <w:r w:rsidR="007747CF">
        <w:rPr>
          <w:rFonts w:ascii="Lotus Linotype" w:hAnsi="Lotus Linotype" w:cs="Lotus Linotype" w:hint="cs"/>
          <w:sz w:val="28"/>
          <w:szCs w:val="28"/>
          <w:rtl/>
          <w:lang w:bidi="ar-LB"/>
        </w:rPr>
        <w:t xml:space="preserve"> لو كانت مستحاضةً.</w:t>
      </w:r>
    </w:p>
    <w:p w:rsidR="007747CF" w:rsidRDefault="007747CF"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المثال الثاني: من كان عنده ماءان، علم إجمالاً بأنّ أحدهما نجس، فورد في موثّقة عمّار "ي</w:t>
      </w:r>
      <w:r w:rsidR="008C54D8">
        <w:rPr>
          <w:rFonts w:ascii="Lotus Linotype" w:hAnsi="Lotus Linotype" w:cs="Lotus Linotype" w:hint="cs"/>
          <w:sz w:val="28"/>
          <w:szCs w:val="28"/>
          <w:rtl/>
          <w:lang w:bidi="ar-LB"/>
        </w:rPr>
        <w:t>ه</w:t>
      </w:r>
      <w:r>
        <w:rPr>
          <w:rFonts w:ascii="Lotus Linotype" w:hAnsi="Lotus Linotype" w:cs="Lotus Linotype" w:hint="cs"/>
          <w:sz w:val="28"/>
          <w:szCs w:val="28"/>
          <w:rtl/>
          <w:lang w:bidi="ar-LB"/>
        </w:rPr>
        <w:t xml:space="preserve">ريقهما </w:t>
      </w:r>
      <w:r w:rsidR="00AD3502">
        <w:rPr>
          <w:rFonts w:ascii="Lotus Linotype" w:hAnsi="Lotus Linotype" w:cs="Lotus Linotype" w:hint="cs"/>
          <w:sz w:val="28"/>
          <w:szCs w:val="28"/>
          <w:rtl/>
          <w:lang w:bidi="ar-LB"/>
        </w:rPr>
        <w:t>ويتيمم" فرجّح الشارع حرمة الوضوء</w:t>
      </w:r>
      <w:r>
        <w:rPr>
          <w:rFonts w:ascii="Lotus Linotype" w:hAnsi="Lotus Linotype" w:cs="Lotus Linotype" w:hint="cs"/>
          <w:sz w:val="28"/>
          <w:szCs w:val="28"/>
          <w:rtl/>
          <w:lang w:bidi="ar-LB"/>
        </w:rPr>
        <w:t xml:space="preserve"> بالماء النجس على وجوب الوضوء بالماء الطاهر</w:t>
      </w:r>
      <w:r w:rsidR="00A44D64">
        <w:rPr>
          <w:rFonts w:ascii="Lotus Linotype" w:hAnsi="Lotus Linotype" w:cs="Lotus Linotype" w:hint="cs"/>
          <w:sz w:val="28"/>
          <w:szCs w:val="28"/>
          <w:rtl/>
          <w:lang w:bidi="ar-LB"/>
        </w:rPr>
        <w:t xml:space="preserve"> ولم يعكس، فلم يقل توضأ من أحدهما ثمّ اغسل جسدك بالماء الآخر وتوضأ به أيضاً رعايةً لوجوب الوضوء بالماء الطاهر، لا. قال "ي</w:t>
      </w:r>
      <w:r w:rsidR="00AD3502">
        <w:rPr>
          <w:rFonts w:ascii="Lotus Linotype" w:hAnsi="Lotus Linotype" w:cs="Lotus Linotype" w:hint="cs"/>
          <w:sz w:val="28"/>
          <w:szCs w:val="28"/>
          <w:rtl/>
          <w:lang w:bidi="ar-LB"/>
        </w:rPr>
        <w:t>ه</w:t>
      </w:r>
      <w:r w:rsidR="00A44D64">
        <w:rPr>
          <w:rFonts w:ascii="Lotus Linotype" w:hAnsi="Lotus Linotype" w:cs="Lotus Linotype" w:hint="cs"/>
          <w:sz w:val="28"/>
          <w:szCs w:val="28"/>
          <w:rtl/>
          <w:lang w:bidi="ar-LB"/>
        </w:rPr>
        <w:t>ريقهما ويتيمم"</w:t>
      </w:r>
    </w:p>
    <w:p w:rsidR="00A44D64" w:rsidRDefault="00A44D64"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صاحب الكفاية يقول: من</w:t>
      </w:r>
      <w:r w:rsidR="00346861">
        <w:rPr>
          <w:rFonts w:ascii="Lotus Linotype" w:hAnsi="Lotus Linotype" w:cs="Lotus Linotype" w:hint="cs"/>
          <w:sz w:val="28"/>
          <w:szCs w:val="28"/>
          <w:rtl/>
          <w:lang w:bidi="ar-LB"/>
        </w:rPr>
        <w:t xml:space="preserve"> خلال مثالين حصل لكم الاستقراء وتطبقون على المقام وترجّحون جانب النهي على جانب الأمر في مورد الاجتماع؟ على أساس مثالين! هذا ليس استقراءً ولو كان استقراءً لم يفد ولم يكن حجّة ما لم يحصل منه القطع.</w:t>
      </w:r>
    </w:p>
    <w:p w:rsidR="004A71FC" w:rsidRDefault="004A71FC"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9595D">
        <w:rPr>
          <w:rFonts w:ascii="Lotus Linotype" w:hAnsi="Lotus Linotype" w:cs="Lotus Linotype" w:hint="cs"/>
          <w:sz w:val="28"/>
          <w:szCs w:val="28"/>
          <w:rtl/>
          <w:lang w:bidi="ar-LB"/>
        </w:rPr>
        <w:t xml:space="preserve">ثمّ دخل بعد ذلك في بحثين فقهيين، فقال أمّا بالنسبة إلى الاستظهار فإن قلنا بأنّ حرمة الصلاة على الحائض تشريعيّةٌ </w:t>
      </w:r>
      <w:r w:rsidR="0039595D">
        <w:rPr>
          <w:rFonts w:ascii="Times New Roman" w:hAnsi="Times New Roman" w:cs="Times New Roman" w:hint="cs"/>
          <w:sz w:val="28"/>
          <w:szCs w:val="28"/>
          <w:rtl/>
          <w:lang w:bidi="ar-LB"/>
        </w:rPr>
        <w:t>–</w:t>
      </w:r>
      <w:r w:rsidR="0039595D">
        <w:rPr>
          <w:rFonts w:ascii="Lotus Linotype" w:hAnsi="Lotus Linotype" w:cs="Lotus Linotype" w:hint="cs"/>
          <w:sz w:val="28"/>
          <w:szCs w:val="28"/>
          <w:rtl/>
          <w:lang w:bidi="ar-LB"/>
        </w:rPr>
        <w:t>يعني يجوز لها أن تصلّي من باب الاحتياط- فإذاً ليس هناك حرمةٌ ذاتيّة وتكليفيّة للصلاة حتى نقول بأنّ الشارع رجّح احتمال حرمة الصلاة في أيام الاستظهار</w:t>
      </w:r>
      <w:r w:rsidR="000F0BD1">
        <w:rPr>
          <w:rFonts w:ascii="Lotus Linotype" w:hAnsi="Lotus Linotype" w:cs="Lotus Linotype" w:hint="cs"/>
          <w:sz w:val="28"/>
          <w:szCs w:val="28"/>
          <w:rtl/>
          <w:lang w:bidi="ar-LB"/>
        </w:rPr>
        <w:t>. نعم، لو قلنا بأنّ حرمة الصلاة على الحائض حرمة تكليفيّة وذاتيّة فلا تتمكن من الاحتياط، نعم في هذا المثال الشارع رجّح احتمال الحرمة التكليفيّة على احتمال الوجوب، في هذا المثال.</w:t>
      </w:r>
      <w:r w:rsidR="00525003">
        <w:rPr>
          <w:rFonts w:ascii="Lotus Linotype" w:hAnsi="Lotus Linotype" w:cs="Lotus Linotype" w:hint="cs"/>
          <w:sz w:val="28"/>
          <w:szCs w:val="28"/>
          <w:rtl/>
          <w:lang w:bidi="ar-LB"/>
        </w:rPr>
        <w:t xml:space="preserve"> </w:t>
      </w:r>
    </w:p>
    <w:p w:rsidR="004A71FC" w:rsidRDefault="004A71FC" w:rsidP="00CF44DA">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25003">
        <w:rPr>
          <w:rFonts w:ascii="Lotus Linotype" w:hAnsi="Lotus Linotype" w:cs="Lotus Linotype" w:hint="cs"/>
          <w:sz w:val="28"/>
          <w:szCs w:val="28"/>
          <w:rtl/>
          <w:lang w:bidi="ar-LB"/>
        </w:rPr>
        <w:t>وظاهر المشهور أنّهم يرون أنّ الصلاة على الحائض تحرم بحرمة تشريعيّة لا بحرمةٍ ذاتيّة، كما عليه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525003">
        <w:rPr>
          <w:rFonts w:ascii="Lotus Linotype" w:hAnsi="Lotus Linotype" w:cs="Lotus Linotype" w:hint="cs"/>
          <w:sz w:val="28"/>
          <w:szCs w:val="28"/>
          <w:rtl/>
          <w:lang w:bidi="ar-LB"/>
        </w:rPr>
        <w:t xml:space="preserve"> والسيد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525003">
        <w:rPr>
          <w:rFonts w:ascii="Lotus Linotype" w:hAnsi="Lotus Linotype" w:cs="Lotus Linotype" w:hint="cs"/>
          <w:sz w:val="28"/>
          <w:szCs w:val="28"/>
          <w:rtl/>
          <w:lang w:bidi="ar-LB"/>
        </w:rPr>
        <w:t>، ولأجل ذلك</w:t>
      </w:r>
      <w:r w:rsidR="00463C98">
        <w:rPr>
          <w:rFonts w:ascii="Lotus Linotype" w:hAnsi="Lotus Linotype" w:cs="Lotus Linotype" w:hint="cs"/>
          <w:sz w:val="28"/>
          <w:szCs w:val="28"/>
          <w:rtl/>
          <w:lang w:bidi="ar-LB"/>
        </w:rPr>
        <w:t xml:space="preserve"> 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463C98">
        <w:rPr>
          <w:rFonts w:ascii="Lotus Linotype" w:hAnsi="Lotus Linotype" w:cs="Lotus Linotype" w:hint="cs"/>
          <w:sz w:val="28"/>
          <w:szCs w:val="28"/>
          <w:rtl/>
          <w:lang w:bidi="ar-LB"/>
        </w:rPr>
        <w:t xml:space="preserve"> في النقاء المتخلل يحتاط بالإت</w:t>
      </w:r>
      <w:r w:rsidR="00513D64">
        <w:rPr>
          <w:rFonts w:ascii="Lotus Linotype" w:hAnsi="Lotus Linotype" w:cs="Lotus Linotype" w:hint="cs"/>
          <w:sz w:val="28"/>
          <w:szCs w:val="28"/>
          <w:rtl/>
          <w:lang w:bidi="ar-LB"/>
        </w:rPr>
        <w:t>يان بالصلاة وترك محرّمات الحائض؛ لأنّه يرى أنّ الصلاة على الحائض لا تحرم ذاتاً وتكليفاً، تحرم تشريعاً وهذه المرأة التي تريد أن تحتاط لا ترتكب أيّ حرمةٍ تشريعية؛ لأنّها تقصد الاحتياط وأمّا مثال المائين المشتبهين فنتكل</w:t>
      </w:r>
      <w:r>
        <w:rPr>
          <w:rFonts w:ascii="Lotus Linotype" w:hAnsi="Lotus Linotype" w:cs="Lotus Linotype" w:hint="cs"/>
          <w:sz w:val="28"/>
          <w:szCs w:val="28"/>
          <w:rtl/>
          <w:lang w:bidi="ar-LB"/>
        </w:rPr>
        <w:t>م عنه في ليلة الأحد إن شاء الله.</w:t>
      </w:r>
    </w:p>
    <w:p w:rsidR="0039595D" w:rsidRPr="00CF44DA" w:rsidRDefault="004A71FC" w:rsidP="004A71FC">
      <w:pPr>
        <w:pStyle w:val="ListParagraph"/>
        <w:ind w:left="360"/>
        <w:jc w:val="right"/>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513D64">
        <w:rPr>
          <w:rFonts w:ascii="Lotus Linotype" w:hAnsi="Lotus Linotype" w:cs="Lotus Linotype" w:hint="cs"/>
          <w:sz w:val="28"/>
          <w:szCs w:val="28"/>
          <w:rtl/>
          <w:lang w:bidi="ar-LB"/>
        </w:rPr>
        <w:t xml:space="preserve"> والحمد لله ربّ العالمين.</w:t>
      </w:r>
      <w:bookmarkEnd w:id="0"/>
    </w:p>
    <w:sectPr w:rsidR="0039595D" w:rsidRPr="00CF44DA"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10" w:rsidRDefault="00644210" w:rsidP="009A07C2">
      <w:pPr>
        <w:spacing w:after="0" w:line="240" w:lineRule="auto"/>
      </w:pPr>
      <w:r>
        <w:separator/>
      </w:r>
    </w:p>
  </w:endnote>
  <w:endnote w:type="continuationSeparator" w:id="0">
    <w:p w:rsidR="00644210" w:rsidRDefault="00644210" w:rsidP="009A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07396062"/>
      <w:docPartObj>
        <w:docPartGallery w:val="Page Numbers (Bottom of Page)"/>
        <w:docPartUnique/>
      </w:docPartObj>
    </w:sdtPr>
    <w:sdtEndPr/>
    <w:sdtContent>
      <w:p w:rsidR="009A07C2" w:rsidRDefault="009A07C2">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6E601DB"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9A07C2" w:rsidRDefault="009A07C2">
        <w:pPr>
          <w:pStyle w:val="Footer"/>
          <w:jc w:val="center"/>
        </w:pPr>
        <w:r>
          <w:fldChar w:fldCharType="begin"/>
        </w:r>
        <w:r>
          <w:instrText xml:space="preserve"> PAGE    \* MERGEFORMAT </w:instrText>
        </w:r>
        <w:r>
          <w:fldChar w:fldCharType="separate"/>
        </w:r>
        <w:r w:rsidR="008C54D8">
          <w:rPr>
            <w:noProof/>
            <w:rtl/>
          </w:rPr>
          <w:t>6</w:t>
        </w:r>
        <w:r>
          <w:rPr>
            <w:noProof/>
          </w:rPr>
          <w:fldChar w:fldCharType="end"/>
        </w:r>
      </w:p>
    </w:sdtContent>
  </w:sdt>
  <w:p w:rsidR="009A07C2" w:rsidRDefault="009A07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10" w:rsidRDefault="00644210" w:rsidP="009A07C2">
      <w:pPr>
        <w:spacing w:after="0" w:line="240" w:lineRule="auto"/>
      </w:pPr>
      <w:r>
        <w:separator/>
      </w:r>
    </w:p>
  </w:footnote>
  <w:footnote w:type="continuationSeparator" w:id="0">
    <w:p w:rsidR="00644210" w:rsidRDefault="00644210" w:rsidP="009A0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61D"/>
    <w:multiLevelType w:val="hybridMultilevel"/>
    <w:tmpl w:val="EBE41E1A"/>
    <w:lvl w:ilvl="0" w:tplc="408A60A4">
      <w:start w:val="1"/>
      <w:numFmt w:val="arabicAlpha"/>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3F54ADE"/>
    <w:multiLevelType w:val="hybridMultilevel"/>
    <w:tmpl w:val="05C25428"/>
    <w:lvl w:ilvl="0" w:tplc="63B8F3C6">
      <w:start w:val="1"/>
      <w:numFmt w:val="arabicAbjad"/>
      <w:lvlText w:val="%1)"/>
      <w:lvlJc w:val="left"/>
      <w:pPr>
        <w:ind w:left="600" w:hanging="36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4F4663DB"/>
    <w:multiLevelType w:val="hybridMultilevel"/>
    <w:tmpl w:val="6CAEDA64"/>
    <w:lvl w:ilvl="0" w:tplc="DA06B806">
      <w:start w:val="1"/>
      <w:numFmt w:val="decimal"/>
      <w:lvlText w:val="%1."/>
      <w:lvlJc w:val="left"/>
      <w:pPr>
        <w:ind w:left="360" w:hanging="360"/>
      </w:pPr>
      <w:rPr>
        <w:rFonts w:hint="default"/>
        <w:color w:val="FF0000"/>
        <w:lang w:bidi="ar-L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CE"/>
    <w:rsid w:val="0002310F"/>
    <w:rsid w:val="000F0BD1"/>
    <w:rsid w:val="00261211"/>
    <w:rsid w:val="00346861"/>
    <w:rsid w:val="0039595D"/>
    <w:rsid w:val="00452D5A"/>
    <w:rsid w:val="00463C98"/>
    <w:rsid w:val="004A71FC"/>
    <w:rsid w:val="004B7340"/>
    <w:rsid w:val="004D761A"/>
    <w:rsid w:val="00511F56"/>
    <w:rsid w:val="00513D64"/>
    <w:rsid w:val="00525003"/>
    <w:rsid w:val="005A1E2E"/>
    <w:rsid w:val="005D7A5B"/>
    <w:rsid w:val="00604CDA"/>
    <w:rsid w:val="00625DDA"/>
    <w:rsid w:val="00644210"/>
    <w:rsid w:val="00665352"/>
    <w:rsid w:val="006D05FB"/>
    <w:rsid w:val="006E2E60"/>
    <w:rsid w:val="007747CF"/>
    <w:rsid w:val="007872B3"/>
    <w:rsid w:val="00796DAE"/>
    <w:rsid w:val="007A41C7"/>
    <w:rsid w:val="007A5AA7"/>
    <w:rsid w:val="00824EAF"/>
    <w:rsid w:val="008C54D8"/>
    <w:rsid w:val="009A07C2"/>
    <w:rsid w:val="009C3E9E"/>
    <w:rsid w:val="00A44D64"/>
    <w:rsid w:val="00A64A4E"/>
    <w:rsid w:val="00A73B21"/>
    <w:rsid w:val="00AB300D"/>
    <w:rsid w:val="00AD3502"/>
    <w:rsid w:val="00AD745A"/>
    <w:rsid w:val="00B3005E"/>
    <w:rsid w:val="00B540CE"/>
    <w:rsid w:val="00C142FA"/>
    <w:rsid w:val="00C7775F"/>
    <w:rsid w:val="00CE542D"/>
    <w:rsid w:val="00CF44DA"/>
    <w:rsid w:val="00DC6190"/>
    <w:rsid w:val="00DF24D3"/>
    <w:rsid w:val="00FC3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D86A"/>
  <w15:chartTrackingRefBased/>
  <w15:docId w15:val="{8D804401-DB48-42E9-B1BC-88ADEA8B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C2"/>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C2"/>
  </w:style>
  <w:style w:type="paragraph" w:styleId="Footer">
    <w:name w:val="footer"/>
    <w:basedOn w:val="Normal"/>
    <w:link w:val="FooterChar"/>
    <w:uiPriority w:val="99"/>
    <w:unhideWhenUsed/>
    <w:rsid w:val="009A0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7C2"/>
  </w:style>
  <w:style w:type="paragraph" w:styleId="ListParagraph">
    <w:name w:val="List Paragraph"/>
    <w:basedOn w:val="Normal"/>
    <w:uiPriority w:val="34"/>
    <w:qFormat/>
    <w:rsid w:val="00261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34</cp:revision>
  <dcterms:created xsi:type="dcterms:W3CDTF">2022-02-27T02:52:00Z</dcterms:created>
  <dcterms:modified xsi:type="dcterms:W3CDTF">2022-02-27T14:16:00Z</dcterms:modified>
</cp:coreProperties>
</file>