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6DE" w:rsidRDefault="007806DE" w:rsidP="007806DE">
      <w:pPr>
        <w:spacing w:before="240" w:line="276" w:lineRule="auto"/>
        <w:jc w:val="center"/>
        <w:rPr>
          <w:rFonts w:ascii="Arabic Typesetting" w:hAnsi="Arabic Typesetting" w:cs="Arabic Typesetting"/>
          <w:b/>
          <w:bCs/>
          <w:color w:val="00B050"/>
          <w:sz w:val="28"/>
          <w:szCs w:val="28"/>
          <w:lang w:bidi="ar-LB"/>
        </w:rPr>
      </w:pPr>
      <w:r>
        <w:rPr>
          <w:rFonts w:ascii="Arabic Typesetting" w:hAnsi="Arabic Typesetting" w:cs="Arabic Typesetting"/>
          <w:b/>
          <w:bCs/>
          <w:color w:val="00B050"/>
          <w:sz w:val="28"/>
          <w:szCs w:val="28"/>
          <w:rtl/>
          <w:lang w:bidi="ar-LB"/>
        </w:rPr>
        <w:t>بسم الله الرحمن الرحيم</w:t>
      </w:r>
    </w:p>
    <w:p w:rsidR="007806DE" w:rsidRDefault="007806DE" w:rsidP="007806DE">
      <w:pPr>
        <w:spacing w:before="240" w:line="276" w:lineRule="auto"/>
        <w:jc w:val="center"/>
        <w:rPr>
          <w:rFonts w:ascii="Arabic Typesetting" w:hAnsi="Arabic Typesetting" w:cs="Arabic Typesetting"/>
          <w:sz w:val="28"/>
          <w:szCs w:val="28"/>
          <w:lang w:bidi="ar-LB"/>
        </w:rPr>
      </w:pPr>
    </w:p>
    <w:p w:rsidR="007806DE" w:rsidRDefault="007806DE" w:rsidP="007806DE">
      <w:pPr>
        <w:spacing w:after="0" w:line="240" w:lineRule="auto"/>
        <w:jc w:val="both"/>
        <w:rPr>
          <w:rFonts w:ascii="Arabic Typesetting" w:hAnsi="Arabic Typesetting" w:cs="Arabic Typesetting"/>
          <w:b/>
          <w:bCs/>
          <w:sz w:val="28"/>
          <w:szCs w:val="28"/>
          <w:lang w:bidi="ar-LB"/>
        </w:rPr>
      </w:pPr>
      <w:r>
        <w:rPr>
          <w:rFonts w:ascii="Arabic Typesetting" w:hAnsi="Arabic Typesetting" w:cs="Arabic Typesetting"/>
          <w:b/>
          <w:bCs/>
          <w:sz w:val="28"/>
          <w:szCs w:val="28"/>
          <w:rtl/>
          <w:lang w:bidi="ar-LB"/>
        </w:rPr>
        <w:t>الدرس:</w:t>
      </w:r>
      <w:r>
        <w:rPr>
          <w:rFonts w:ascii="Lotus Linotype" w:hAnsi="Lotus Linotype" w:cs="Lotus Linotype" w:hint="cs"/>
          <w:b/>
          <w:bCs/>
          <w:color w:val="FF0000"/>
          <w:sz w:val="28"/>
          <w:szCs w:val="28"/>
          <w:rtl/>
          <w:lang w:bidi="ar-LB"/>
        </w:rPr>
        <w:t xml:space="preserve"> 39</w:t>
      </w:r>
      <w:r>
        <w:rPr>
          <w:rFonts w:ascii="Lotus Linotype" w:hAnsi="Lotus Linotype" w:cs="Lotus Linotype"/>
          <w:b/>
          <w:bCs/>
          <w:color w:val="FF0000"/>
          <w:sz w:val="28"/>
          <w:szCs w:val="28"/>
          <w:rtl/>
          <w:lang w:bidi="ar-LB"/>
        </w:rPr>
        <w:t xml:space="preserve">                                                                                                                            </w:t>
      </w:r>
      <w:r>
        <w:rPr>
          <w:rFonts w:ascii="Arabic Typesetting" w:hAnsi="Arabic Typesetting" w:cs="Arabic Typesetting"/>
          <w:b/>
          <w:bCs/>
          <w:sz w:val="28"/>
          <w:szCs w:val="28"/>
          <w:rtl/>
          <w:lang w:bidi="ar-LB"/>
        </w:rPr>
        <w:t>الأستاذ</w:t>
      </w:r>
      <w:r>
        <w:rPr>
          <w:rFonts w:ascii="Arabic Typesetting" w:hAnsi="Arabic Typesetting" w:cs="Arabic Typesetting"/>
          <w:sz w:val="28"/>
          <w:szCs w:val="28"/>
          <w:rtl/>
          <w:lang w:bidi="ar-LB"/>
        </w:rPr>
        <w:t xml:space="preserve">: الشيخ محمد تقي الشهيدي </w:t>
      </w:r>
      <w:r>
        <w:rPr>
          <w:rFonts w:ascii="Arabic Typesetting" w:hAnsi="Arabic Typesetting" w:cs="Taher" w:hint="cs"/>
          <w:sz w:val="24"/>
          <w:szCs w:val="24"/>
          <w:rtl/>
          <w:lang w:bidi="ar-LB"/>
        </w:rPr>
        <w:t>=</w:t>
      </w:r>
      <w:r>
        <w:rPr>
          <w:rFonts w:ascii="Arabic Typesetting" w:hAnsi="Arabic Typesetting" w:cs="Arabic Typesetting"/>
          <w:b/>
          <w:bCs/>
          <w:sz w:val="28"/>
          <w:szCs w:val="28"/>
          <w:rtl/>
          <w:lang w:bidi="ar-LB"/>
        </w:rPr>
        <w:t xml:space="preserve">                                                                                          </w:t>
      </w:r>
    </w:p>
    <w:p w:rsidR="007806DE" w:rsidRDefault="007806DE" w:rsidP="007806DE">
      <w:pPr>
        <w:spacing w:after="0" w:line="240" w:lineRule="auto"/>
        <w:jc w:val="both"/>
        <w:rPr>
          <w:rFonts w:ascii="Arabic Typesetting" w:hAnsi="Arabic Typesetting" w:cs="Arabic Typesetting"/>
          <w:sz w:val="28"/>
          <w:szCs w:val="28"/>
          <w:lang w:bidi="ar-LB"/>
        </w:rPr>
      </w:pPr>
      <w:r>
        <w:rPr>
          <w:rFonts w:ascii="Arabic Typesetting" w:hAnsi="Arabic Typesetting" w:cs="Arabic Typesetting"/>
          <w:b/>
          <w:bCs/>
          <w:sz w:val="28"/>
          <w:szCs w:val="28"/>
          <w:rtl/>
          <w:lang w:bidi="ar-LB"/>
        </w:rPr>
        <w:t>المبحث:</w:t>
      </w:r>
      <w:r>
        <w:rPr>
          <w:rFonts w:ascii="Arabic Typesetting" w:hAnsi="Arabic Typesetting" w:cs="Arabic Typesetting"/>
          <w:sz w:val="28"/>
          <w:szCs w:val="28"/>
          <w:rtl/>
          <w:lang w:bidi="ar-LB"/>
        </w:rPr>
        <w:t xml:space="preserve"> النواهي (</w:t>
      </w:r>
      <w:r>
        <w:rPr>
          <w:rFonts w:ascii="Arabic Typesetting" w:hAnsi="Arabic Typesetting" w:cs="Arabic Typesetting"/>
          <w:b/>
          <w:bCs/>
          <w:color w:val="FF0000"/>
          <w:sz w:val="28"/>
          <w:szCs w:val="28"/>
          <w:rtl/>
          <w:lang w:bidi="ar-LB"/>
        </w:rPr>
        <w:t>اقتضاء النهي عن العبادة والمعاملة للفساد</w:t>
      </w:r>
      <w:r>
        <w:rPr>
          <w:rFonts w:ascii="Arabic Typesetting" w:hAnsi="Arabic Typesetting" w:cs="Arabic Typesetting"/>
          <w:sz w:val="28"/>
          <w:szCs w:val="28"/>
          <w:rtl/>
          <w:lang w:bidi="ar-LB"/>
        </w:rPr>
        <w:t xml:space="preserve">)                     </w:t>
      </w:r>
      <w:r>
        <w:rPr>
          <w:rFonts w:ascii="Arabic Typesetting" w:hAnsi="Arabic Typesetting" w:cs="Arabic Typesetting"/>
          <w:b/>
          <w:bCs/>
          <w:sz w:val="28"/>
          <w:szCs w:val="28"/>
          <w:rtl/>
          <w:lang w:bidi="ar-LB"/>
        </w:rPr>
        <w:t xml:space="preserve">                                 الدرس</w:t>
      </w:r>
      <w:r>
        <w:rPr>
          <w:rFonts w:ascii="Arabic Typesetting" w:hAnsi="Arabic Typesetting" w:cs="Arabic Typesetting"/>
          <w:sz w:val="28"/>
          <w:szCs w:val="28"/>
          <w:rtl/>
          <w:lang w:bidi="ar-LB"/>
        </w:rPr>
        <w:t>: الأصول (الدورة الرابعة)</w:t>
      </w:r>
    </w:p>
    <w:p w:rsidR="007806DE" w:rsidRDefault="007806DE" w:rsidP="007806DE">
      <w:pPr>
        <w:spacing w:before="240" w:line="240" w:lineRule="auto"/>
        <w:jc w:val="both"/>
        <w:rPr>
          <w:rFonts w:ascii="Arabic Typesetting" w:hAnsi="Arabic Typesetting" w:cs="Arabic Typesetting"/>
          <w:sz w:val="28"/>
          <w:szCs w:val="28"/>
          <w:lang w:bidi="ar-LB"/>
        </w:rPr>
      </w:pPr>
      <w:r>
        <w:rPr>
          <w:rFonts w:ascii="Arabic Typesetting" w:hAnsi="Arabic Typesetting" w:cs="Arabic Typesetting"/>
          <w:b/>
          <w:bCs/>
          <w:sz w:val="28"/>
          <w:szCs w:val="28"/>
          <w:rtl/>
          <w:lang w:bidi="ar-LB"/>
        </w:rPr>
        <w:t xml:space="preserve">التاريخ: </w:t>
      </w:r>
      <w:r>
        <w:rPr>
          <w:rFonts w:ascii="Arabic Typesetting" w:hAnsi="Arabic Typesetting" w:cs="Arabic Typesetting"/>
          <w:sz w:val="28"/>
          <w:szCs w:val="28"/>
          <w:rtl/>
          <w:lang w:bidi="ar-LB"/>
        </w:rPr>
        <w:t>ال</w:t>
      </w:r>
      <w:r>
        <w:rPr>
          <w:rFonts w:ascii="Arabic Typesetting" w:hAnsi="Arabic Typesetting" w:cs="Arabic Typesetting" w:hint="cs"/>
          <w:sz w:val="28"/>
          <w:szCs w:val="28"/>
          <w:rtl/>
          <w:lang w:bidi="ar-LB"/>
        </w:rPr>
        <w:t>أحد:</w:t>
      </w:r>
      <w:r>
        <w:rPr>
          <w:rFonts w:ascii="Arabic Typesetting" w:hAnsi="Arabic Typesetting" w:cs="Arabic Typesetting"/>
          <w:sz w:val="28"/>
          <w:szCs w:val="28"/>
          <w:rtl/>
          <w:lang w:bidi="ar-LB"/>
        </w:rPr>
        <w:t xml:space="preserve"> </w:t>
      </w:r>
      <w:r>
        <w:rPr>
          <w:rFonts w:ascii="Arabic Typesetting" w:hAnsi="Arabic Typesetting" w:cs="Arabic Typesetting" w:hint="cs"/>
          <w:sz w:val="28"/>
          <w:szCs w:val="28"/>
          <w:rtl/>
          <w:lang w:bidi="ar-LB"/>
        </w:rPr>
        <w:t>8</w:t>
      </w:r>
      <w:r>
        <w:rPr>
          <w:rFonts w:ascii="Arabic Typesetting" w:hAnsi="Arabic Typesetting" w:cs="Arabic Typesetting"/>
          <w:sz w:val="28"/>
          <w:szCs w:val="28"/>
          <w:rtl/>
          <w:lang w:bidi="ar-LB"/>
        </w:rPr>
        <w:t>/5/2022</w:t>
      </w:r>
      <w:r>
        <w:rPr>
          <w:rFonts w:ascii="Arabic Typesetting" w:hAnsi="Arabic Typesetting" w:cs="Arabic Typesetting" w:hint="cs"/>
          <w:sz w:val="28"/>
          <w:szCs w:val="28"/>
          <w:rtl/>
          <w:lang w:bidi="ar-LB"/>
        </w:rPr>
        <w:t xml:space="preserve"> (6</w:t>
      </w:r>
      <w:r>
        <w:rPr>
          <w:rFonts w:ascii="Arabic Typesetting" w:hAnsi="Arabic Typesetting" w:cs="Arabic Typesetting"/>
          <w:sz w:val="28"/>
          <w:szCs w:val="28"/>
          <w:rtl/>
          <w:lang w:bidi="ar-LB"/>
        </w:rPr>
        <w:t>/ شوال/ 1443</w:t>
      </w:r>
      <w:r>
        <w:rPr>
          <w:rFonts w:ascii="Arabic Typesetting" w:hAnsi="Arabic Typesetting" w:cs="Arabic Typesetting"/>
          <w:b/>
          <w:bCs/>
          <w:sz w:val="28"/>
          <w:szCs w:val="28"/>
          <w:rtl/>
          <w:lang w:bidi="ar-LB"/>
        </w:rPr>
        <w:t xml:space="preserve"> ه)</w:t>
      </w:r>
    </w:p>
    <w:p w:rsidR="007806DE" w:rsidRDefault="007806DE" w:rsidP="007806DE">
      <w:pPr>
        <w:rPr>
          <w:rFonts w:ascii="Lotus Linotype" w:hAnsi="Lotus Linotype" w:cs="Lotus Linotype"/>
          <w:sz w:val="28"/>
          <w:szCs w:val="28"/>
          <w:lang w:bidi="ar-LB"/>
        </w:rPr>
      </w:pPr>
    </w:p>
    <w:p w:rsidR="007806DE" w:rsidRDefault="007806DE" w:rsidP="007806DE">
      <w:pPr>
        <w:jc w:val="center"/>
        <w:rPr>
          <w:rFonts w:ascii="Lotus Linotype" w:hAnsi="Lotus Linotype" w:cs="Lotus Linotype"/>
          <w:color w:val="AFD597"/>
          <w:sz w:val="28"/>
          <w:szCs w:val="28"/>
          <w:lang w:bidi="ar-LB"/>
        </w:rPr>
      </w:pPr>
    </w:p>
    <w:p w:rsidR="00646345" w:rsidRDefault="007806DE" w:rsidP="007806DE">
      <w:pPr>
        <w:jc w:val="center"/>
        <w:rPr>
          <w:rFonts w:ascii="Lotus Linotype" w:hAnsi="Lotus Linotype" w:cs="Lotus Linotype"/>
          <w:sz w:val="28"/>
          <w:szCs w:val="28"/>
          <w:rtl/>
          <w:lang w:bidi="ar-LB"/>
        </w:rPr>
      </w:pPr>
      <w:r>
        <w:rPr>
          <w:rFonts w:ascii="Arabic Typesetting" w:hAnsi="Arabic Typesetting" w:cs="Arabic Typesetting"/>
          <w:b/>
          <w:bCs/>
          <w:color w:val="00B050"/>
          <w:sz w:val="32"/>
          <w:szCs w:val="32"/>
          <w:rtl/>
          <w:lang w:bidi="ar-LB"/>
        </w:rPr>
        <w:t>أعوذ بالله من الشيطان الرجيم بسم الله الرحمن الرحيم الحمد لله ربّ العالمين والصلاة والسلام علي سيّدنا محمّد وآله الطاهرين ولعنة الله على أعدائهم أجمعين</w:t>
      </w:r>
    </w:p>
    <w:p w:rsidR="007806DE" w:rsidRDefault="007806DE" w:rsidP="007806DE">
      <w:pPr>
        <w:jc w:val="both"/>
        <w:rPr>
          <w:rFonts w:ascii="Lotus Linotype" w:hAnsi="Lotus Linotype" w:cs="Lotus Linotype"/>
          <w:sz w:val="28"/>
          <w:szCs w:val="28"/>
          <w:rtl/>
          <w:lang w:bidi="ar-LB"/>
        </w:rPr>
      </w:pPr>
    </w:p>
    <w:p w:rsidR="007806DE" w:rsidRDefault="007806DE" w:rsidP="007806DE">
      <w:pPr>
        <w:jc w:val="both"/>
        <w:rPr>
          <w:rFonts w:ascii="Lotus Linotype" w:hAnsi="Lotus Linotype" w:cs="Lotus Linotype"/>
          <w:sz w:val="28"/>
          <w:szCs w:val="28"/>
          <w:rtl/>
          <w:lang w:bidi="ar-LB"/>
        </w:rPr>
      </w:pPr>
    </w:p>
    <w:p w:rsidR="007806DE" w:rsidRDefault="007806DE" w:rsidP="0090791E">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كان الكلام في اقتضاء النهي التكليفي عن العبادة لفسادها فتعرّضنا لعدّة أقسامٍ من النهي التكليفي ووصلنا إلى </w:t>
      </w:r>
      <w:r w:rsidRPr="0090791E">
        <w:rPr>
          <w:rFonts w:ascii="Lotus Linotype" w:hAnsi="Lotus Linotype" w:cs="Lotus Linotype" w:hint="cs"/>
          <w:b/>
          <w:bCs/>
          <w:color w:val="FF0000"/>
          <w:sz w:val="28"/>
          <w:szCs w:val="28"/>
          <w:rtl/>
          <w:lang w:bidi="ar-LB"/>
        </w:rPr>
        <w:t>القسم الرابع</w:t>
      </w:r>
      <w:r w:rsidR="0090791E">
        <w:rPr>
          <w:rFonts w:ascii="Lotus Linotype" w:hAnsi="Lotus Linotype" w:cs="Lotus Linotype" w:hint="cs"/>
          <w:sz w:val="28"/>
          <w:szCs w:val="28"/>
          <w:rtl/>
          <w:lang w:bidi="ar-LB"/>
        </w:rPr>
        <w:t>، وهو:</w:t>
      </w:r>
      <w:r>
        <w:rPr>
          <w:rFonts w:ascii="Lotus Linotype" w:hAnsi="Lotus Linotype" w:cs="Lotus Linotype" w:hint="cs"/>
          <w:sz w:val="28"/>
          <w:szCs w:val="28"/>
          <w:rtl/>
          <w:lang w:bidi="ar-LB"/>
        </w:rPr>
        <w:t xml:space="preserve"> </w:t>
      </w:r>
      <w:r w:rsidRPr="0090791E">
        <w:rPr>
          <w:rFonts w:ascii="Lotus Linotype" w:hAnsi="Lotus Linotype" w:cs="Lotus Linotype" w:hint="cs"/>
          <w:b/>
          <w:bCs/>
          <w:color w:val="FF0000"/>
          <w:sz w:val="28"/>
          <w:szCs w:val="28"/>
          <w:rtl/>
          <w:lang w:bidi="ar-LB"/>
        </w:rPr>
        <w:t>تعلّق النهي التكليفيّ الغيريّ بالعبادة</w:t>
      </w:r>
      <w:r>
        <w:rPr>
          <w:rFonts w:ascii="Lotus Linotype" w:hAnsi="Lotus Linotype" w:cs="Lotus Linotype" w:hint="cs"/>
          <w:sz w:val="28"/>
          <w:szCs w:val="28"/>
          <w:rtl/>
          <w:lang w:bidi="ar-LB"/>
        </w:rPr>
        <w:t>:</w:t>
      </w:r>
    </w:p>
    <w:p w:rsidR="007806DE" w:rsidRPr="0090791E" w:rsidRDefault="007806DE" w:rsidP="007806DE">
      <w:pPr>
        <w:jc w:val="both"/>
        <w:rPr>
          <w:rFonts w:ascii="Lotus Linotype" w:hAnsi="Lotus Linotype" w:cs="Lotus Linotype"/>
          <w:b/>
          <w:bCs/>
          <w:sz w:val="28"/>
          <w:szCs w:val="28"/>
          <w:rtl/>
          <w:lang w:bidi="ar-LB"/>
        </w:rPr>
      </w:pPr>
      <w:r w:rsidRPr="0090791E">
        <w:rPr>
          <w:rFonts w:ascii="Lotus Linotype" w:hAnsi="Lotus Linotype" w:cs="Lotus Linotype" w:hint="cs"/>
          <w:b/>
          <w:bCs/>
          <w:color w:val="385623" w:themeColor="accent6" w:themeShade="80"/>
          <w:sz w:val="28"/>
          <w:szCs w:val="28"/>
          <w:rtl/>
          <w:lang w:bidi="ar-LB"/>
        </w:rPr>
        <w:t>لو تعلّق النهي الغيريّ بعبادةٍ هل يقتضي ذلك فسادها وبطلانها أم لا؟</w:t>
      </w:r>
    </w:p>
    <w:p w:rsidR="0090791E" w:rsidRDefault="007806DE" w:rsidP="007806DE">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مثال: </w:t>
      </w:r>
    </w:p>
    <w:p w:rsidR="007806DE" w:rsidRPr="002B7364" w:rsidRDefault="002B7364" w:rsidP="002B7364">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1) </w:t>
      </w:r>
      <w:r w:rsidR="007806DE" w:rsidRPr="002B7364">
        <w:rPr>
          <w:rFonts w:ascii="Lotus Linotype" w:hAnsi="Lotus Linotype" w:cs="Lotus Linotype" w:hint="cs"/>
          <w:sz w:val="28"/>
          <w:szCs w:val="28"/>
          <w:rtl/>
          <w:lang w:bidi="ar-LB"/>
        </w:rPr>
        <w:t xml:space="preserve">ما لو تزاحم واجبٌ تعبديٌّ موسّع كالصلاة مع واجبٍ مضيّق كوجوب إزالة النجاسة عن المسجد، فإن عصى المكلّف وترك الإزالة في سعة وقت الصلاة واشتغل بالصلاة، فبناءً على ما ذكره جماعةٌ </w:t>
      </w:r>
      <w:r w:rsidR="0016263A" w:rsidRPr="002B7364">
        <w:rPr>
          <w:rFonts w:ascii="Lotus Linotype" w:hAnsi="Lotus Linotype" w:cs="Lotus Linotype" w:hint="cs"/>
          <w:sz w:val="28"/>
          <w:szCs w:val="28"/>
          <w:rtl/>
          <w:lang w:bidi="ar-LB"/>
        </w:rPr>
        <w:t>من تعلّق النهي الغيريّ بضد الواجب حيث قالوا بأنّ الأمر بالشيء يقتضي النهي الغيريّ عن ضده، فهذه الصلاة</w:t>
      </w:r>
      <w:r w:rsidR="00A85C5D" w:rsidRPr="002B7364">
        <w:rPr>
          <w:rFonts w:ascii="Lotus Linotype" w:hAnsi="Lotus Linotype" w:cs="Lotus Linotype" w:hint="cs"/>
          <w:sz w:val="28"/>
          <w:szCs w:val="28"/>
          <w:rtl/>
          <w:lang w:bidi="ar-LB"/>
        </w:rPr>
        <w:t xml:space="preserve"> تكون منهياً عنها بالنهي الغيري، فهل هذا النهي الغيري يمنع من صحّة هذه الصلاة أم لا؟</w:t>
      </w:r>
    </w:p>
    <w:p w:rsidR="00A85C5D" w:rsidRPr="002B7364" w:rsidRDefault="002B7364" w:rsidP="002B7364">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2) </w:t>
      </w:r>
      <w:r w:rsidR="00A85C5D" w:rsidRPr="002B7364">
        <w:rPr>
          <w:rFonts w:ascii="Lotus Linotype" w:hAnsi="Lotus Linotype" w:cs="Lotus Linotype" w:hint="cs"/>
          <w:sz w:val="28"/>
          <w:szCs w:val="28"/>
          <w:rtl/>
          <w:lang w:bidi="ar-LB"/>
        </w:rPr>
        <w:t>المثال الثاني: ما لو وقع التزاحم بين واجبين مضيّقين وكان الواجب المضيّق العبادي غير الأهم كما لو تزاحمت الصلاة في ضيق وقتها مع وجوب إنقاذ الغريق</w:t>
      </w:r>
      <w:r w:rsidR="00A401FD" w:rsidRPr="002B7364">
        <w:rPr>
          <w:rFonts w:ascii="Lotus Linotype" w:hAnsi="Lotus Linotype" w:cs="Lotus Linotype" w:hint="cs"/>
          <w:sz w:val="28"/>
          <w:szCs w:val="28"/>
          <w:rtl/>
          <w:lang w:bidi="ar-LB"/>
        </w:rPr>
        <w:t xml:space="preserve">، فوجوب إنقاذ الغريق لا ريب في كونه أهم من الصلاة </w:t>
      </w:r>
      <w:r w:rsidR="008544C3" w:rsidRPr="002B7364">
        <w:rPr>
          <w:rFonts w:ascii="Lotus Linotype" w:hAnsi="Lotus Linotype" w:cs="Lotus Linotype" w:hint="cs"/>
          <w:sz w:val="28"/>
          <w:szCs w:val="28"/>
          <w:rtl/>
          <w:lang w:bidi="ar-LB"/>
        </w:rPr>
        <w:t>و</w:t>
      </w:r>
      <w:r w:rsidR="00047797" w:rsidRPr="002B7364">
        <w:rPr>
          <w:rFonts w:ascii="Lotus Linotype" w:hAnsi="Lotus Linotype" w:cs="Lotus Linotype" w:hint="cs"/>
          <w:sz w:val="28"/>
          <w:szCs w:val="28"/>
          <w:rtl/>
          <w:lang w:bidi="ar-LB"/>
        </w:rPr>
        <w:t>لكنّ المكلّف عصى واشتغل بالصلاة، فأيضاً يقال بأنّ الأمر الفعليّ بإنقاذ الغريق يقتضي النهي عن هذه الصلاة نهياً غيريا، فهل هذا النهي الغيري عن هذه الصلاة يوجب فسادها وبطلانها أم لا؟</w:t>
      </w:r>
    </w:p>
    <w:p w:rsidR="00047797" w:rsidRPr="002B7364" w:rsidRDefault="002B7364" w:rsidP="002B7364">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3) </w:t>
      </w:r>
      <w:r w:rsidR="00047797" w:rsidRPr="002B7364">
        <w:rPr>
          <w:rFonts w:ascii="Lotus Linotype" w:hAnsi="Lotus Linotype" w:cs="Lotus Linotype" w:hint="cs"/>
          <w:sz w:val="28"/>
          <w:szCs w:val="28"/>
          <w:rtl/>
          <w:lang w:bidi="ar-LB"/>
        </w:rPr>
        <w:t>المثال الثالث: ما لو كان الواجب التعبديّ في موردٍ ما علّةً تامّةً لحرامٍ كما لو كان الغسل بالماء البارد علّةً تامّةً للإضرار المحرّم بالنفس، فبناءً على تعلّق النهي الغيري بالعلّة التامّة للحرام فيتعلّق نهي غيري بهذا الغسل الموجب للإضرار المحرّم بالنفس، فيُتكلّم أنّ هذا النهي الغيري عن هذا الغسل يوجب فساده وبطلانه أم لا؟</w:t>
      </w:r>
    </w:p>
    <w:p w:rsidR="00DF2040" w:rsidRDefault="00DF2040" w:rsidP="00981F0E">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90791E">
        <w:rPr>
          <w:rFonts w:ascii="Lotus Linotype" w:hAnsi="Lotus Linotype" w:cs="Lotus Linotype" w:hint="cs"/>
          <w:sz w:val="28"/>
          <w:szCs w:val="28"/>
          <w:rtl/>
          <w:lang w:bidi="ar-LB"/>
        </w:rPr>
        <w:t xml:space="preserve">     </w:t>
      </w:r>
      <w:r w:rsidRPr="0090791E">
        <w:rPr>
          <w:rFonts w:ascii="Lotus Linotype" w:hAnsi="Lotus Linotype" w:cs="Lotus Linotype" w:hint="cs"/>
          <w:b/>
          <w:bCs/>
          <w:color w:val="FF0000"/>
          <w:sz w:val="28"/>
          <w:szCs w:val="28"/>
          <w:rtl/>
          <w:lang w:bidi="ar-LB"/>
        </w:rPr>
        <w:t xml:space="preserve">جماعةٌ من الأعلام </w:t>
      </w:r>
      <w:r>
        <w:rPr>
          <w:rFonts w:ascii="Lotus Linotype" w:hAnsi="Lotus Linotype" w:cs="Lotus Linotype" w:hint="cs"/>
          <w:sz w:val="28"/>
          <w:szCs w:val="28"/>
          <w:rtl/>
          <w:lang w:bidi="ar-LB"/>
        </w:rPr>
        <w:t xml:space="preserve">كصاحب العروة والمحقق النائيني والسيد الخوئي </w:t>
      </w:r>
      <w:r w:rsidR="00981F0E">
        <w:rPr>
          <w:rFonts w:ascii="Lotus Linotype" w:hAnsi="Lotus Linotype" w:cs="Taher" w:hint="cs"/>
          <w:sz w:val="28"/>
          <w:szCs w:val="28"/>
          <w:rtl/>
          <w:lang w:bidi="ar-LB"/>
        </w:rPr>
        <w:t>رحمهم الله</w:t>
      </w:r>
      <w:bookmarkStart w:id="0" w:name="_GoBack"/>
      <w:bookmarkEnd w:id="0"/>
      <w:r w:rsidR="0090791E">
        <w:rPr>
          <w:rFonts w:ascii="Lotus Linotype" w:hAnsi="Lotus Linotype" w:cs="Lotus Linotype" w:hint="cs"/>
          <w:sz w:val="28"/>
          <w:szCs w:val="28"/>
          <w:rtl/>
          <w:lang w:bidi="ar-LB"/>
        </w:rPr>
        <w:t xml:space="preserve"> </w:t>
      </w:r>
      <w:r>
        <w:rPr>
          <w:rFonts w:ascii="Lotus Linotype" w:hAnsi="Lotus Linotype" w:cs="Lotus Linotype" w:hint="cs"/>
          <w:sz w:val="28"/>
          <w:szCs w:val="28"/>
          <w:rtl/>
          <w:lang w:bidi="ar-LB"/>
        </w:rPr>
        <w:t xml:space="preserve">قالوا بأنّ </w:t>
      </w:r>
      <w:r w:rsidRPr="0090791E">
        <w:rPr>
          <w:rFonts w:ascii="Lotus Linotype" w:hAnsi="Lotus Linotype" w:cs="Lotus Linotype" w:hint="cs"/>
          <w:b/>
          <w:bCs/>
          <w:color w:val="538135" w:themeColor="accent6" w:themeShade="BF"/>
          <w:sz w:val="28"/>
          <w:szCs w:val="28"/>
          <w:rtl/>
          <w:lang w:bidi="ar-LB"/>
        </w:rPr>
        <w:t>النهي الغيري لا يقتضي الفساد</w:t>
      </w:r>
      <w:r>
        <w:rPr>
          <w:rFonts w:ascii="Lotus Linotype" w:hAnsi="Lotus Linotype" w:cs="Lotus Linotype" w:hint="cs"/>
          <w:sz w:val="28"/>
          <w:szCs w:val="28"/>
          <w:rtl/>
          <w:lang w:bidi="ar-LB"/>
        </w:rPr>
        <w:t xml:space="preserve">، يختلف النهي الغيري عن النهي النفسي؛ النهي النفسي يكشف عن مبغوضيّة متعلّقه بينما أنّ النهي الغيري لا يكشف عن مبغوضيّة متعلّقه. وقد صرّح المحقق النائيني بأنّ المعتبر في </w:t>
      </w:r>
      <w:r>
        <w:rPr>
          <w:rFonts w:ascii="Lotus Linotype" w:hAnsi="Lotus Linotype" w:cs="Lotus Linotype" w:hint="cs"/>
          <w:sz w:val="28"/>
          <w:szCs w:val="28"/>
          <w:rtl/>
          <w:lang w:bidi="ar-LB"/>
        </w:rPr>
        <w:lastRenderedPageBreak/>
        <w:t>صحّة العبادة اشتمالها على المصلحة والمحبوبيّة، والنهي الغيري لا يكشف عن مفسدة الفعل ومبغوضيته حتى لا يمكن التقرّب به، النهي الغيري ناشىء إمّا عن مقدميّة ترك الضد بالنسبة إلى الإتيان بالضد الواجب أو</w:t>
      </w:r>
      <w:r w:rsidR="00E23189">
        <w:rPr>
          <w:rFonts w:ascii="Lotus Linotype" w:hAnsi="Lotus Linotype" w:cs="Lotus Linotype" w:hint="cs"/>
          <w:sz w:val="28"/>
          <w:szCs w:val="28"/>
          <w:rtl/>
          <w:lang w:bidi="ar-LB"/>
        </w:rPr>
        <w:t xml:space="preserve"> عن عليّة العلّة التامّة للحرام وأمّا هذه العلّة التامّة للحرام فيها مفسدةٌ ومبغوضيةٌ؟ أبداً.</w:t>
      </w:r>
    </w:p>
    <w:p w:rsidR="00E23189" w:rsidRDefault="00E23189" w:rsidP="007806DE">
      <w:pPr>
        <w:jc w:val="both"/>
        <w:rPr>
          <w:rFonts w:ascii="Lotus Linotype" w:hAnsi="Lotus Linotype" w:cs="Lotus Linotype"/>
          <w:sz w:val="28"/>
          <w:szCs w:val="28"/>
          <w:rtl/>
          <w:lang w:bidi="ar-LB"/>
        </w:rPr>
      </w:pPr>
      <w:r w:rsidRPr="0090791E">
        <w:rPr>
          <w:rFonts w:ascii="Lotus Linotype" w:hAnsi="Lotus Linotype" w:cs="Lotus Linotype" w:hint="cs"/>
          <w:b/>
          <w:bCs/>
          <w:color w:val="FF0000"/>
          <w:sz w:val="28"/>
          <w:szCs w:val="28"/>
          <w:rtl/>
          <w:lang w:bidi="ar-LB"/>
        </w:rPr>
        <w:t xml:space="preserve">     هذا الكلام غير صحيح</w:t>
      </w:r>
      <w:r>
        <w:rPr>
          <w:rFonts w:ascii="Lotus Linotype" w:hAnsi="Lotus Linotype" w:cs="Lotus Linotype" w:hint="cs"/>
          <w:sz w:val="28"/>
          <w:szCs w:val="28"/>
          <w:rtl/>
          <w:lang w:bidi="ar-LB"/>
        </w:rPr>
        <w:t xml:space="preserve">؛ فإنّ </w:t>
      </w:r>
      <w:r w:rsidRPr="0090791E">
        <w:rPr>
          <w:rFonts w:ascii="Lotus Linotype" w:hAnsi="Lotus Linotype" w:cs="Lotus Linotype" w:hint="cs"/>
          <w:b/>
          <w:bCs/>
          <w:color w:val="538135" w:themeColor="accent6" w:themeShade="BF"/>
          <w:sz w:val="28"/>
          <w:szCs w:val="28"/>
          <w:rtl/>
          <w:lang w:bidi="ar-LB"/>
        </w:rPr>
        <w:t>روح النهي الغيري هو البغض الغيري</w:t>
      </w:r>
      <w:r w:rsidRPr="0090791E">
        <w:rPr>
          <w:rFonts w:ascii="Lotus Linotype" w:hAnsi="Lotus Linotype" w:cs="Lotus Linotype" w:hint="cs"/>
          <w:color w:val="538135" w:themeColor="accent6" w:themeShade="BF"/>
          <w:sz w:val="28"/>
          <w:szCs w:val="28"/>
          <w:rtl/>
          <w:lang w:bidi="ar-LB"/>
        </w:rPr>
        <w:t xml:space="preserve"> </w:t>
      </w:r>
      <w:r>
        <w:rPr>
          <w:rFonts w:ascii="Lotus Linotype" w:hAnsi="Lotus Linotype" w:cs="Lotus Linotype" w:hint="cs"/>
          <w:sz w:val="28"/>
          <w:szCs w:val="28"/>
          <w:rtl/>
          <w:lang w:bidi="ar-LB"/>
        </w:rPr>
        <w:t>والوجدان أصدق شاهدٍ على أنّه لو تعلّق النهي الغيري بالعلّة التامّة للحرام فهذا يعني أنّ مبغوضيّة الحرام أوجبت مبغو</w:t>
      </w:r>
      <w:r w:rsidR="001C6B79">
        <w:rPr>
          <w:rFonts w:ascii="Lotus Linotype" w:hAnsi="Lotus Linotype" w:cs="Lotus Linotype" w:hint="cs"/>
          <w:sz w:val="28"/>
          <w:szCs w:val="28"/>
          <w:rtl/>
          <w:lang w:bidi="ar-LB"/>
        </w:rPr>
        <w:t>ضيّة علّته التامّة، وأصلاً من يدعي الملازمة بين بغض الشيء وبغض علّته التامّة هذا هو الذي يدّعي الملازمة بين حرمة الشيء وحرمة علّته التامّة حرمةً غيرية وإلا لو لم يُحسّ الإنسان بوجدانه الملازمة بين بغض الشيء وبغض علّته التامّة فكيف يد</w:t>
      </w:r>
      <w:r w:rsidR="0090791E">
        <w:rPr>
          <w:rFonts w:ascii="Lotus Linotype" w:hAnsi="Lotus Linotype" w:cs="Lotus Linotype" w:hint="cs"/>
          <w:sz w:val="28"/>
          <w:szCs w:val="28"/>
          <w:rtl/>
          <w:lang w:bidi="ar-LB"/>
        </w:rPr>
        <w:t>ّ</w:t>
      </w:r>
      <w:r w:rsidR="001C6B79">
        <w:rPr>
          <w:rFonts w:ascii="Lotus Linotype" w:hAnsi="Lotus Linotype" w:cs="Lotus Linotype" w:hint="cs"/>
          <w:sz w:val="28"/>
          <w:szCs w:val="28"/>
          <w:rtl/>
          <w:lang w:bidi="ar-LB"/>
        </w:rPr>
        <w:t>عي الملازمة بين حرمة الشيء وحرمة علّته التامّة؟ من أين يستكشف هذه الملازمة غير أنّه يحسّ بوجدانه أنّ من أبغض شيئاً أبغض علّته ومن أحبّ شيئاً أبغض ضده؟!</w:t>
      </w:r>
    </w:p>
    <w:p w:rsidR="001C6B79" w:rsidRDefault="001C6B79" w:rsidP="007806DE">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فقبول الحرمة الغيرية وإنكار البغض الغيري لا وجه له، هذا </w:t>
      </w:r>
      <w:r w:rsidRPr="0090791E">
        <w:rPr>
          <w:rFonts w:ascii="Lotus Linotype" w:hAnsi="Lotus Linotype" w:cs="Lotus Linotype" w:hint="cs"/>
          <w:color w:val="FF0000"/>
          <w:sz w:val="28"/>
          <w:szCs w:val="28"/>
          <w:rtl/>
          <w:lang w:bidi="ar-LB"/>
        </w:rPr>
        <w:t>أولاً</w:t>
      </w:r>
      <w:r>
        <w:rPr>
          <w:rFonts w:ascii="Lotus Linotype" w:hAnsi="Lotus Linotype" w:cs="Lotus Linotype" w:hint="cs"/>
          <w:sz w:val="28"/>
          <w:szCs w:val="28"/>
          <w:rtl/>
          <w:lang w:bidi="ar-LB"/>
        </w:rPr>
        <w:t>.</w:t>
      </w:r>
    </w:p>
    <w:p w:rsidR="001C6B79" w:rsidRDefault="001C6B79" w:rsidP="007806DE">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و</w:t>
      </w:r>
      <w:r w:rsidRPr="0090791E">
        <w:rPr>
          <w:rFonts w:ascii="Lotus Linotype" w:hAnsi="Lotus Linotype" w:cs="Lotus Linotype" w:hint="cs"/>
          <w:color w:val="FF0000"/>
          <w:sz w:val="28"/>
          <w:szCs w:val="28"/>
          <w:rtl/>
          <w:lang w:bidi="ar-LB"/>
        </w:rPr>
        <w:t>ثانياً</w:t>
      </w:r>
      <w:r>
        <w:rPr>
          <w:rFonts w:ascii="Lotus Linotype" w:hAnsi="Lotus Linotype" w:cs="Lotus Linotype" w:hint="cs"/>
          <w:sz w:val="28"/>
          <w:szCs w:val="28"/>
          <w:rtl/>
          <w:lang w:bidi="ar-LB"/>
        </w:rPr>
        <w:t>: اُفرض أنّ النهي الغيري لا يكشف عن مبغوضيّة متعلّقه لكن أليس يمنع من انبساط الأمر إليه؟ هل يجتمع النهي عن العلّة التامّة للحرام مع الأمر بها بعنوانٍ واحد</w:t>
      </w:r>
      <w:r w:rsidR="00D32918">
        <w:rPr>
          <w:rFonts w:ascii="Lotus Linotype" w:hAnsi="Lotus Linotype" w:cs="Lotus Linotype" w:hint="cs"/>
          <w:sz w:val="28"/>
          <w:szCs w:val="28"/>
          <w:rtl/>
          <w:lang w:bidi="ar-LB"/>
        </w:rPr>
        <w:t>؟</w:t>
      </w:r>
    </w:p>
    <w:p w:rsidR="00D32918" w:rsidRDefault="00D32918" w:rsidP="00D32918">
      <w:pPr>
        <w:spacing w:line="240" w:lineRule="auto"/>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يا سيدنا الخوئي أنت الذي تدّعي أنّ النهي الغيري عن العبادة لا يقتضي فسادها ألست تدّعي أنّ النهي الغيري يمتنع اجتماعه مع الأمر؟ فلا أقل من أنّ هذا النهي الغيري يمنع من تعلّق الأمر بهذه العبادة ومع عدم تعلّق الأمر بهذه العبادة كيف نحكم بصحّتها؟!</w:t>
      </w:r>
    </w:p>
    <w:p w:rsidR="00FF63A8" w:rsidRDefault="00FF63A8" w:rsidP="00D32918">
      <w:pPr>
        <w:spacing w:line="240" w:lineRule="auto"/>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90791E">
        <w:rPr>
          <w:rFonts w:ascii="Lotus Linotype" w:hAnsi="Lotus Linotype" w:cs="Lotus Linotype" w:hint="cs"/>
          <w:sz w:val="28"/>
          <w:szCs w:val="28"/>
          <w:rtl/>
          <w:lang w:bidi="ar-LB"/>
        </w:rPr>
        <w:t xml:space="preserve">   </w:t>
      </w:r>
      <w:r w:rsidR="0090791E" w:rsidRPr="0090791E">
        <w:rPr>
          <w:rFonts w:ascii="Lotus Linotype" w:hAnsi="Lotus Linotype" w:cs="Lotus Linotype" w:hint="cs"/>
          <w:b/>
          <w:bCs/>
          <w:color w:val="FF0000"/>
          <w:sz w:val="28"/>
          <w:szCs w:val="28"/>
          <w:rtl/>
          <w:lang w:bidi="ar-LB"/>
        </w:rPr>
        <w:t>نعم، يمكننا أن نقول</w:t>
      </w:r>
      <w:r w:rsidR="0090791E">
        <w:rPr>
          <w:rFonts w:ascii="Lotus Linotype" w:hAnsi="Lotus Linotype" w:cs="Lotus Linotype" w:hint="cs"/>
          <w:sz w:val="28"/>
          <w:szCs w:val="28"/>
          <w:rtl/>
          <w:lang w:bidi="ar-LB"/>
        </w:rPr>
        <w:t>: أنّ مبغ</w:t>
      </w:r>
      <w:r>
        <w:rPr>
          <w:rFonts w:ascii="Lotus Linotype" w:hAnsi="Lotus Linotype" w:cs="Lotus Linotype" w:hint="cs"/>
          <w:sz w:val="28"/>
          <w:szCs w:val="28"/>
          <w:rtl/>
          <w:lang w:bidi="ar-LB"/>
        </w:rPr>
        <w:t xml:space="preserve">وضيّة الفعل ببغضٍ غيريّ لا يمنع من تعلّق الأمر بها على نحوٍ ترتبيّ، </w:t>
      </w:r>
      <w:r w:rsidRPr="0090791E">
        <w:rPr>
          <w:rFonts w:ascii="Lotus Linotype" w:hAnsi="Lotus Linotype" w:cs="Lotus Linotype" w:hint="cs"/>
          <w:b/>
          <w:bCs/>
          <w:color w:val="FF0000"/>
          <w:sz w:val="28"/>
          <w:szCs w:val="28"/>
          <w:rtl/>
          <w:lang w:bidi="ar-LB"/>
        </w:rPr>
        <w:t xml:space="preserve">ولعلّ هذا هو الحل </w:t>
      </w:r>
      <w:r w:rsidRPr="0090791E">
        <w:rPr>
          <w:rFonts w:ascii="Lotus Linotype" w:hAnsi="Lotus Linotype" w:cs="Lotus Linotype" w:hint="cs"/>
          <w:b/>
          <w:bCs/>
          <w:sz w:val="28"/>
          <w:szCs w:val="28"/>
          <w:rtl/>
          <w:lang w:bidi="ar-LB"/>
        </w:rPr>
        <w:t>لمشكلة اقتضاء النهي الغيري عن العبادة لفساده</w:t>
      </w:r>
      <w:r w:rsidR="0090791E">
        <w:rPr>
          <w:rFonts w:ascii="Lotus Linotype" w:hAnsi="Lotus Linotype" w:cs="Lotus Linotype" w:hint="cs"/>
          <w:b/>
          <w:bCs/>
          <w:sz w:val="28"/>
          <w:szCs w:val="28"/>
          <w:rtl/>
          <w:lang w:bidi="ar-LB"/>
        </w:rPr>
        <w:t>ا</w:t>
      </w:r>
      <w:r>
        <w:rPr>
          <w:rFonts w:ascii="Lotus Linotype" w:hAnsi="Lotus Linotype" w:cs="Lotus Linotype" w:hint="cs"/>
          <w:sz w:val="28"/>
          <w:szCs w:val="28"/>
          <w:rtl/>
          <w:lang w:bidi="ar-LB"/>
        </w:rPr>
        <w:t>، فنقول:</w:t>
      </w:r>
    </w:p>
    <w:p w:rsidR="00FF63A8" w:rsidRDefault="00FF63A8" w:rsidP="00D32918">
      <w:pPr>
        <w:spacing w:line="240" w:lineRule="auto"/>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لو كان يلزم في العبادة أن تكون محبوبةً بالفعل فهذا لا يجتمع مع مبغوضيتها الغيريّة ولكن لنا أن نمنع عن ذلك، يكفي في عباديّة العبادة محبوبيّتها الشأنيّة ووفاؤها بالملاك، فهذا الغسل بالماء البارد الذي هو علّةٌ تامّة للإضرار بالنفس مبغوض غيريّ على فرض قبول تعلّق البغض الغيري بالعلّة التامّة للحرام كما ا</w:t>
      </w:r>
      <w:r w:rsidR="005E3125">
        <w:rPr>
          <w:rFonts w:ascii="Lotus Linotype" w:hAnsi="Lotus Linotype" w:cs="Lotus Linotype" w:hint="cs"/>
          <w:sz w:val="28"/>
          <w:szCs w:val="28"/>
          <w:rtl/>
          <w:lang w:bidi="ar-LB"/>
        </w:rPr>
        <w:t>دّعاه المشهور ومنهم صاحب البحوث ونحن أنكرنا ذلك.</w:t>
      </w:r>
    </w:p>
    <w:p w:rsidR="00755540" w:rsidRDefault="00755540" w:rsidP="00D32918">
      <w:pPr>
        <w:spacing w:line="240" w:lineRule="auto"/>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ولكن لو فرضنا وبنينا على أنّ العلّة التامّة للحرام مبغوض غيري فلا إشكال، فهذا الغسل بالماء البارد مبغوضٌ بنكتة عليّته للحرام، لكن أيّ مانع من أن يكون هذا الغسل في نفس الوقت وافياً بملاك طبيعي الغسل الواجب ويكفي في صحّة هذا الغسل في الماء البارد محبوبيّته الشأنيّة أي محبوبيّته لولا تعلّق البغض الغيري به لكونه علّةً تامّةً للحرام.</w:t>
      </w:r>
    </w:p>
    <w:p w:rsidR="00755540" w:rsidRDefault="00755540" w:rsidP="00D32918">
      <w:pPr>
        <w:spacing w:line="240" w:lineRule="auto"/>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Pr="0090791E">
        <w:rPr>
          <w:rFonts w:ascii="Lotus Linotype" w:hAnsi="Lotus Linotype" w:cs="Lotus Linotype" w:hint="cs"/>
          <w:b/>
          <w:bCs/>
          <w:color w:val="FF0000"/>
          <w:sz w:val="28"/>
          <w:szCs w:val="28"/>
          <w:rtl/>
          <w:lang w:bidi="ar-LB"/>
        </w:rPr>
        <w:t xml:space="preserve"> ونكتة ذلك</w:t>
      </w:r>
      <w:r>
        <w:rPr>
          <w:rFonts w:ascii="Lotus Linotype" w:hAnsi="Lotus Linotype" w:cs="Lotus Linotype" w:hint="cs"/>
          <w:sz w:val="28"/>
          <w:szCs w:val="28"/>
          <w:rtl/>
          <w:lang w:bidi="ar-LB"/>
        </w:rPr>
        <w:t xml:space="preserve">: أنّ المولى إذا رأى أنّ هذا المكلّف أضرّ بنفسه إضراراً محرّماً من طريقٍ آخر لا من طريق الغسل بالماء البارد بل من باب </w:t>
      </w:r>
      <w:r w:rsidR="00CC3A2C">
        <w:rPr>
          <w:rFonts w:ascii="Lotus Linotype" w:hAnsi="Lotus Linotype" w:cs="Lotus Linotype" w:hint="cs"/>
          <w:sz w:val="28"/>
          <w:szCs w:val="28"/>
          <w:rtl/>
          <w:lang w:bidi="ar-LB"/>
        </w:rPr>
        <w:t>أنّه ذهب إلى مكانٍ بارد فتمرّض، هذا المولى إذا لاحظ هذا العبد الذي أضرّ بنفسه إضراراً محرّماً من سببٍ آخرثم لاحظ أنّ هذا المكلّف أضرّ بنفسه إضراراً محرّماً من طريق غُسله بالماء البارد، فنرى أنّ هذا المولى هل حاله يكون أحسن حينما يلحظ الحالة الثانية ويقيسها بالحالة الأولى أم لا؟</w:t>
      </w:r>
    </w:p>
    <w:p w:rsidR="00CC3A2C" w:rsidRDefault="00CC3A2C" w:rsidP="00D32918">
      <w:pPr>
        <w:spacing w:line="240" w:lineRule="auto"/>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قطعاً هذا المولى حاله حينما يلحظ الحالة الثانية للمكلّف حال المولى أحسن؛ لماذا؟ لأنّه يقول إذا أنت كنت تذهب إلى مكانٍ بارد وبسبب البقاء في المكان البارد تتمرّض لكنتُ أنا أخسر ملاكين؛ ملاك عدم ا</w:t>
      </w:r>
      <w:r w:rsidR="00590BF4">
        <w:rPr>
          <w:rFonts w:ascii="Lotus Linotype" w:hAnsi="Lotus Linotype" w:cs="Lotus Linotype" w:hint="cs"/>
          <w:sz w:val="28"/>
          <w:szCs w:val="28"/>
          <w:rtl/>
          <w:lang w:bidi="ar-LB"/>
        </w:rPr>
        <w:t>لإضرار بالنفس وملاك رفع الجنابة ولكنّك الآن اغتسلت بماءٍ بارد وتمرّضت وأنا لم أخسر إلا ملاكاً واحداً وحصّلت على ملاك غسل الجنابة، فيكون حال المولى حينئذٍ أحسن، وهذا يكفي في عباديّة هذا الغسل ومقربيّته إلى المولى بعد أن لم يكن مبغوضاً نفسيا.</w:t>
      </w:r>
    </w:p>
    <w:p w:rsidR="0090791E" w:rsidRDefault="0084213F" w:rsidP="00D32918">
      <w:pPr>
        <w:spacing w:line="240" w:lineRule="auto"/>
        <w:jc w:val="both"/>
        <w:rPr>
          <w:rFonts w:ascii="Lotus Linotype" w:hAnsi="Lotus Linotype" w:cs="Lotus Linotype"/>
          <w:b/>
          <w:bCs/>
          <w:color w:val="FF0000"/>
          <w:sz w:val="28"/>
          <w:szCs w:val="28"/>
          <w:rtl/>
          <w:lang w:bidi="ar-LB"/>
        </w:rPr>
      </w:pPr>
      <w:r w:rsidRPr="008637F1">
        <w:rPr>
          <w:rFonts w:ascii="Lotus Linotype" w:hAnsi="Lotus Linotype" w:cs="Lotus Linotype" w:hint="cs"/>
          <w:b/>
          <w:bCs/>
          <w:color w:val="FF0000"/>
          <w:sz w:val="28"/>
          <w:szCs w:val="28"/>
          <w:rtl/>
          <w:lang w:bidi="ar-LB"/>
        </w:rPr>
        <w:t xml:space="preserve">     </w:t>
      </w:r>
    </w:p>
    <w:p w:rsidR="0090791E" w:rsidRDefault="0090791E" w:rsidP="00D32918">
      <w:pPr>
        <w:spacing w:line="240" w:lineRule="auto"/>
        <w:jc w:val="both"/>
        <w:rPr>
          <w:rFonts w:ascii="Lotus Linotype" w:hAnsi="Lotus Linotype" w:cs="Lotus Linotype"/>
          <w:b/>
          <w:bCs/>
          <w:color w:val="FF0000"/>
          <w:sz w:val="28"/>
          <w:szCs w:val="28"/>
          <w:rtl/>
          <w:lang w:bidi="ar-LB"/>
        </w:rPr>
      </w:pPr>
    </w:p>
    <w:p w:rsidR="0084213F" w:rsidRDefault="0084213F" w:rsidP="00D32918">
      <w:pPr>
        <w:spacing w:line="240" w:lineRule="auto"/>
        <w:jc w:val="both"/>
        <w:rPr>
          <w:rFonts w:ascii="Lotus Linotype" w:hAnsi="Lotus Linotype" w:cs="Lotus Linotype"/>
          <w:sz w:val="28"/>
          <w:szCs w:val="28"/>
          <w:rtl/>
          <w:lang w:bidi="ar-LB"/>
        </w:rPr>
      </w:pPr>
      <w:r w:rsidRPr="008637F1">
        <w:rPr>
          <w:rFonts w:ascii="Lotus Linotype" w:hAnsi="Lotus Linotype" w:cs="Lotus Linotype" w:hint="cs"/>
          <w:b/>
          <w:bCs/>
          <w:color w:val="FF0000"/>
          <w:sz w:val="28"/>
          <w:szCs w:val="28"/>
          <w:rtl/>
          <w:lang w:bidi="ar-LB"/>
        </w:rPr>
        <w:lastRenderedPageBreak/>
        <w:t>وأصلاً أذكرُ لكم شيئاً لعلّه مهم</w:t>
      </w:r>
      <w:r>
        <w:rPr>
          <w:rFonts w:ascii="Lotus Linotype" w:hAnsi="Lotus Linotype" w:cs="Lotus Linotype" w:hint="cs"/>
          <w:sz w:val="28"/>
          <w:szCs w:val="28"/>
          <w:rtl/>
          <w:lang w:bidi="ar-LB"/>
        </w:rPr>
        <w:t>:</w:t>
      </w:r>
    </w:p>
    <w:p w:rsidR="008637F1" w:rsidRDefault="0084213F" w:rsidP="00D32918">
      <w:pPr>
        <w:spacing w:line="240" w:lineRule="auto"/>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أنّنا نُنكر كون روح الأمر هو الحب وأنّ روح النهي هو البُغض</w:t>
      </w:r>
      <w:r w:rsidR="008637F1">
        <w:rPr>
          <w:rFonts w:ascii="Lotus Linotype" w:hAnsi="Lotus Linotype" w:cs="Lotus Linotype" w:hint="cs"/>
          <w:sz w:val="28"/>
          <w:szCs w:val="28"/>
          <w:rtl/>
          <w:lang w:bidi="ar-LB"/>
        </w:rPr>
        <w:t>،</w:t>
      </w:r>
      <w:r>
        <w:rPr>
          <w:rFonts w:ascii="Lotus Linotype" w:hAnsi="Lotus Linotype" w:cs="Lotus Linotype" w:hint="cs"/>
          <w:sz w:val="28"/>
          <w:szCs w:val="28"/>
          <w:rtl/>
          <w:lang w:bidi="ar-LB"/>
        </w:rPr>
        <w:t xml:space="preserve"> وربما مبغوضٍ يأمرُ به المولى</w:t>
      </w:r>
      <w:r w:rsidR="00D15B32">
        <w:rPr>
          <w:rFonts w:ascii="Lotus Linotype" w:hAnsi="Lotus Linotype" w:cs="Lotus Linotype" w:hint="cs"/>
          <w:sz w:val="28"/>
          <w:szCs w:val="28"/>
          <w:rtl/>
          <w:lang w:bidi="ar-LB"/>
        </w:rPr>
        <w:t xml:space="preserve"> والعبد الذي يأتي به يكون متقرّباً إلى المولى</w:t>
      </w:r>
      <w:r>
        <w:rPr>
          <w:rFonts w:ascii="Lotus Linotype" w:hAnsi="Lotus Linotype" w:cs="Lotus Linotype" w:hint="cs"/>
          <w:sz w:val="28"/>
          <w:szCs w:val="28"/>
          <w:rtl/>
          <w:lang w:bidi="ar-LB"/>
        </w:rPr>
        <w:t>؛</w:t>
      </w:r>
      <w:r w:rsidR="00D15B32">
        <w:rPr>
          <w:rFonts w:ascii="Lotus Linotype" w:hAnsi="Lotus Linotype" w:cs="Lotus Linotype" w:hint="cs"/>
          <w:sz w:val="28"/>
          <w:szCs w:val="28"/>
          <w:rtl/>
          <w:lang w:bidi="ar-LB"/>
        </w:rPr>
        <w:t xml:space="preserve"> كما في موارد دفع الأفسد بالفاسد:</w:t>
      </w:r>
    </w:p>
    <w:p w:rsidR="0084213F" w:rsidRDefault="008637F1" w:rsidP="00D32918">
      <w:pPr>
        <w:spacing w:line="240" w:lineRule="auto"/>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D15B32">
        <w:rPr>
          <w:rFonts w:ascii="Lotus Linotype" w:hAnsi="Lotus Linotype" w:cs="Lotus Linotype" w:hint="cs"/>
          <w:sz w:val="28"/>
          <w:szCs w:val="28"/>
          <w:rtl/>
          <w:lang w:bidi="ar-LB"/>
        </w:rPr>
        <w:t xml:space="preserve"> بنت المولى وقعت في مكانٍ معرضِ لإعتداء المعتدين، هذا المولى يقول لعبده اجرح بنتي حتى يرسلونها إلى المستشفى لكي لا تصل يد المجرمين إلى ابنتي فيهتكوا عرضها، هذا العبد  يأخذ السلاح ويرمي الرصاص إلى</w:t>
      </w:r>
      <w:r>
        <w:rPr>
          <w:rFonts w:ascii="Lotus Linotype" w:hAnsi="Lotus Linotype" w:cs="Lotus Linotype" w:hint="cs"/>
          <w:sz w:val="28"/>
          <w:szCs w:val="28"/>
          <w:rtl/>
          <w:lang w:bidi="ar-LB"/>
        </w:rPr>
        <w:t xml:space="preserve"> [على]</w:t>
      </w:r>
      <w:r w:rsidR="00D15B32">
        <w:rPr>
          <w:rFonts w:ascii="Lotus Linotype" w:hAnsi="Lotus Linotype" w:cs="Lotus Linotype" w:hint="cs"/>
          <w:sz w:val="28"/>
          <w:szCs w:val="28"/>
          <w:rtl/>
          <w:lang w:bidi="ar-LB"/>
        </w:rPr>
        <w:t xml:space="preserve"> بنت المولى، هل المولى يحب هذا الإطلاق للرصاص يفرح؟ يقول: لا، لا تطلق الرصاص على بنتي أمام عيني أنا لا أتحمل أكره ذلك ولكن آمرك به دفعاً للأفسد.</w:t>
      </w:r>
    </w:p>
    <w:p w:rsidR="00F666B2" w:rsidRDefault="00F666B2" w:rsidP="00D32918">
      <w:pPr>
        <w:spacing w:line="240" w:lineRule="auto"/>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فالأمر بشيءٍ لا ينشأ دائماً عن الحبّ به كما أنّ النهي عن شيءٍ لا ينشأ عن بغضه.</w:t>
      </w:r>
    </w:p>
    <w:p w:rsidR="00F666B2" w:rsidRDefault="00F666B2" w:rsidP="00D32918">
      <w:pPr>
        <w:spacing w:line="240" w:lineRule="auto"/>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Pr="008637F1">
        <w:rPr>
          <w:rFonts w:ascii="Lotus Linotype" w:hAnsi="Lotus Linotype" w:cs="Lotus Linotype" w:hint="cs"/>
          <w:color w:val="FF0000"/>
          <w:sz w:val="28"/>
          <w:szCs w:val="28"/>
          <w:rtl/>
          <w:lang w:bidi="ar-LB"/>
        </w:rPr>
        <w:t xml:space="preserve"> </w:t>
      </w:r>
      <w:r w:rsidRPr="008637F1">
        <w:rPr>
          <w:rFonts w:ascii="Lotus Linotype" w:hAnsi="Lotus Linotype" w:cs="Lotus Linotype" w:hint="cs"/>
          <w:b/>
          <w:bCs/>
          <w:color w:val="FF0000"/>
          <w:sz w:val="28"/>
          <w:szCs w:val="28"/>
          <w:rtl/>
          <w:lang w:bidi="ar-LB"/>
        </w:rPr>
        <w:t>وعليه</w:t>
      </w:r>
      <w:r w:rsidRPr="008637F1">
        <w:rPr>
          <w:rFonts w:ascii="Lotus Linotype" w:hAnsi="Lotus Linotype" w:cs="Lotus Linotype" w:hint="cs"/>
          <w:b/>
          <w:bCs/>
          <w:sz w:val="28"/>
          <w:szCs w:val="28"/>
          <w:rtl/>
          <w:lang w:bidi="ar-LB"/>
        </w:rPr>
        <w:t>:</w:t>
      </w:r>
      <w:r>
        <w:rPr>
          <w:rFonts w:ascii="Lotus Linotype" w:hAnsi="Lotus Linotype" w:cs="Lotus Linotype" w:hint="cs"/>
          <w:sz w:val="28"/>
          <w:szCs w:val="28"/>
          <w:rtl/>
          <w:lang w:bidi="ar-LB"/>
        </w:rPr>
        <w:t xml:space="preserve"> فيمكن للمولى أن يأمر ب</w:t>
      </w:r>
      <w:r w:rsidR="008637F1">
        <w:rPr>
          <w:rFonts w:ascii="Lotus Linotype" w:hAnsi="Lotus Linotype" w:cs="Lotus Linotype" w:hint="cs"/>
          <w:sz w:val="28"/>
          <w:szCs w:val="28"/>
          <w:rtl/>
          <w:lang w:bidi="ar-LB"/>
        </w:rPr>
        <w:t xml:space="preserve">هذا </w:t>
      </w:r>
      <w:r>
        <w:rPr>
          <w:rFonts w:ascii="Lotus Linotype" w:hAnsi="Lotus Linotype" w:cs="Lotus Linotype" w:hint="cs"/>
          <w:sz w:val="28"/>
          <w:szCs w:val="28"/>
          <w:rtl/>
          <w:lang w:bidi="ar-LB"/>
        </w:rPr>
        <w:t xml:space="preserve">الغسل بالماء البارد من دون أن يحبّه بالفعل ولكنّه وافٍ بملاك الغسل الواجب ولولا علّيته التامّة للحرام لكان محبوباً، هذا يكفي في عباديته. </w:t>
      </w:r>
    </w:p>
    <w:p w:rsidR="00F666B2" w:rsidRDefault="00F666B2" w:rsidP="00D32918">
      <w:pPr>
        <w:spacing w:line="240" w:lineRule="auto"/>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Pr="008637F1">
        <w:rPr>
          <w:rFonts w:ascii="Lotus Linotype" w:hAnsi="Lotus Linotype" w:cs="Lotus Linotype" w:hint="cs"/>
          <w:b/>
          <w:bCs/>
          <w:color w:val="FF0000"/>
          <w:sz w:val="28"/>
          <w:szCs w:val="28"/>
          <w:rtl/>
          <w:lang w:bidi="ar-LB"/>
        </w:rPr>
        <w:t>ولأجل ذلك نحن نرى</w:t>
      </w:r>
      <w:r>
        <w:rPr>
          <w:rFonts w:ascii="Lotus Linotype" w:hAnsi="Lotus Linotype" w:cs="Lotus Linotype" w:hint="cs"/>
          <w:sz w:val="28"/>
          <w:szCs w:val="28"/>
          <w:rtl/>
          <w:lang w:bidi="ar-LB"/>
        </w:rPr>
        <w:t>: أنّ النهي الغيري القهري التبعيّ</w:t>
      </w:r>
      <w:r w:rsidR="008637F1">
        <w:rPr>
          <w:rFonts w:ascii="Lotus Linotype" w:hAnsi="Lotus Linotype" w:cs="Lotus Linotype" w:hint="cs"/>
          <w:sz w:val="28"/>
          <w:szCs w:val="28"/>
          <w:rtl/>
          <w:lang w:bidi="ar-LB"/>
        </w:rPr>
        <w:t>،</w:t>
      </w:r>
      <w:r>
        <w:rPr>
          <w:rFonts w:ascii="Lotus Linotype" w:hAnsi="Lotus Linotype" w:cs="Lotus Linotype" w:hint="cs"/>
          <w:sz w:val="28"/>
          <w:szCs w:val="28"/>
          <w:rtl/>
          <w:lang w:bidi="ar-LB"/>
        </w:rPr>
        <w:t xml:space="preserve"> لأنّ النهي الغيري ينشأ عن البغض الغيري القهريّ حسبما يُدعى أنّ من أبغض شيئاً </w:t>
      </w:r>
      <w:r w:rsidR="008637F1">
        <w:rPr>
          <w:rFonts w:ascii="Lotus Linotype" w:hAnsi="Lotus Linotype" w:cs="Lotus Linotype" w:hint="cs"/>
          <w:sz w:val="28"/>
          <w:szCs w:val="28"/>
          <w:rtl/>
          <w:lang w:bidi="ar-LB"/>
        </w:rPr>
        <w:t xml:space="preserve">لا محالة </w:t>
      </w:r>
      <w:r>
        <w:rPr>
          <w:rFonts w:ascii="Lotus Linotype" w:hAnsi="Lotus Linotype" w:cs="Lotus Linotype" w:hint="cs"/>
          <w:sz w:val="28"/>
          <w:szCs w:val="28"/>
          <w:rtl/>
          <w:lang w:bidi="ar-LB"/>
        </w:rPr>
        <w:t>يُبغض علّته التامّة، فهذا البغض للعلّة التامّة للحرام بغضٌ قهريّ، هذا لا يمنع عن إطلاق الأمر بهذا الفعل الذي هو علّةٌ تامّة للحرام، فيمكننا التمسّك بإطلاق الأمر لتصحيح هذا الغسل بالماء البارد أو تصحيح تلك الصلاة في وقت المزاحمة مع وجوب الإزالة، ولأجل ذلك نقبل أنّ النهي الغيري لا يقتضي الفساد لا لأنّه لا ينشأ عن المبغوضيّة في متعلّقه، كلا، بل يكشف عن مبغوضيّة متعلّقه مبغوضيّة غيريّة ولكنّ المبغوضيّة الغيريّة وإن كانت تمنع عن المحبوبيّة الفعليّة لكن لا ي</w:t>
      </w:r>
      <w:r w:rsidR="008637F1">
        <w:rPr>
          <w:rFonts w:ascii="Lotus Linotype" w:hAnsi="Lotus Linotype" w:cs="Lotus Linotype" w:hint="cs"/>
          <w:sz w:val="28"/>
          <w:szCs w:val="28"/>
          <w:rtl/>
          <w:lang w:bidi="ar-LB"/>
        </w:rPr>
        <w:t>ُ</w:t>
      </w:r>
      <w:r>
        <w:rPr>
          <w:rFonts w:ascii="Lotus Linotype" w:hAnsi="Lotus Linotype" w:cs="Lotus Linotype" w:hint="cs"/>
          <w:sz w:val="28"/>
          <w:szCs w:val="28"/>
          <w:rtl/>
          <w:lang w:bidi="ar-LB"/>
        </w:rPr>
        <w:t>عتبر في صحّة العبادة كونها محبوبةً بالفعل.</w:t>
      </w:r>
    </w:p>
    <w:p w:rsidR="00F666B2" w:rsidRPr="008637F1" w:rsidRDefault="00F666B2" w:rsidP="00D32918">
      <w:pPr>
        <w:spacing w:line="240" w:lineRule="auto"/>
        <w:jc w:val="both"/>
        <w:rPr>
          <w:rFonts w:ascii="Lotus Linotype" w:hAnsi="Lotus Linotype" w:cs="Lotus Linotype"/>
          <w:b/>
          <w:bCs/>
          <w:sz w:val="28"/>
          <w:szCs w:val="28"/>
          <w:rtl/>
          <w:lang w:bidi="ar-LB"/>
        </w:rPr>
      </w:pPr>
      <w:r w:rsidRPr="0090791E">
        <w:rPr>
          <w:rFonts w:ascii="Lotus Linotype" w:hAnsi="Lotus Linotype" w:cs="Lotus Linotype" w:hint="cs"/>
          <w:b/>
          <w:bCs/>
          <w:color w:val="FF0000"/>
          <w:sz w:val="28"/>
          <w:szCs w:val="28"/>
          <w:rtl/>
          <w:lang w:bidi="ar-LB"/>
        </w:rPr>
        <w:t>القسم الخامس</w:t>
      </w:r>
      <w:r w:rsidRPr="008637F1">
        <w:rPr>
          <w:rFonts w:ascii="Lotus Linotype" w:hAnsi="Lotus Linotype" w:cs="Lotus Linotype" w:hint="cs"/>
          <w:b/>
          <w:bCs/>
          <w:sz w:val="28"/>
          <w:szCs w:val="28"/>
          <w:rtl/>
          <w:lang w:bidi="ar-LB"/>
        </w:rPr>
        <w:t xml:space="preserve">: </w:t>
      </w:r>
      <w:r w:rsidRPr="0090791E">
        <w:rPr>
          <w:rFonts w:ascii="Lotus Linotype" w:hAnsi="Lotus Linotype" w:cs="Lotus Linotype" w:hint="cs"/>
          <w:b/>
          <w:bCs/>
          <w:color w:val="FF0000"/>
          <w:sz w:val="28"/>
          <w:szCs w:val="28"/>
          <w:rtl/>
          <w:lang w:bidi="ar-LB"/>
        </w:rPr>
        <w:t>تعلّق النهي الكراهتي  بالعبادة</w:t>
      </w:r>
    </w:p>
    <w:p w:rsidR="00F666B2" w:rsidRDefault="0090791E" w:rsidP="00F666B2">
      <w:pPr>
        <w:spacing w:line="240" w:lineRule="auto"/>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F666B2">
        <w:rPr>
          <w:rFonts w:ascii="Lotus Linotype" w:hAnsi="Lotus Linotype" w:cs="Lotus Linotype" w:hint="cs"/>
          <w:sz w:val="28"/>
          <w:szCs w:val="28"/>
          <w:rtl/>
          <w:lang w:bidi="ar-LB"/>
        </w:rPr>
        <w:t xml:space="preserve">وقد تقدّم الكلام في اجتماع الأمر والنهي فقلنا بأنّ النهي الكراهتي الانحلالي يمنع من عبادية العبادة. </w:t>
      </w:r>
    </w:p>
    <w:p w:rsidR="00A43BC0" w:rsidRDefault="008637F1" w:rsidP="00F666B2">
      <w:pPr>
        <w:spacing w:line="240" w:lineRule="auto"/>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F666B2">
        <w:rPr>
          <w:rFonts w:ascii="Lotus Linotype" w:hAnsi="Lotus Linotype" w:cs="Lotus Linotype" w:hint="cs"/>
          <w:sz w:val="28"/>
          <w:szCs w:val="28"/>
          <w:rtl/>
          <w:lang w:bidi="ar-LB"/>
        </w:rPr>
        <w:t>تارةً يكون نهيٌ كراهتي عن حصّةٌ من العبادة</w:t>
      </w:r>
      <w:r>
        <w:rPr>
          <w:rFonts w:ascii="Lotus Linotype" w:hAnsi="Lotus Linotype" w:cs="Lotus Linotype" w:hint="cs"/>
          <w:sz w:val="28"/>
          <w:szCs w:val="28"/>
          <w:rtl/>
          <w:lang w:bidi="ar-LB"/>
        </w:rPr>
        <w:t>،</w:t>
      </w:r>
      <w:r w:rsidR="00F666B2">
        <w:rPr>
          <w:rFonts w:ascii="Lotus Linotype" w:hAnsi="Lotus Linotype" w:cs="Lotus Linotype" w:hint="cs"/>
          <w:sz w:val="28"/>
          <w:szCs w:val="28"/>
          <w:rtl/>
          <w:lang w:bidi="ar-LB"/>
        </w:rPr>
        <w:t xml:space="preserve"> كالصلاة في الحمام</w:t>
      </w:r>
      <w:r w:rsidR="00ED19F8">
        <w:rPr>
          <w:rFonts w:ascii="Lotus Linotype" w:hAnsi="Lotus Linotype" w:cs="Lotus Linotype" w:hint="cs"/>
          <w:sz w:val="28"/>
          <w:szCs w:val="28"/>
          <w:rtl/>
          <w:lang w:bidi="ar-LB"/>
        </w:rPr>
        <w:t>: هذا لا يمنع من إطلاق الأمر بالصلاة لهذه الحصّة المكروهة، أمّا إذا كان الحكم انحلاليّاً يستحب كل يوم أن تصوم</w:t>
      </w:r>
      <w:r>
        <w:rPr>
          <w:rFonts w:ascii="Lotus Linotype" w:hAnsi="Lotus Linotype" w:cs="Lotus Linotype" w:hint="cs"/>
          <w:sz w:val="28"/>
          <w:szCs w:val="28"/>
          <w:rtl/>
          <w:lang w:bidi="ar-LB"/>
        </w:rPr>
        <w:t xml:space="preserve"> -حكم انحلالي</w:t>
      </w:r>
      <w:r w:rsidR="00ED19F8">
        <w:rPr>
          <w:rFonts w:ascii="Lotus Linotype" w:hAnsi="Lotus Linotype" w:cs="Lotus Linotype" w:hint="cs"/>
          <w:sz w:val="28"/>
          <w:szCs w:val="28"/>
          <w:rtl/>
          <w:lang w:bidi="ar-LB"/>
        </w:rPr>
        <w:t xml:space="preserve"> حتى يوم عاشوراء</w:t>
      </w:r>
      <w:r>
        <w:rPr>
          <w:rFonts w:ascii="Lotus Linotype" w:hAnsi="Lotus Linotype" w:cs="Lotus Linotype" w:hint="cs"/>
          <w:sz w:val="28"/>
          <w:szCs w:val="28"/>
          <w:rtl/>
          <w:lang w:bidi="ar-LB"/>
        </w:rPr>
        <w:t>-</w:t>
      </w:r>
      <w:r w:rsidR="00ED19F8">
        <w:rPr>
          <w:rFonts w:ascii="Lotus Linotype" w:hAnsi="Lotus Linotype" w:cs="Lotus Linotype" w:hint="cs"/>
          <w:sz w:val="28"/>
          <w:szCs w:val="28"/>
          <w:rtl/>
          <w:lang w:bidi="ar-LB"/>
        </w:rPr>
        <w:t>: فإذا تعلّق النهي الكراهتي لا بمعنى قلّة الثواب فإنّ النهي الكراهتي ب</w:t>
      </w:r>
      <w:r>
        <w:rPr>
          <w:rFonts w:ascii="Lotus Linotype" w:hAnsi="Lotus Linotype" w:cs="Lotus Linotype" w:hint="cs"/>
          <w:sz w:val="28"/>
          <w:szCs w:val="28"/>
          <w:rtl/>
          <w:lang w:bidi="ar-LB"/>
        </w:rPr>
        <w:t>معنى قلّة الثواب ليس إلا الاستحباب</w:t>
      </w:r>
      <w:r w:rsidR="00ED19F8">
        <w:rPr>
          <w:rFonts w:ascii="Lotus Linotype" w:hAnsi="Lotus Linotype" w:cs="Lotus Linotype" w:hint="cs"/>
          <w:sz w:val="28"/>
          <w:szCs w:val="28"/>
          <w:rtl/>
          <w:lang w:bidi="ar-LB"/>
        </w:rPr>
        <w:t xml:space="preserve"> الضعيف، النهي الكراهتي الحقيقي يعني الكاشف عن مبغوضيّة متعلّقه فإذا تعلّق النهي الكراهتي بصوم يوم عاشوراء فيكون صوم يوم عاشوراء مبغوضاً للمولى، يعني حال المولى عند ترك الصوم يكون أحسن من فرض فعل صوم يوم عاشوراء، وهذا لا يجتمع مع عباديته وتعلّق الأمر به</w:t>
      </w:r>
      <w:r>
        <w:rPr>
          <w:rFonts w:ascii="Lotus Linotype" w:hAnsi="Lotus Linotype" w:cs="Lotus Linotype" w:hint="cs"/>
          <w:sz w:val="28"/>
          <w:szCs w:val="28"/>
          <w:rtl/>
          <w:lang w:bidi="ar-LB"/>
        </w:rPr>
        <w:t xml:space="preserve"> إذا كان النهي بعنوان كونه يوم عاشوراء </w:t>
      </w:r>
      <w:r w:rsidR="00ED19F8">
        <w:rPr>
          <w:rFonts w:ascii="Lotus Linotype" w:hAnsi="Lotus Linotype" w:cs="Lotus Linotype" w:hint="cs"/>
          <w:sz w:val="28"/>
          <w:szCs w:val="28"/>
          <w:rtl/>
          <w:lang w:bidi="ar-LB"/>
        </w:rPr>
        <w:t>بل حتى لو كان النهي بعنوانٍ آخر ينطبق على صوم يوم عاشوراء، هذا لا يجتمع مع الأمر الانحلاليّ الشامل لصوم يوم عاشوراء. نعم، لو كان المستحب طبيعي الصوم على نحو صرف الوجود والنهي عن صوم يوم عاشوراء نهيٌّ عن حصّةٍ من هذه الطبيعة لم يكن مانعٌ من اجتماع النهي الكراهتي عن حصّةٍ مع الأمر بطبيعيّ تلك العبادة.</w:t>
      </w:r>
    </w:p>
    <w:p w:rsidR="00A43BC0" w:rsidRDefault="0090791E" w:rsidP="00F666B2">
      <w:pPr>
        <w:spacing w:line="240" w:lineRule="auto"/>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A43BC0">
        <w:rPr>
          <w:rFonts w:ascii="Lotus Linotype" w:hAnsi="Lotus Linotype" w:cs="Lotus Linotype" w:hint="cs"/>
          <w:sz w:val="28"/>
          <w:szCs w:val="28"/>
          <w:rtl/>
          <w:lang w:bidi="ar-LB"/>
        </w:rPr>
        <w:t>هذا تمام الكلام في هذه المسألة ويقع الكلام في النهي عن المعاملة وأنّه هل يقتضي فساد المعاملة أم لا؟ نتكلّم عن ذلك في الليلة القادمة إن شاء الله.</w:t>
      </w:r>
    </w:p>
    <w:p w:rsidR="00F666B2" w:rsidRPr="0090791E" w:rsidRDefault="00A43BC0" w:rsidP="0090791E">
      <w:pPr>
        <w:spacing w:line="240" w:lineRule="auto"/>
        <w:jc w:val="right"/>
        <w:rPr>
          <w:rFonts w:ascii="Lotus Linotype" w:hAnsi="Lotus Linotype" w:cs="Lotus Linotype"/>
          <w:b/>
          <w:bCs/>
          <w:color w:val="385623" w:themeColor="accent6" w:themeShade="80"/>
          <w:sz w:val="28"/>
          <w:szCs w:val="28"/>
          <w:lang w:bidi="ar-LB"/>
        </w:rPr>
      </w:pPr>
      <w:r w:rsidRPr="0090791E">
        <w:rPr>
          <w:rFonts w:ascii="Lotus Linotype" w:hAnsi="Lotus Linotype" w:cs="Lotus Linotype" w:hint="cs"/>
          <w:b/>
          <w:bCs/>
          <w:color w:val="385623" w:themeColor="accent6" w:themeShade="80"/>
          <w:sz w:val="28"/>
          <w:szCs w:val="28"/>
          <w:rtl/>
          <w:lang w:bidi="ar-LB"/>
        </w:rPr>
        <w:t>والحمد لله ربّ العالمين.</w:t>
      </w:r>
      <w:r w:rsidR="00F666B2" w:rsidRPr="0090791E">
        <w:rPr>
          <w:rFonts w:ascii="Lotus Linotype" w:hAnsi="Lotus Linotype" w:cs="Lotus Linotype" w:hint="cs"/>
          <w:b/>
          <w:bCs/>
          <w:color w:val="385623" w:themeColor="accent6" w:themeShade="80"/>
          <w:sz w:val="28"/>
          <w:szCs w:val="28"/>
          <w:rtl/>
          <w:lang w:bidi="ar-LB"/>
        </w:rPr>
        <w:t xml:space="preserve"> </w:t>
      </w:r>
    </w:p>
    <w:sectPr w:rsidR="00F666B2" w:rsidRPr="0090791E" w:rsidSect="00625DDA">
      <w:footerReference w:type="default" r:id="rId8"/>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2AF" w:rsidRDefault="007262AF" w:rsidP="00235AD4">
      <w:pPr>
        <w:spacing w:after="0" w:line="240" w:lineRule="auto"/>
      </w:pPr>
      <w:r>
        <w:separator/>
      </w:r>
    </w:p>
  </w:endnote>
  <w:endnote w:type="continuationSeparator" w:id="0">
    <w:p w:rsidR="007262AF" w:rsidRDefault="007262AF" w:rsidP="00235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Lotus Linotype">
    <w:altName w:val="Times New Roman"/>
    <w:charset w:val="00"/>
    <w:family w:val="auto"/>
    <w:pitch w:val="variable"/>
    <w:sig w:usb0="00000000" w:usb1="80000000" w:usb2="00000008" w:usb3="00000000" w:csb0="00000043" w:csb1="00000000"/>
  </w:font>
  <w:font w:name="Taher">
    <w:panose1 w:val="000004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34405816"/>
      <w:docPartObj>
        <w:docPartGallery w:val="Page Numbers (Bottom of Page)"/>
        <w:docPartUnique/>
      </w:docPartObj>
    </w:sdtPr>
    <w:sdtEndPr/>
    <w:sdtContent>
      <w:p w:rsidR="00235AD4" w:rsidRDefault="00235AD4">
        <w:pPr>
          <w:pStyle w:val="Footer"/>
          <w:jc w:val="center"/>
        </w:pPr>
        <w:r>
          <w:rPr>
            <w:noProof/>
            <w:lang w:bidi="fa-IR"/>
          </w:rPr>
          <mc:AlternateContent>
            <mc:Choice Requires="wps">
              <w:drawing>
                <wp:inline distT="0" distB="0" distL="0" distR="0">
                  <wp:extent cx="5467350" cy="45085"/>
                  <wp:effectExtent l="0" t="9525" r="0" b="2540"/>
                  <wp:docPr id="1"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shapetype w14:anchorId="02725C3B"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5Ti0ytwIAAH8FAAAO&#10;AAAAAAAAAAAAAAAAAC4CAABkcnMvZTJvRG9jLnhtbFBLAQItABQABgAIAAAAIQBMQZZE2QAAAAMB&#10;AAAPAAAAAAAAAAAAAAAAABEFAABkcnMvZG93bnJldi54bWxQSwUGAAAAAAQABADzAAAAFwYAAAAA&#10;" fillcolor="black" stroked="f">
                  <v:fill r:id="rId1" o:title="" type="pattern"/>
                  <w10:wrap anchorx="page"/>
                  <w10:anchorlock/>
                </v:shape>
              </w:pict>
            </mc:Fallback>
          </mc:AlternateContent>
        </w:r>
      </w:p>
      <w:p w:rsidR="00235AD4" w:rsidRDefault="00235AD4">
        <w:pPr>
          <w:pStyle w:val="Footer"/>
          <w:jc w:val="center"/>
        </w:pPr>
        <w:r>
          <w:fldChar w:fldCharType="begin"/>
        </w:r>
        <w:r>
          <w:instrText xml:space="preserve"> PAGE    \* MERGEFORMAT </w:instrText>
        </w:r>
        <w:r>
          <w:fldChar w:fldCharType="separate"/>
        </w:r>
        <w:r w:rsidR="00981F0E">
          <w:rPr>
            <w:noProof/>
            <w:rtl/>
          </w:rPr>
          <w:t>3</w:t>
        </w:r>
        <w:r>
          <w:rPr>
            <w:noProof/>
          </w:rPr>
          <w:fldChar w:fldCharType="end"/>
        </w:r>
      </w:p>
    </w:sdtContent>
  </w:sdt>
  <w:p w:rsidR="00235AD4" w:rsidRDefault="00235A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2AF" w:rsidRDefault="007262AF" w:rsidP="00235AD4">
      <w:pPr>
        <w:spacing w:after="0" w:line="240" w:lineRule="auto"/>
      </w:pPr>
      <w:r>
        <w:separator/>
      </w:r>
    </w:p>
  </w:footnote>
  <w:footnote w:type="continuationSeparator" w:id="0">
    <w:p w:rsidR="007262AF" w:rsidRDefault="007262AF" w:rsidP="00235A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0575C"/>
    <w:multiLevelType w:val="hybridMultilevel"/>
    <w:tmpl w:val="D5F018C8"/>
    <w:lvl w:ilvl="0" w:tplc="63B8F3C6">
      <w:start w:val="1"/>
      <w:numFmt w:val="arabicAbjad"/>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D4B"/>
    <w:rsid w:val="00047797"/>
    <w:rsid w:val="0016263A"/>
    <w:rsid w:val="001C6B79"/>
    <w:rsid w:val="00235AD4"/>
    <w:rsid w:val="002B7364"/>
    <w:rsid w:val="00590BF4"/>
    <w:rsid w:val="005E3125"/>
    <w:rsid w:val="00625DDA"/>
    <w:rsid w:val="00646345"/>
    <w:rsid w:val="007262AF"/>
    <w:rsid w:val="00755540"/>
    <w:rsid w:val="007806DE"/>
    <w:rsid w:val="0084213F"/>
    <w:rsid w:val="008544C3"/>
    <w:rsid w:val="008637F1"/>
    <w:rsid w:val="0090791E"/>
    <w:rsid w:val="00936D4B"/>
    <w:rsid w:val="00981F0E"/>
    <w:rsid w:val="00A401FD"/>
    <w:rsid w:val="00A43BC0"/>
    <w:rsid w:val="00A85C5D"/>
    <w:rsid w:val="00CC3A2C"/>
    <w:rsid w:val="00D15B32"/>
    <w:rsid w:val="00D32918"/>
    <w:rsid w:val="00DF2040"/>
    <w:rsid w:val="00E23189"/>
    <w:rsid w:val="00ED19F8"/>
    <w:rsid w:val="00F666B2"/>
    <w:rsid w:val="00FF63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6DE"/>
    <w:pPr>
      <w:bidi/>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5A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5AD4"/>
  </w:style>
  <w:style w:type="paragraph" w:styleId="Footer">
    <w:name w:val="footer"/>
    <w:basedOn w:val="Normal"/>
    <w:link w:val="FooterChar"/>
    <w:uiPriority w:val="99"/>
    <w:unhideWhenUsed/>
    <w:rsid w:val="00235A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AD4"/>
  </w:style>
  <w:style w:type="paragraph" w:styleId="ListParagraph">
    <w:name w:val="List Paragraph"/>
    <w:basedOn w:val="Normal"/>
    <w:uiPriority w:val="34"/>
    <w:qFormat/>
    <w:rsid w:val="009079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6DE"/>
    <w:pPr>
      <w:bidi/>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5A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5AD4"/>
  </w:style>
  <w:style w:type="paragraph" w:styleId="Footer">
    <w:name w:val="footer"/>
    <w:basedOn w:val="Normal"/>
    <w:link w:val="FooterChar"/>
    <w:uiPriority w:val="99"/>
    <w:unhideWhenUsed/>
    <w:rsid w:val="00235A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AD4"/>
  </w:style>
  <w:style w:type="paragraph" w:styleId="ListParagraph">
    <w:name w:val="List Paragraph"/>
    <w:basedOn w:val="Normal"/>
    <w:uiPriority w:val="34"/>
    <w:qFormat/>
    <w:rsid w:val="009079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65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1190</Words>
  <Characters>6784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abohaidar14313@gmail.com</dc:creator>
  <cp:keywords/>
  <dc:description/>
  <cp:lastModifiedBy>محمدمهدی عمادی</cp:lastModifiedBy>
  <cp:revision>22</cp:revision>
  <dcterms:created xsi:type="dcterms:W3CDTF">2022-05-09T12:44:00Z</dcterms:created>
  <dcterms:modified xsi:type="dcterms:W3CDTF">2022-05-10T11:27:00Z</dcterms:modified>
</cp:coreProperties>
</file>